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695B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20" w:lineRule="exact"/>
        <w:jc w:val="center"/>
        <w:textAlignment w:val="auto"/>
        <w:rPr>
          <w:rFonts w:hint="eastAsia" w:eastAsia="宋体"/>
          <w:sz w:val="21"/>
          <w:szCs w:val="21"/>
          <w:lang w:eastAsia="zh-CN"/>
        </w:rPr>
      </w:pPr>
      <w:r>
        <w:rPr>
          <w:rFonts w:ascii="宋体" w:hAnsi="宋体" w:eastAsia="宋体"/>
          <w:b/>
          <w:sz w:val="28"/>
          <w:szCs w:val="21"/>
        </w:rPr>
        <w:t>附件二</w:t>
      </w:r>
      <w:r>
        <w:rPr>
          <w:rFonts w:hint="eastAsia" w:ascii="宋体" w:hAnsi="宋体"/>
          <w:b/>
          <w:sz w:val="28"/>
          <w:szCs w:val="21"/>
          <w:lang w:val="en-US" w:eastAsia="zh-CN"/>
        </w:rPr>
        <w:t xml:space="preserve">  </w:t>
      </w:r>
      <w:r>
        <w:rPr>
          <w:rFonts w:ascii="宋体" w:hAnsi="宋体" w:eastAsia="宋体"/>
          <w:b/>
          <w:sz w:val="28"/>
          <w:szCs w:val="21"/>
        </w:rPr>
        <w:t>项目评分表</w:t>
      </w:r>
    </w:p>
    <w:p w14:paraId="170B21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 w:line="320" w:lineRule="exact"/>
        <w:jc w:val="center"/>
        <w:textAlignment w:val="auto"/>
      </w:pPr>
      <w:r>
        <w:rPr>
          <w:rFonts w:hint="eastAsia" w:ascii="宋体" w:hAnsi="宋体"/>
          <w:b w:val="0"/>
          <w:bCs/>
          <w:sz w:val="21"/>
          <w:szCs w:val="20"/>
          <w:lang w:eastAsia="zh-CN"/>
        </w:rPr>
        <w:t>（</w:t>
      </w:r>
      <w:r>
        <w:rPr>
          <w:rFonts w:ascii="宋体" w:hAnsi="宋体" w:eastAsia="宋体"/>
          <w:b w:val="0"/>
          <w:bCs/>
          <w:sz w:val="21"/>
          <w:szCs w:val="20"/>
        </w:rPr>
        <w:t>中山市东升医院2026-2027年度常年法律顾问服务项目</w:t>
      </w:r>
      <w:r>
        <w:rPr>
          <w:rFonts w:hint="eastAsia" w:ascii="宋体" w:hAnsi="宋体" w:eastAsia="宋体"/>
          <w:b w:val="0"/>
          <w:bCs/>
          <w:sz w:val="21"/>
          <w:szCs w:val="20"/>
          <w:lang w:val="en-US" w:eastAsia="zh-CN"/>
        </w:rPr>
        <w:t>（二次）</w:t>
      </w:r>
      <w:bookmarkStart w:id="0" w:name="_GoBack"/>
      <w:bookmarkEnd w:id="0"/>
      <w:r>
        <w:rPr>
          <w:rFonts w:hint="eastAsia" w:ascii="宋体" w:hAnsi="宋体"/>
          <w:b w:val="0"/>
          <w:bCs/>
          <w:sz w:val="21"/>
          <w:szCs w:val="20"/>
          <w:lang w:eastAsia="zh-CN"/>
        </w:rPr>
        <w:t>）</w:t>
      </w:r>
    </w:p>
    <w:tbl>
      <w:tblPr>
        <w:tblStyle w:val="33"/>
        <w:tblW w:w="148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700"/>
        <w:gridCol w:w="2235"/>
        <w:gridCol w:w="1395"/>
        <w:gridCol w:w="7700"/>
        <w:gridCol w:w="931"/>
        <w:gridCol w:w="931"/>
        <w:gridCol w:w="931"/>
      </w:tblGrid>
      <w:tr w14:paraId="5D778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Merge w:val="restart"/>
            <w:shd w:val="clear" w:color="auto" w:fill="D9D9D9"/>
            <w:vAlign w:val="center"/>
          </w:tcPr>
          <w:p w14:paraId="747964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序号</w:t>
            </w:r>
          </w:p>
        </w:tc>
        <w:tc>
          <w:tcPr>
            <w:tcW w:w="11330" w:type="dxa"/>
            <w:gridSpan w:val="3"/>
            <w:shd w:val="clear" w:color="auto" w:fill="D9D9D9"/>
            <w:vAlign w:val="center"/>
          </w:tcPr>
          <w:p w14:paraId="22E8C4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总分100分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商务部分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分，技术部分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分，价格部分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分</w:t>
            </w:r>
          </w:p>
        </w:tc>
        <w:tc>
          <w:tcPr>
            <w:tcW w:w="2793" w:type="dxa"/>
            <w:gridSpan w:val="3"/>
            <w:shd w:val="clear" w:color="auto" w:fill="D9D9D9"/>
            <w:vAlign w:val="center"/>
          </w:tcPr>
          <w:p w14:paraId="182FB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供应商名称</w:t>
            </w:r>
          </w:p>
        </w:tc>
      </w:tr>
      <w:tr w14:paraId="31729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Merge w:val="continue"/>
            <w:shd w:val="clear" w:color="auto" w:fill="D9D9D9"/>
            <w:vAlign w:val="center"/>
          </w:tcPr>
          <w:p w14:paraId="428349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2235" w:type="dxa"/>
            <w:shd w:val="clear" w:color="auto" w:fill="D9D9D9"/>
            <w:vAlign w:val="center"/>
          </w:tcPr>
          <w:p w14:paraId="508D1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评审项</w:t>
            </w:r>
          </w:p>
        </w:tc>
        <w:tc>
          <w:tcPr>
            <w:tcW w:w="1395" w:type="dxa"/>
            <w:shd w:val="clear" w:color="auto" w:fill="D9D9D9"/>
            <w:vAlign w:val="center"/>
          </w:tcPr>
          <w:p w14:paraId="6A3990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分值</w:t>
            </w:r>
          </w:p>
        </w:tc>
        <w:tc>
          <w:tcPr>
            <w:tcW w:w="7700" w:type="dxa"/>
            <w:shd w:val="clear" w:color="auto" w:fill="D9D9D9"/>
            <w:vAlign w:val="center"/>
          </w:tcPr>
          <w:p w14:paraId="0BEEAB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评审内容及评分标准</w:t>
            </w:r>
          </w:p>
        </w:tc>
        <w:tc>
          <w:tcPr>
            <w:tcW w:w="931" w:type="dxa"/>
            <w:shd w:val="clear" w:color="auto" w:fill="D9D9D9"/>
            <w:vAlign w:val="center"/>
          </w:tcPr>
          <w:p w14:paraId="33523E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</w:rPr>
              <w:t>…</w:t>
            </w:r>
          </w:p>
        </w:tc>
        <w:tc>
          <w:tcPr>
            <w:tcW w:w="931" w:type="dxa"/>
            <w:shd w:val="clear" w:color="auto" w:fill="D9D9D9"/>
            <w:vAlign w:val="center"/>
          </w:tcPr>
          <w:p w14:paraId="122BD1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</w:rPr>
              <w:t>…</w:t>
            </w:r>
          </w:p>
        </w:tc>
        <w:tc>
          <w:tcPr>
            <w:tcW w:w="931" w:type="dxa"/>
            <w:shd w:val="clear" w:color="auto" w:fill="D9D9D9"/>
            <w:vAlign w:val="center"/>
          </w:tcPr>
          <w:p w14:paraId="56C206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</w:rPr>
              <w:t>…</w:t>
            </w:r>
          </w:p>
        </w:tc>
      </w:tr>
      <w:tr w14:paraId="3FA11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4823" w:type="dxa"/>
            <w:gridSpan w:val="7"/>
            <w:shd w:val="clear" w:color="auto" w:fill="EDEDED"/>
            <w:vAlign w:val="center"/>
          </w:tcPr>
          <w:p w14:paraId="278064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商务部分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分</w:t>
            </w:r>
          </w:p>
        </w:tc>
      </w:tr>
      <w:tr w14:paraId="3D344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1E5BAE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2235" w:type="dxa"/>
            <w:vAlign w:val="center"/>
          </w:tcPr>
          <w:p w14:paraId="33D413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服务商资质及综合实力</w:t>
            </w:r>
          </w:p>
        </w:tc>
        <w:tc>
          <w:tcPr>
            <w:tcW w:w="1395" w:type="dxa"/>
            <w:vAlign w:val="center"/>
          </w:tcPr>
          <w:p w14:paraId="367EEB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</w:t>
            </w:r>
          </w:p>
        </w:tc>
        <w:tc>
          <w:tcPr>
            <w:tcW w:w="7700" w:type="dxa"/>
            <w:vAlign w:val="center"/>
          </w:tcPr>
          <w:p w14:paraId="1C8EFC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1.具备合法有效的律师事务所执业许可证，得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分；2.主办律师具备3年以上医疗卫生行业法律服务经验，得3分；3.团队配置完整（主办律师+辅助律师+律师助理）且建立人员临时替补机制，得2分；4.信誉良好，无违法违纪、围标串标记录，得2分。</w:t>
            </w:r>
          </w:p>
        </w:tc>
        <w:tc>
          <w:tcPr>
            <w:tcW w:w="931" w:type="dxa"/>
            <w:vAlign w:val="center"/>
          </w:tcPr>
          <w:p w14:paraId="600FB6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3287E9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0247A6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1058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754F35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2235" w:type="dxa"/>
            <w:vAlign w:val="center"/>
          </w:tcPr>
          <w:p w14:paraId="791B16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同类项目业绩</w:t>
            </w:r>
          </w:p>
        </w:tc>
        <w:tc>
          <w:tcPr>
            <w:tcW w:w="1395" w:type="dxa"/>
            <w:vAlign w:val="center"/>
          </w:tcPr>
          <w:p w14:paraId="26F0EB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</w:t>
            </w:r>
          </w:p>
        </w:tc>
        <w:tc>
          <w:tcPr>
            <w:tcW w:w="7700" w:type="dxa"/>
            <w:vAlign w:val="center"/>
          </w:tcPr>
          <w:p w14:paraId="62C23D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1.近3年内每提供1份医院/医疗卫生机构常年法律顾问同类业绩合同+履约证明，得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分；2.最多计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份，满分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分；无同类业绩本项不得分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eastAsia="zh-CN"/>
              </w:rPr>
              <w:t>。</w:t>
            </w:r>
          </w:p>
        </w:tc>
        <w:tc>
          <w:tcPr>
            <w:tcW w:w="931" w:type="dxa"/>
            <w:vAlign w:val="center"/>
          </w:tcPr>
          <w:p w14:paraId="394EC0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627A55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679A9F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111CA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357A3C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2235" w:type="dxa"/>
            <w:vAlign w:val="center"/>
          </w:tcPr>
          <w:p w14:paraId="159682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服务保障及履约能力</w:t>
            </w:r>
          </w:p>
        </w:tc>
        <w:tc>
          <w:tcPr>
            <w:tcW w:w="1395" w:type="dxa"/>
            <w:vAlign w:val="center"/>
          </w:tcPr>
          <w:p w14:paraId="000D02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10分</w:t>
            </w:r>
          </w:p>
        </w:tc>
        <w:tc>
          <w:tcPr>
            <w:tcW w:w="7700" w:type="dxa"/>
            <w:vAlign w:val="center"/>
          </w:tcPr>
          <w:p w14:paraId="4A8B21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1.具备专属项目团队配置、专人对接服务机制，得4分；2.有完善服务质量考核制度、履职疏漏赔偿责任、保密管理制度，得3分；3.承诺不分包、不转包，书面承诺到位得3分。注：未提供对应材料不得分。</w:t>
            </w:r>
          </w:p>
        </w:tc>
        <w:tc>
          <w:tcPr>
            <w:tcW w:w="931" w:type="dxa"/>
            <w:vAlign w:val="center"/>
          </w:tcPr>
          <w:p w14:paraId="19EBDB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7B5198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4A338E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17E80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1E5C4E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2235" w:type="dxa"/>
            <w:vAlign w:val="center"/>
          </w:tcPr>
          <w:p w14:paraId="2C9E86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整体服务实施方案</w:t>
            </w:r>
          </w:p>
        </w:tc>
        <w:tc>
          <w:tcPr>
            <w:tcW w:w="1395" w:type="dxa"/>
            <w:vAlign w:val="center"/>
          </w:tcPr>
          <w:p w14:paraId="3B2E12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15分</w:t>
            </w:r>
          </w:p>
        </w:tc>
        <w:tc>
          <w:tcPr>
            <w:tcW w:w="7700" w:type="dxa"/>
            <w:vAlign w:val="center"/>
          </w:tcPr>
          <w:p w14:paraId="69EDCE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1.对日常法律咨询、依法执业自查、制度合法性审查、重大事项法律支持、合同审核等基础服务工作思路完整、逻辑清晰、贴合本医院实际，得15分；</w:t>
            </w:r>
          </w:p>
          <w:p w14:paraId="76B9BA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2.工作思路较完整，核心业务均有覆盖，逻辑较为通顺，基本贴合医院工作场景，个别环节细节深度不足，得12分；</w:t>
            </w:r>
          </w:p>
          <w:p w14:paraId="108D71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3.方案框架完整，主要服务事项均有涉及，但医院针对性一般，部分内容通用性较强，缺少本院落地细化举措，得9分；</w:t>
            </w:r>
          </w:p>
          <w:p w14:paraId="492A27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4.框架大体具备，但部分业务内容缺失，逻辑不够连贯，与医院实际结合度弱，可落地性有限，得6分；</w:t>
            </w:r>
          </w:p>
          <w:p w14:paraId="537839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5.方案简略，关键工作模块缺失，内容空泛，几乎未结合医院执业实际，参考价值低，得3分。</w:t>
            </w:r>
          </w:p>
        </w:tc>
        <w:tc>
          <w:tcPr>
            <w:tcW w:w="931" w:type="dxa"/>
            <w:vAlign w:val="center"/>
          </w:tcPr>
          <w:p w14:paraId="6C0F88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931" w:type="dxa"/>
            <w:vAlign w:val="center"/>
          </w:tcPr>
          <w:p w14:paraId="5BB517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931" w:type="dxa"/>
            <w:vAlign w:val="center"/>
          </w:tcPr>
          <w:p w14:paraId="717788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0BEFA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4823" w:type="dxa"/>
            <w:gridSpan w:val="7"/>
            <w:shd w:val="clear" w:color="auto" w:fill="EDEDED"/>
            <w:vAlign w:val="center"/>
          </w:tcPr>
          <w:p w14:paraId="3BD612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技术部分4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分</w:t>
            </w:r>
          </w:p>
        </w:tc>
      </w:tr>
      <w:tr w14:paraId="0C665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6B3515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2235" w:type="dxa"/>
            <w:vAlign w:val="center"/>
          </w:tcPr>
          <w:p w14:paraId="28A5CE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医院依法执业（合规自查）</w:t>
            </w:r>
          </w:p>
        </w:tc>
        <w:tc>
          <w:tcPr>
            <w:tcW w:w="1395" w:type="dxa"/>
            <w:vAlign w:val="center"/>
          </w:tcPr>
          <w:p w14:paraId="4D34D9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</w:t>
            </w:r>
          </w:p>
        </w:tc>
        <w:tc>
          <w:tcPr>
            <w:tcW w:w="7700" w:type="dxa"/>
            <w:vAlign w:val="center"/>
          </w:tcPr>
          <w:p w14:paraId="691E1C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基准：全年常态化风险监测防控，定期开展全院全面合规自查不少于1次/年。承诺合规自查≥2次/年，得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分；=1次/年，得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分；低于1次/年，得1分。</w:t>
            </w:r>
          </w:p>
        </w:tc>
        <w:tc>
          <w:tcPr>
            <w:tcW w:w="931" w:type="dxa"/>
            <w:vAlign w:val="center"/>
          </w:tcPr>
          <w:p w14:paraId="0843B3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4556E5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79EEAB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3CC14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3B90CB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2235" w:type="dxa"/>
            <w:vAlign w:val="center"/>
          </w:tcPr>
          <w:p w14:paraId="45B84C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医院制度合法性审查</w:t>
            </w:r>
          </w:p>
        </w:tc>
        <w:tc>
          <w:tcPr>
            <w:tcW w:w="1395" w:type="dxa"/>
            <w:vAlign w:val="center"/>
          </w:tcPr>
          <w:p w14:paraId="2DD7C5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5分</w:t>
            </w:r>
          </w:p>
        </w:tc>
        <w:tc>
          <w:tcPr>
            <w:tcW w:w="7700" w:type="dxa"/>
            <w:vAlign w:val="center"/>
          </w:tcPr>
          <w:p w14:paraId="44B25A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基准：新增制度合法性审查20份/年，并同步出具旧制度合规修订意见。承诺&gt;20份/年，得5分；=20份/年，得3分；&lt;20份/年，得1分。</w:t>
            </w:r>
          </w:p>
        </w:tc>
        <w:tc>
          <w:tcPr>
            <w:tcW w:w="931" w:type="dxa"/>
            <w:vAlign w:val="center"/>
          </w:tcPr>
          <w:p w14:paraId="650FE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07F7E4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12EC3D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63381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2FA2C3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2235" w:type="dxa"/>
            <w:vAlign w:val="center"/>
          </w:tcPr>
          <w:p w14:paraId="7FC0B4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重大事项、决策法律建议</w:t>
            </w:r>
          </w:p>
        </w:tc>
        <w:tc>
          <w:tcPr>
            <w:tcW w:w="1395" w:type="dxa"/>
            <w:vAlign w:val="center"/>
          </w:tcPr>
          <w:p w14:paraId="23EE78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5分</w:t>
            </w:r>
          </w:p>
        </w:tc>
        <w:tc>
          <w:tcPr>
            <w:tcW w:w="7700" w:type="dxa"/>
            <w:vAlign w:val="center"/>
          </w:tcPr>
          <w:p w14:paraId="02D09A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基准：针对重大经营、诊疗、采购、合作事项按需出具专项法律意见5份/年。承诺&gt;5份/年，得5分；=5份/年，得3分；&lt;5份/年，得1分。</w:t>
            </w:r>
          </w:p>
        </w:tc>
        <w:tc>
          <w:tcPr>
            <w:tcW w:w="931" w:type="dxa"/>
            <w:vAlign w:val="center"/>
          </w:tcPr>
          <w:p w14:paraId="40957F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599023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132360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3FE8C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53473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8</w:t>
            </w:r>
          </w:p>
        </w:tc>
        <w:tc>
          <w:tcPr>
            <w:tcW w:w="2235" w:type="dxa"/>
            <w:vAlign w:val="center"/>
          </w:tcPr>
          <w:p w14:paraId="5555A2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合同审查</w:t>
            </w:r>
          </w:p>
        </w:tc>
        <w:tc>
          <w:tcPr>
            <w:tcW w:w="1395" w:type="dxa"/>
            <w:vAlign w:val="center"/>
          </w:tcPr>
          <w:p w14:paraId="14A21C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5分</w:t>
            </w:r>
          </w:p>
        </w:tc>
        <w:tc>
          <w:tcPr>
            <w:tcW w:w="7700" w:type="dxa"/>
            <w:vAlign w:val="center"/>
          </w:tcPr>
          <w:p w14:paraId="2B436B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基准：审核工程、外包、采购等高风险各类合同20份/年，梳理履约、合规风险并出具修改意见。承诺&gt;20份/年，得5分；=20份/年，得3分；&lt;20份/年，得1分。</w:t>
            </w:r>
          </w:p>
        </w:tc>
        <w:tc>
          <w:tcPr>
            <w:tcW w:w="931" w:type="dxa"/>
            <w:vAlign w:val="center"/>
          </w:tcPr>
          <w:p w14:paraId="7697A4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5C8DDC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00E4ED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3873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6906BA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9</w:t>
            </w:r>
          </w:p>
        </w:tc>
        <w:tc>
          <w:tcPr>
            <w:tcW w:w="2235" w:type="dxa"/>
            <w:vAlign w:val="center"/>
          </w:tcPr>
          <w:p w14:paraId="15F4F9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律师函</w:t>
            </w:r>
          </w:p>
        </w:tc>
        <w:tc>
          <w:tcPr>
            <w:tcW w:w="1395" w:type="dxa"/>
            <w:vAlign w:val="center"/>
          </w:tcPr>
          <w:p w14:paraId="2BBC2F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4分</w:t>
            </w:r>
          </w:p>
        </w:tc>
        <w:tc>
          <w:tcPr>
            <w:tcW w:w="7700" w:type="dxa"/>
            <w:vAlign w:val="center"/>
          </w:tcPr>
          <w:p w14:paraId="48390D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基准：按需出具律师函5份/年，资料齐全，2个工作日内交付。承诺&gt;5份/年，得4分；=5份/年，得2分；&lt;5份/年，得1分。</w:t>
            </w:r>
          </w:p>
        </w:tc>
        <w:tc>
          <w:tcPr>
            <w:tcW w:w="931" w:type="dxa"/>
            <w:vAlign w:val="center"/>
          </w:tcPr>
          <w:p w14:paraId="13B1B4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182086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542C76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2427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26BC3F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10</w:t>
            </w:r>
          </w:p>
        </w:tc>
        <w:tc>
          <w:tcPr>
            <w:tcW w:w="2235" w:type="dxa"/>
            <w:vAlign w:val="center"/>
          </w:tcPr>
          <w:p w14:paraId="7554B5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法律意见书</w:t>
            </w:r>
          </w:p>
        </w:tc>
        <w:tc>
          <w:tcPr>
            <w:tcW w:w="1395" w:type="dxa"/>
            <w:vAlign w:val="center"/>
          </w:tcPr>
          <w:p w14:paraId="548D78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4分</w:t>
            </w:r>
          </w:p>
        </w:tc>
        <w:tc>
          <w:tcPr>
            <w:tcW w:w="7700" w:type="dxa"/>
            <w:vAlign w:val="center"/>
          </w:tcPr>
          <w:p w14:paraId="699034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基准：按需出具常规法律文书20份/年（不含专项尽调意见书）。承诺&gt;20份/年，得4分；=20份/年，得2分；&lt;20份/年，得1分。</w:t>
            </w:r>
          </w:p>
        </w:tc>
        <w:tc>
          <w:tcPr>
            <w:tcW w:w="931" w:type="dxa"/>
            <w:vAlign w:val="center"/>
          </w:tcPr>
          <w:p w14:paraId="542F1B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4676C3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566FDA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67F96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6A19F3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11</w:t>
            </w:r>
          </w:p>
        </w:tc>
        <w:tc>
          <w:tcPr>
            <w:tcW w:w="2235" w:type="dxa"/>
            <w:vAlign w:val="center"/>
          </w:tcPr>
          <w:p w14:paraId="72E0A2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普法教育</w:t>
            </w:r>
          </w:p>
        </w:tc>
        <w:tc>
          <w:tcPr>
            <w:tcW w:w="1395" w:type="dxa"/>
            <w:vAlign w:val="center"/>
          </w:tcPr>
          <w:p w14:paraId="35FBA9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</w:t>
            </w:r>
          </w:p>
        </w:tc>
        <w:tc>
          <w:tcPr>
            <w:tcW w:w="7700" w:type="dxa"/>
            <w:vAlign w:val="center"/>
          </w:tcPr>
          <w:p w14:paraId="7D1B86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基准：全院线下普法讲座1次/年；月度普法宣传材料12套/年。讲座&gt;1次/年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宣传材料&gt;12套/年，得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分；两者均达到基准，得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分；任一项低于基准，得2分。</w:t>
            </w:r>
          </w:p>
        </w:tc>
        <w:tc>
          <w:tcPr>
            <w:tcW w:w="931" w:type="dxa"/>
            <w:vAlign w:val="center"/>
          </w:tcPr>
          <w:p w14:paraId="51A354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21D415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56D45D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51B5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07CA63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12</w:t>
            </w:r>
          </w:p>
        </w:tc>
        <w:tc>
          <w:tcPr>
            <w:tcW w:w="2235" w:type="dxa"/>
            <w:vAlign w:val="center"/>
          </w:tcPr>
          <w:p w14:paraId="27C9FC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医疗纠纷处理</w:t>
            </w:r>
          </w:p>
        </w:tc>
        <w:tc>
          <w:tcPr>
            <w:tcW w:w="1395" w:type="dxa"/>
            <w:vAlign w:val="center"/>
          </w:tcPr>
          <w:p w14:paraId="70DB99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6分</w:t>
            </w:r>
          </w:p>
        </w:tc>
        <w:tc>
          <w:tcPr>
            <w:tcW w:w="7700" w:type="dxa"/>
            <w:vAlign w:val="center"/>
          </w:tcPr>
          <w:p w14:paraId="391B84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基准：协助处置各类医患纠纷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10宗/年，重大纠纷出具专项处置意见。承诺&gt;10宗/年，得6分；=10宗/年，得4分；&lt;10宗/年，得2分。</w:t>
            </w:r>
          </w:p>
        </w:tc>
        <w:tc>
          <w:tcPr>
            <w:tcW w:w="931" w:type="dxa"/>
            <w:vAlign w:val="center"/>
          </w:tcPr>
          <w:p w14:paraId="51364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772C2A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  <w:tc>
          <w:tcPr>
            <w:tcW w:w="931" w:type="dxa"/>
            <w:vAlign w:val="center"/>
          </w:tcPr>
          <w:p w14:paraId="4155EA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</w:p>
        </w:tc>
      </w:tr>
      <w:tr w14:paraId="7AE4C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1ACF6B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13</w:t>
            </w:r>
          </w:p>
        </w:tc>
        <w:tc>
          <w:tcPr>
            <w:tcW w:w="2235" w:type="dxa"/>
            <w:vAlign w:val="center"/>
          </w:tcPr>
          <w:p w14:paraId="4A49FD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  <w:t>应急及群体性事件处置</w:t>
            </w:r>
          </w:p>
        </w:tc>
        <w:tc>
          <w:tcPr>
            <w:tcW w:w="1395" w:type="dxa"/>
            <w:vAlign w:val="center"/>
          </w:tcPr>
          <w:p w14:paraId="1C594B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4分</w:t>
            </w:r>
          </w:p>
        </w:tc>
        <w:tc>
          <w:tcPr>
            <w:tcW w:w="7700" w:type="dxa"/>
            <w:vAlign w:val="center"/>
          </w:tcPr>
          <w:p w14:paraId="32C6F0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基准：医患冲突、突发涉法事件或群体维权事件时，迅速到场处置并出具应急处置法律方案，事后提交书面法律意见，配合医院对接行政主管部门。承诺&lt;0.5小时到场处置，得4分；0.5-1小时到场处置得3分；&gt;1小时得2分。</w:t>
            </w:r>
          </w:p>
        </w:tc>
        <w:tc>
          <w:tcPr>
            <w:tcW w:w="931" w:type="dxa"/>
            <w:vAlign w:val="center"/>
          </w:tcPr>
          <w:p w14:paraId="63EB0E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931" w:type="dxa"/>
            <w:vAlign w:val="center"/>
          </w:tcPr>
          <w:p w14:paraId="4B28E8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931" w:type="dxa"/>
            <w:vAlign w:val="center"/>
          </w:tcPr>
          <w:p w14:paraId="2E5669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4B34C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700" w:type="dxa"/>
            <w:vAlign w:val="center"/>
          </w:tcPr>
          <w:p w14:paraId="222A10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default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14</w:t>
            </w:r>
          </w:p>
        </w:tc>
        <w:tc>
          <w:tcPr>
            <w:tcW w:w="2235" w:type="dxa"/>
            <w:vAlign w:val="center"/>
          </w:tcPr>
          <w:p w14:paraId="56B3ED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服务回访与质量保障</w:t>
            </w:r>
          </w:p>
        </w:tc>
        <w:tc>
          <w:tcPr>
            <w:tcW w:w="1395" w:type="dxa"/>
            <w:vAlign w:val="center"/>
          </w:tcPr>
          <w:p w14:paraId="7A3673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5分</w:t>
            </w:r>
          </w:p>
        </w:tc>
        <w:tc>
          <w:tcPr>
            <w:tcW w:w="7700" w:type="dxa"/>
            <w:vAlign w:val="center"/>
          </w:tcPr>
          <w:p w14:paraId="7FF780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  <w:t>年度上门回访2次，并同步形成回访总结报告、服务质量内部考核机制、法律服务汇总报告。承诺&gt;2次/年，得5分；=2次/年，得4分；&lt;2次/年，得2分。；</w:t>
            </w:r>
          </w:p>
        </w:tc>
        <w:tc>
          <w:tcPr>
            <w:tcW w:w="931" w:type="dxa"/>
            <w:vAlign w:val="center"/>
          </w:tcPr>
          <w:p w14:paraId="477920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931" w:type="dxa"/>
            <w:vAlign w:val="center"/>
          </w:tcPr>
          <w:p w14:paraId="561589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931" w:type="dxa"/>
            <w:vAlign w:val="center"/>
          </w:tcPr>
          <w:p w14:paraId="046611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left"/>
              <w:rPr>
                <w:rFonts w:hint="eastAsia" w:ascii="宋体" w:hAnsi="宋体" w:eastAsia="宋体" w:cs="宋体"/>
                <w:b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327F4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4823" w:type="dxa"/>
            <w:gridSpan w:val="7"/>
            <w:shd w:val="clear" w:color="auto" w:fill="EDEDED"/>
            <w:vAlign w:val="center"/>
          </w:tcPr>
          <w:p w14:paraId="46D8F6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exact"/>
              <w:jc w:val="center"/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价格部分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/>
                <w:sz w:val="20"/>
                <w:szCs w:val="20"/>
                <w:highlight w:val="none"/>
              </w:rPr>
              <w:t>0分</w:t>
            </w:r>
          </w:p>
        </w:tc>
      </w:tr>
      <w:tr w14:paraId="54928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700" w:type="dxa"/>
            <w:vAlign w:val="center"/>
          </w:tcPr>
          <w:p w14:paraId="0AE6FA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  <w:t>15</w:t>
            </w:r>
          </w:p>
        </w:tc>
        <w:tc>
          <w:tcPr>
            <w:tcW w:w="2235" w:type="dxa"/>
            <w:vAlign w:val="center"/>
          </w:tcPr>
          <w:p w14:paraId="02B8A8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  <w:t>常年法律顾问基础服务报价</w:t>
            </w:r>
          </w:p>
        </w:tc>
        <w:tc>
          <w:tcPr>
            <w:tcW w:w="1395" w:type="dxa"/>
            <w:vAlign w:val="center"/>
          </w:tcPr>
          <w:p w14:paraId="759A53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5分</w:t>
            </w:r>
          </w:p>
        </w:tc>
        <w:tc>
          <w:tcPr>
            <w:tcW w:w="7700" w:type="dxa"/>
            <w:vAlign w:val="center"/>
          </w:tcPr>
          <w:p w14:paraId="62F2C22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报价得分=（报价基准价/服务商报价）×价格分值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（基准价为满足实质性要求的最低有效投标报价；报价上限18000元/年，超出上限为无效投标，不进入价格评审。）</w:t>
            </w:r>
          </w:p>
        </w:tc>
        <w:tc>
          <w:tcPr>
            <w:tcW w:w="931" w:type="dxa"/>
            <w:vAlign w:val="center"/>
          </w:tcPr>
          <w:p w14:paraId="55A2D8A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1" w:type="dxa"/>
            <w:vAlign w:val="center"/>
          </w:tcPr>
          <w:p w14:paraId="2AE2BD4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1" w:type="dxa"/>
            <w:vAlign w:val="center"/>
          </w:tcPr>
          <w:p w14:paraId="470349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 w14:paraId="6EF16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700" w:type="dxa"/>
            <w:vAlign w:val="center"/>
          </w:tcPr>
          <w:p w14:paraId="354F404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  <w:lang w:val="en-US" w:eastAsia="zh-CN"/>
              </w:rPr>
              <w:t>16</w:t>
            </w:r>
          </w:p>
        </w:tc>
        <w:tc>
          <w:tcPr>
            <w:tcW w:w="2235" w:type="dxa"/>
            <w:vAlign w:val="center"/>
          </w:tcPr>
          <w:p w14:paraId="748F5BA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</w:rPr>
              <w:t>专项法律服务</w:t>
            </w:r>
            <w:r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highlight w:val="none"/>
                <w:lang w:eastAsia="zh-CN"/>
              </w:rPr>
              <w:t>收费下浮率</w:t>
            </w:r>
          </w:p>
        </w:tc>
        <w:tc>
          <w:tcPr>
            <w:tcW w:w="1395" w:type="dxa"/>
            <w:vAlign w:val="center"/>
          </w:tcPr>
          <w:p w14:paraId="40FE2F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5分</w:t>
            </w:r>
          </w:p>
        </w:tc>
        <w:tc>
          <w:tcPr>
            <w:tcW w:w="7700" w:type="dxa"/>
            <w:vAlign w:val="center"/>
          </w:tcPr>
          <w:p w14:paraId="07A29BD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报价得分=（服务商报价收费下浮率/基准服务收费下浮率）×价格分值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（基准服务收费下浮率为满足实质性要求的最高有效下浮率；响应下浮率取值范围在25%-50%之间，含25%和50%，超出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此范围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为无效投标）</w:t>
            </w:r>
          </w:p>
        </w:tc>
        <w:tc>
          <w:tcPr>
            <w:tcW w:w="931" w:type="dxa"/>
            <w:vAlign w:val="center"/>
          </w:tcPr>
          <w:p w14:paraId="4EBD9C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1" w:type="dxa"/>
            <w:vAlign w:val="center"/>
          </w:tcPr>
          <w:p w14:paraId="2B01F5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1" w:type="dxa"/>
            <w:vAlign w:val="center"/>
          </w:tcPr>
          <w:p w14:paraId="7591163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 w14:paraId="5A59E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12030" w:type="dxa"/>
            <w:gridSpan w:val="4"/>
            <w:vAlign w:val="center"/>
          </w:tcPr>
          <w:p w14:paraId="2EB55FF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931" w:type="dxa"/>
            <w:vAlign w:val="center"/>
          </w:tcPr>
          <w:p w14:paraId="2F7F5D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1" w:type="dxa"/>
            <w:vAlign w:val="center"/>
          </w:tcPr>
          <w:p w14:paraId="4FDF936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1" w:type="dxa"/>
            <w:vAlign w:val="center"/>
          </w:tcPr>
          <w:p w14:paraId="78DEC73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4F92D33F"/>
    <w:p w14:paraId="26A57C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</w:t>
      </w:r>
    </w:p>
    <w:p w14:paraId="1A11D3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1. ★实质性条款仅作资格符合性审查，不纳入评分。</w:t>
      </w:r>
    </w:p>
    <w:p w14:paraId="7628B5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2. 技术部分评分依据：以附件一《年度法律顾问服务需求清单》所对应的量化指标为基准，投标人承诺的服务数量或频次超过基准值的得高分段，等于基准值的得中分</w:t>
      </w:r>
      <w:r>
        <w:rPr>
          <w:rFonts w:hint="eastAsia"/>
          <w:lang w:val="en-US" w:eastAsia="zh-CN"/>
        </w:rPr>
        <w:t>段，低于基准值的得低分段。相关承诺须在投标文件中明确载明，并作为合同履约及年度考核的依据。</w:t>
      </w:r>
    </w:p>
    <w:sectPr>
      <w:pgSz w:w="16838" w:h="11906" w:orient="landscape"/>
      <w:pgMar w:top="794" w:right="964" w:bottom="794" w:left="96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15947A7"/>
    <w:rsid w:val="18D37107"/>
    <w:rsid w:val="1B750808"/>
    <w:rsid w:val="32630C08"/>
    <w:rsid w:val="33301C28"/>
    <w:rsid w:val="35D95EFE"/>
    <w:rsid w:val="3A124625"/>
    <w:rsid w:val="4D4B5A44"/>
    <w:rsid w:val="56B8094D"/>
    <w:rsid w:val="5BC729AD"/>
    <w:rsid w:val="61080D10"/>
    <w:rsid w:val="6176234D"/>
    <w:rsid w:val="655B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1794</Words>
  <Characters>1904</Characters>
  <Lines>0</Lines>
  <Paragraphs>0</Paragraphs>
  <TotalTime>0</TotalTime>
  <ScaleCrop>false</ScaleCrop>
  <LinksUpToDate>false</LinksUpToDate>
  <CharactersWithSpaces>1908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Lily</cp:lastModifiedBy>
  <dcterms:modified xsi:type="dcterms:W3CDTF">2026-09-18T01:03:23Z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eyJoZGlkIjoiZjMxODI1ZDk1NTM3ZThjZDIyMDM0N2Q4Njc3ODMwMjMiLCJ1c2VySWQiOiIyNjI5MDY5MzEifQ==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0F04A8197E4549CAA25DEF17A114D5B0_13</vt:lpwstr>
  </property>
</Properties>
</file>