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FA986A">
      <w:pPr>
        <w:adjustRightInd w:val="0"/>
        <w:spacing w:after="0" w:line="360" w:lineRule="auto"/>
        <w:jc w:val="center"/>
        <w:rPr>
          <w:rFonts w:hint="eastAsia" w:ascii="黑体" w:hAnsi="黑体" w:eastAsia="黑体" w:cs="黑体"/>
          <w:b/>
          <w:bCs/>
          <w:color w:val="1F2329"/>
          <w:sz w:val="32"/>
          <w:szCs w:val="32"/>
          <w:lang w:val="en-US" w:eastAsia="zh-CN"/>
        </w:rPr>
      </w:pPr>
      <w:r>
        <w:rPr>
          <w:rFonts w:hint="eastAsia" w:ascii="黑体" w:hAnsi="黑体" w:eastAsia="黑体" w:cs="黑体"/>
          <w:b/>
          <w:bCs/>
          <w:color w:val="1F2329"/>
          <w:sz w:val="32"/>
          <w:szCs w:val="32"/>
          <w:lang w:val="en-US" w:eastAsia="zh-CN"/>
        </w:rPr>
        <w:t>中山市东升医院</w:t>
      </w:r>
    </w:p>
    <w:p w14:paraId="4CE29163">
      <w:pPr>
        <w:adjustRightInd w:val="0"/>
        <w:spacing w:after="0" w:line="360" w:lineRule="auto"/>
        <w:jc w:val="center"/>
        <w:rPr>
          <w:rFonts w:hint="eastAsia" w:ascii="黑体" w:hAnsi="黑体" w:eastAsia="黑体" w:cs="黑体"/>
          <w:b/>
          <w:bCs/>
          <w:color w:val="1F2329"/>
          <w:sz w:val="32"/>
          <w:szCs w:val="32"/>
          <w:lang w:val="en-US" w:eastAsia="zh-CN"/>
        </w:rPr>
      </w:pPr>
      <w:r>
        <w:rPr>
          <w:rFonts w:hint="eastAsia" w:ascii="黑体" w:hAnsi="黑体" w:eastAsia="黑体" w:cs="黑体"/>
          <w:b/>
          <w:bCs/>
          <w:color w:val="1F2329"/>
          <w:sz w:val="32"/>
          <w:szCs w:val="32"/>
        </w:rPr>
        <w:t>智慧医疗及医保结算一体化项目</w:t>
      </w:r>
      <w:r>
        <w:rPr>
          <w:rFonts w:hint="eastAsia" w:ascii="黑体" w:hAnsi="黑体" w:eastAsia="黑体" w:cs="黑体"/>
          <w:b/>
          <w:bCs/>
          <w:color w:val="1F2329"/>
          <w:sz w:val="32"/>
          <w:szCs w:val="32"/>
          <w:lang w:val="en-US" w:eastAsia="zh-CN"/>
        </w:rPr>
        <w:t>调研</w:t>
      </w:r>
    </w:p>
    <w:p w14:paraId="208C6DCD">
      <w:pPr>
        <w:pStyle w:val="4"/>
        <w:rPr>
          <w:rFonts w:hint="eastAsia"/>
          <w:lang w:eastAsia="zh-CN"/>
        </w:rPr>
      </w:pPr>
    </w:p>
    <w:p w14:paraId="117AA15C">
      <w:pPr>
        <w:numPr>
          <w:ilvl w:val="0"/>
          <w:numId w:val="0"/>
        </w:numPr>
        <w:adjustRightInd w:val="0"/>
        <w:spacing w:after="0" w:line="360" w:lineRule="auto"/>
        <w:rPr>
          <w:rFonts w:hint="eastAsia" w:ascii="宋体" w:hAnsi="宋体" w:eastAsia="宋体"/>
          <w:b/>
          <w:bCs w:val="0"/>
          <w:sz w:val="28"/>
          <w:szCs w:val="28"/>
          <w:lang w:val="en-US" w:eastAsia="zh-CN"/>
        </w:rPr>
      </w:pPr>
      <w:r>
        <w:rPr>
          <w:rFonts w:hint="eastAsia" w:ascii="宋体" w:hAnsi="宋体" w:eastAsia="宋体"/>
          <w:b/>
          <w:bCs w:val="0"/>
          <w:sz w:val="28"/>
          <w:szCs w:val="28"/>
          <w:lang w:val="en-US" w:eastAsia="zh-CN"/>
        </w:rPr>
        <w:t>一、项目需求清单</w:t>
      </w:r>
    </w:p>
    <w:tbl>
      <w:tblPr>
        <w:tblStyle w:val="8"/>
        <w:tblW w:w="5641" w:type="pct"/>
        <w:tblInd w:w="-21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16"/>
        <w:gridCol w:w="1875"/>
        <w:gridCol w:w="713"/>
        <w:gridCol w:w="850"/>
        <w:gridCol w:w="1450"/>
        <w:gridCol w:w="4012"/>
      </w:tblGrid>
      <w:tr w14:paraId="03FE6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trPr>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42239AD">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14:ligatures w14:val="standardContextual"/>
              </w:rPr>
            </w:pPr>
            <w:r>
              <w:rPr>
                <w:rFonts w:hint="eastAsia" w:ascii="宋体" w:hAnsi="宋体" w:eastAsia="宋体" w:cs="宋体"/>
                <w:b/>
                <w:bCs/>
                <w:i w:val="0"/>
                <w:iCs w:val="0"/>
                <w:color w:val="000000"/>
                <w:kern w:val="0"/>
                <w:sz w:val="24"/>
                <w:szCs w:val="24"/>
                <w:u w:val="none"/>
                <w:lang w:val="en-US" w:eastAsia="zh-CN" w:bidi="ar"/>
                <w14:ligatures w14:val="standardContextual"/>
              </w:rPr>
              <w:t>序号</w:t>
            </w:r>
          </w:p>
        </w:tc>
        <w:tc>
          <w:tcPr>
            <w:tcW w:w="9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D7A6BE1">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14:ligatures w14:val="standardContextual"/>
              </w:rPr>
            </w:pPr>
            <w:r>
              <w:rPr>
                <w:rFonts w:hint="eastAsia" w:ascii="宋体" w:hAnsi="宋体" w:eastAsia="宋体" w:cs="宋体"/>
                <w:b/>
                <w:bCs/>
                <w:i w:val="0"/>
                <w:iCs w:val="0"/>
                <w:color w:val="000000"/>
                <w:kern w:val="0"/>
                <w:sz w:val="24"/>
                <w:szCs w:val="24"/>
                <w:u w:val="none"/>
                <w:lang w:val="en-US" w:eastAsia="zh-CN" w:bidi="ar"/>
                <w14:ligatures w14:val="standardContextual"/>
              </w:rPr>
              <w:t>产品名称</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12E385">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14:ligatures w14:val="standardContextual"/>
              </w:rPr>
            </w:pPr>
            <w:r>
              <w:rPr>
                <w:rFonts w:hint="eastAsia" w:ascii="宋体" w:hAnsi="宋体" w:eastAsia="宋体" w:cs="宋体"/>
                <w:b/>
                <w:bCs/>
                <w:i w:val="0"/>
                <w:iCs w:val="0"/>
                <w:color w:val="000000"/>
                <w:kern w:val="0"/>
                <w:sz w:val="24"/>
                <w:szCs w:val="24"/>
                <w:u w:val="none"/>
                <w:lang w:val="en-US" w:eastAsia="zh-CN" w:bidi="ar"/>
                <w14:ligatures w14:val="standardContextual"/>
              </w:rPr>
              <w:t>单位</w:t>
            </w:r>
          </w:p>
        </w:tc>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F979C7">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14:ligatures w14:val="standardContextual"/>
              </w:rPr>
            </w:pPr>
            <w:r>
              <w:rPr>
                <w:rFonts w:hint="eastAsia" w:ascii="宋体" w:hAnsi="宋体" w:eastAsia="宋体" w:cs="宋体"/>
                <w:b/>
                <w:bCs/>
                <w:i w:val="0"/>
                <w:iCs w:val="0"/>
                <w:color w:val="000000"/>
                <w:kern w:val="0"/>
                <w:sz w:val="24"/>
                <w:szCs w:val="24"/>
                <w:u w:val="none"/>
                <w:lang w:val="en-US" w:eastAsia="zh-CN" w:bidi="ar"/>
                <w14:ligatures w14:val="standardContextual"/>
              </w:rPr>
              <w:t>数量</w:t>
            </w: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07FC95">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14:ligatures w14:val="standardContextual"/>
              </w:rPr>
            </w:pPr>
            <w:r>
              <w:rPr>
                <w:rFonts w:hint="eastAsia" w:ascii="宋体" w:hAnsi="宋体" w:eastAsia="宋体" w:cs="宋体"/>
                <w:b/>
                <w:bCs/>
                <w:i w:val="0"/>
                <w:iCs w:val="0"/>
                <w:color w:val="000000"/>
                <w:kern w:val="0"/>
                <w:sz w:val="24"/>
                <w:szCs w:val="24"/>
                <w:u w:val="none"/>
                <w:lang w:val="en-US" w:eastAsia="zh-CN" w:bidi="ar"/>
                <w14:ligatures w14:val="standardContextual"/>
              </w:rPr>
              <w:t>不含税总价（万元）</w:t>
            </w:r>
          </w:p>
        </w:tc>
        <w:tc>
          <w:tcPr>
            <w:tcW w:w="20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C8D549">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14:ligatures w14:val="standardContextual"/>
              </w:rPr>
            </w:pPr>
            <w:r>
              <w:rPr>
                <w:rFonts w:hint="eastAsia" w:ascii="宋体" w:hAnsi="宋体" w:eastAsia="宋体" w:cs="宋体"/>
                <w:b/>
                <w:bCs/>
                <w:i w:val="0"/>
                <w:iCs w:val="0"/>
                <w:color w:val="000000"/>
                <w:kern w:val="0"/>
                <w:sz w:val="24"/>
                <w:szCs w:val="24"/>
                <w:u w:val="none"/>
                <w:lang w:val="en-US" w:eastAsia="zh-CN" w:bidi="ar"/>
                <w14:ligatures w14:val="standardContextual"/>
              </w:rPr>
              <w:t>备注</w:t>
            </w:r>
          </w:p>
        </w:tc>
      </w:tr>
      <w:tr w14:paraId="11C6D5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2" w:hRule="atLeast"/>
        </w:trPr>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499B90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1</w:t>
            </w:r>
          </w:p>
        </w:tc>
        <w:tc>
          <w:tcPr>
            <w:tcW w:w="9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3A18E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医院精细化管理系统</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4F630F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套</w:t>
            </w:r>
          </w:p>
        </w:tc>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2287A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1</w:t>
            </w: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806BF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w:t>
            </w:r>
          </w:p>
        </w:tc>
        <w:tc>
          <w:tcPr>
            <w:tcW w:w="20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A9BD7B">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含七大业务模块，实现医保、绩效、病案全流程数字化管理</w:t>
            </w:r>
          </w:p>
        </w:tc>
      </w:tr>
      <w:tr w14:paraId="0FD60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trPr>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F7D054">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2</w:t>
            </w:r>
          </w:p>
        </w:tc>
        <w:tc>
          <w:tcPr>
            <w:tcW w:w="9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C02F57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超融合系统服务器</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549FD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台</w:t>
            </w:r>
          </w:p>
        </w:tc>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C12AA06">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1</w:t>
            </w: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E184D">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w:t>
            </w:r>
          </w:p>
        </w:tc>
        <w:tc>
          <w:tcPr>
            <w:tcW w:w="20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552F17">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核心算力与存储设备，承载全业务系统及数据存储</w:t>
            </w:r>
          </w:p>
        </w:tc>
      </w:tr>
      <w:tr w14:paraId="7C984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0" w:hRule="atLeast"/>
        </w:trPr>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90B1A35">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3</w:t>
            </w:r>
          </w:p>
        </w:tc>
        <w:tc>
          <w:tcPr>
            <w:tcW w:w="9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15045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业务办公结算终端（电脑）</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495BC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台</w:t>
            </w:r>
          </w:p>
        </w:tc>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12FAF">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default" w:ascii="宋体" w:hAnsi="宋体" w:eastAsia="宋体" w:cs="宋体"/>
                <w:i w:val="0"/>
                <w:iCs w:val="0"/>
                <w:color w:val="000000"/>
                <w:kern w:val="0"/>
                <w:sz w:val="24"/>
                <w:szCs w:val="24"/>
                <w:u w:val="none"/>
                <w:lang w:val="en-US" w:eastAsia="zh-CN" w:bidi="ar"/>
                <w14:ligatures w14:val="standardContextual"/>
              </w:rPr>
              <w:t>≥</w:t>
            </w:r>
            <w:r>
              <w:rPr>
                <w:rFonts w:hint="eastAsia" w:ascii="宋体" w:hAnsi="宋体" w:eastAsia="宋体" w:cs="宋体"/>
                <w:i w:val="0"/>
                <w:iCs w:val="0"/>
                <w:color w:val="000000"/>
                <w:kern w:val="0"/>
                <w:sz w:val="24"/>
                <w:szCs w:val="24"/>
                <w:u w:val="none"/>
                <w:lang w:val="en-US" w:eastAsia="zh-CN" w:bidi="ar"/>
                <w14:ligatures w14:val="standardContextual"/>
              </w:rPr>
              <w:t>20</w:t>
            </w: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E6918">
            <w:pPr>
              <w:keepNext w:val="0"/>
              <w:keepLines w:val="0"/>
              <w:widowControl/>
              <w:suppressLineNumbers w:val="0"/>
              <w:jc w:val="center"/>
              <w:textAlignment w:val="center"/>
              <w:rPr>
                <w:rFonts w:hint="eastAsia"/>
                <w:sz w:val="24"/>
                <w:szCs w:val="24"/>
                <w:lang w:val="en-US" w:eastAsia="zh-CN"/>
              </w:rPr>
            </w:pPr>
            <w:r>
              <w:rPr>
                <w:rFonts w:hint="eastAsia" w:ascii="宋体" w:hAnsi="宋体" w:eastAsia="宋体" w:cs="宋体"/>
                <w:i w:val="0"/>
                <w:iCs w:val="0"/>
                <w:color w:val="000000"/>
                <w:kern w:val="0"/>
                <w:sz w:val="24"/>
                <w:szCs w:val="24"/>
                <w:u w:val="none"/>
                <w:lang w:val="en-US" w:eastAsia="zh-CN" w:bidi="ar"/>
                <w14:ligatures w14:val="standardContextual"/>
              </w:rPr>
              <w:t>-</w:t>
            </w:r>
          </w:p>
        </w:tc>
        <w:tc>
          <w:tcPr>
            <w:tcW w:w="20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99234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部署于收费、医保、财务、病案等岗位</w:t>
            </w:r>
          </w:p>
        </w:tc>
      </w:tr>
      <w:tr w14:paraId="66C0C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16B30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4</w:t>
            </w:r>
          </w:p>
        </w:tc>
        <w:tc>
          <w:tcPr>
            <w:tcW w:w="9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18F542">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桌面云结算系统（结算点位）</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F0D972">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套</w:t>
            </w:r>
          </w:p>
        </w:tc>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7D51F8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default" w:ascii="宋体" w:hAnsi="宋体" w:eastAsia="宋体" w:cs="宋体"/>
                <w:i w:val="0"/>
                <w:iCs w:val="0"/>
                <w:color w:val="000000"/>
                <w:kern w:val="0"/>
                <w:sz w:val="24"/>
                <w:szCs w:val="24"/>
                <w:u w:val="none"/>
                <w:lang w:val="en-US" w:eastAsia="zh-CN" w:bidi="ar"/>
                <w14:ligatures w14:val="standardContextual"/>
              </w:rPr>
              <w:t>≥</w:t>
            </w:r>
            <w:r>
              <w:rPr>
                <w:rFonts w:hint="eastAsia" w:ascii="宋体" w:hAnsi="宋体" w:eastAsia="宋体" w:cs="宋体"/>
                <w:i w:val="0"/>
                <w:iCs w:val="0"/>
                <w:color w:val="000000"/>
                <w:kern w:val="0"/>
                <w:sz w:val="24"/>
                <w:szCs w:val="24"/>
                <w:u w:val="none"/>
                <w:lang w:val="en-US" w:eastAsia="zh-CN" w:bidi="ar"/>
                <w14:ligatures w14:val="standardContextual"/>
              </w:rPr>
              <w:t>300</w:t>
            </w: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AA3CD7">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w:t>
            </w:r>
          </w:p>
        </w:tc>
        <w:tc>
          <w:tcPr>
            <w:tcW w:w="20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70CDA53">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覆盖全院各类结算场景，云端统一管理与防控</w:t>
            </w:r>
          </w:p>
        </w:tc>
      </w:tr>
      <w:tr w14:paraId="56FC42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7296B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5</w:t>
            </w:r>
          </w:p>
        </w:tc>
        <w:tc>
          <w:tcPr>
            <w:tcW w:w="9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6C38FA">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系统信息可视化终端（LED屏）</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14B88B4">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台</w:t>
            </w:r>
          </w:p>
        </w:tc>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810A06">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1</w:t>
            </w: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16D6F3">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w:t>
            </w:r>
          </w:p>
        </w:tc>
        <w:tc>
          <w:tcPr>
            <w:tcW w:w="20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00FAE9">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实时展示运营、结算、资金等核心数据</w:t>
            </w:r>
          </w:p>
        </w:tc>
      </w:tr>
      <w:tr w14:paraId="53254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0" w:hRule="atLeast"/>
        </w:trPr>
        <w:tc>
          <w:tcPr>
            <w:tcW w:w="3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289878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6</w:t>
            </w:r>
          </w:p>
        </w:tc>
        <w:tc>
          <w:tcPr>
            <w:tcW w:w="97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4E2D4FD">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动态公示屏</w:t>
            </w:r>
          </w:p>
        </w:tc>
        <w:tc>
          <w:tcPr>
            <w:tcW w:w="37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E4D86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台</w:t>
            </w:r>
          </w:p>
        </w:tc>
        <w:tc>
          <w:tcPr>
            <w:tcW w:w="44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DB669F">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10</w:t>
            </w: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A98940">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w:t>
            </w:r>
          </w:p>
        </w:tc>
        <w:tc>
          <w:tcPr>
            <w:tcW w:w="208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263D6C">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聚焦医保资金、财务收支、费用结算场景，动态公示各类金融合规信息与就医公告，构建透明化、标准化的医疗金融公示体系。</w:t>
            </w:r>
          </w:p>
          <w:p w14:paraId="22D966F3">
            <w:pPr>
              <w:keepNext w:val="0"/>
              <w:keepLines w:val="0"/>
              <w:widowControl/>
              <w:suppressLineNumbers w:val="0"/>
              <w:jc w:val="left"/>
              <w:textAlignment w:val="center"/>
              <w:rPr>
                <w:rFonts w:hint="eastAsia" w:ascii="宋体" w:hAnsi="宋体" w:eastAsia="宋体" w:cs="宋体"/>
                <w:b w:val="0"/>
                <w:bCs w:val="0"/>
                <w:i w:val="0"/>
                <w:iCs w:val="0"/>
                <w:color w:val="000000"/>
                <w:kern w:val="0"/>
                <w:sz w:val="24"/>
                <w:szCs w:val="24"/>
                <w:u w:val="none"/>
                <w:lang w:val="en-US" w:eastAsia="zh-CN" w:bidi="ar"/>
                <w14:ligatures w14:val="standardContextual"/>
              </w:rPr>
            </w:pPr>
            <w:r>
              <w:rPr>
                <w:rFonts w:hint="eastAsia" w:eastAsia="宋体"/>
                <w:b w:val="0"/>
                <w:bCs w:val="0"/>
                <w:sz w:val="24"/>
                <w:szCs w:val="24"/>
                <w:lang w:val="en-US" w:eastAsia="zh-CN"/>
              </w:rPr>
              <w:t>管理主机1台（含信息发布平台管理软件）</w:t>
            </w:r>
          </w:p>
          <w:p w14:paraId="39C1CC55">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电梯公示屏：4台；</w:t>
            </w:r>
          </w:p>
          <w:p w14:paraId="573CAE14">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落地公示屏：6台</w:t>
            </w:r>
          </w:p>
        </w:tc>
      </w:tr>
      <w:tr w14:paraId="0BDFD9E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2159" w:type="pct"/>
            <w:gridSpan w:val="4"/>
            <w:tcBorders>
              <w:top w:val="single" w:color="000000" w:sz="4" w:space="0"/>
              <w:left w:val="single" w:color="000000" w:sz="4" w:space="0"/>
              <w:bottom w:val="single" w:color="000000" w:sz="4" w:space="0"/>
              <w:right w:val="single" w:color="000000" w:sz="4" w:space="0"/>
            </w:tcBorders>
            <w:shd w:val="clear" w:color="auto" w:fill="auto"/>
            <w:vAlign w:val="center"/>
          </w:tcPr>
          <w:p w14:paraId="3BFE0D61">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14:ligatures w14:val="standardContextual"/>
              </w:rPr>
            </w:pPr>
            <w:r>
              <w:rPr>
                <w:rFonts w:hint="eastAsia" w:ascii="宋体" w:hAnsi="宋体" w:eastAsia="宋体" w:cs="宋体"/>
                <w:b/>
                <w:bCs/>
                <w:i w:val="0"/>
                <w:iCs w:val="0"/>
                <w:color w:val="000000"/>
                <w:kern w:val="0"/>
                <w:sz w:val="24"/>
                <w:szCs w:val="24"/>
                <w:u w:val="none"/>
                <w:lang w:val="en-US" w:eastAsia="zh-CN" w:bidi="ar"/>
                <w14:ligatures w14:val="standardContextual"/>
              </w:rPr>
              <w:t>合计</w:t>
            </w:r>
          </w:p>
        </w:tc>
        <w:tc>
          <w:tcPr>
            <w:tcW w:w="753"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F9ECC9B">
            <w:pPr>
              <w:keepNext w:val="0"/>
              <w:keepLines w:val="0"/>
              <w:widowControl/>
              <w:suppressLineNumbers w:val="0"/>
              <w:jc w:val="center"/>
              <w:textAlignment w:val="center"/>
              <w:rPr>
                <w:rFonts w:hint="eastAsia" w:ascii="宋体" w:hAnsi="宋体" w:eastAsia="宋体" w:cs="宋体"/>
                <w:b/>
                <w:bCs/>
                <w:i w:val="0"/>
                <w:iCs w:val="0"/>
                <w:color w:val="000000"/>
                <w:kern w:val="0"/>
                <w:sz w:val="24"/>
                <w:szCs w:val="24"/>
                <w:u w:val="none"/>
                <w:lang w:val="en-US" w:eastAsia="zh-CN" w:bidi="ar"/>
                <w14:ligatures w14:val="standardContextual"/>
              </w:rPr>
            </w:pPr>
            <w:r>
              <w:rPr>
                <w:rFonts w:hint="eastAsia" w:ascii="宋体" w:hAnsi="宋体" w:eastAsia="宋体" w:cs="宋体"/>
                <w:b/>
                <w:bCs/>
                <w:i w:val="0"/>
                <w:iCs w:val="0"/>
                <w:color w:val="000000"/>
                <w:kern w:val="0"/>
                <w:sz w:val="24"/>
                <w:szCs w:val="24"/>
                <w:u w:val="none"/>
                <w:lang w:val="en-US" w:eastAsia="zh-CN" w:bidi="ar"/>
                <w14:ligatures w14:val="standardContextual"/>
              </w:rPr>
              <w:t>282</w:t>
            </w:r>
          </w:p>
        </w:tc>
        <w:tc>
          <w:tcPr>
            <w:tcW w:w="2086"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B9337">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b/>
                <w:bCs/>
                <w:i w:val="0"/>
                <w:iCs w:val="0"/>
                <w:color w:val="000000"/>
                <w:kern w:val="0"/>
                <w:sz w:val="24"/>
                <w:szCs w:val="24"/>
                <w:u w:val="none"/>
                <w:lang w:val="en-US" w:eastAsia="zh-CN" w:bidi="ar"/>
                <w14:ligatures w14:val="standardContextual"/>
              </w:rPr>
              <w:t>税费另外支付</w:t>
            </w:r>
          </w:p>
        </w:tc>
      </w:tr>
    </w:tbl>
    <w:p w14:paraId="437AF9B0">
      <w:pPr>
        <w:spacing w:after="0" w:line="240" w:lineRule="auto"/>
        <w:rPr>
          <w:rFonts w:hint="default"/>
          <w:b/>
          <w:bCs w:val="0"/>
          <w:sz w:val="20"/>
          <w:szCs w:val="20"/>
          <w:lang w:val="en-US" w:eastAsia="zh-CN"/>
        </w:rPr>
      </w:pPr>
    </w:p>
    <w:p w14:paraId="7464B32E">
      <w:pPr>
        <w:adjustRightInd w:val="0"/>
        <w:spacing w:after="0" w:line="360" w:lineRule="auto"/>
        <w:jc w:val="center"/>
        <w:rPr>
          <w:color w:val="1F2329"/>
          <w:sz w:val="32"/>
          <w:szCs w:val="32"/>
        </w:rPr>
      </w:pPr>
    </w:p>
    <w:p w14:paraId="13D17A10">
      <w:pPr>
        <w:pStyle w:val="4"/>
      </w:pPr>
    </w:p>
    <w:p w14:paraId="4F1340D4"/>
    <w:p w14:paraId="03DAAFAA">
      <w:pPr>
        <w:sectPr>
          <w:pgSz w:w="11906" w:h="16838"/>
          <w:pgMar w:top="1440" w:right="1800" w:bottom="1440" w:left="1800" w:header="851" w:footer="992" w:gutter="0"/>
          <w:pgNumType w:fmt="decimal"/>
          <w:cols w:space="425" w:num="1"/>
          <w:docGrid w:type="lines" w:linePitch="312" w:charSpace="0"/>
        </w:sectPr>
      </w:pPr>
    </w:p>
    <w:p w14:paraId="06C336E4">
      <w:pPr>
        <w:numPr>
          <w:ilvl w:val="0"/>
          <w:numId w:val="0"/>
        </w:numPr>
        <w:adjustRightInd w:val="0"/>
        <w:spacing w:after="0" w:line="360" w:lineRule="auto"/>
        <w:ind w:firstLine="562" w:firstLineChars="200"/>
        <w:rPr>
          <w:rFonts w:hint="eastAsia" w:ascii="宋体" w:hAnsi="宋体" w:eastAsia="宋体"/>
          <w:b/>
          <w:bCs w:val="0"/>
          <w:sz w:val="28"/>
          <w:szCs w:val="28"/>
          <w:lang w:val="en-US" w:eastAsia="zh-CN"/>
        </w:rPr>
      </w:pPr>
      <w:r>
        <w:rPr>
          <w:rFonts w:hint="eastAsia" w:ascii="宋体" w:hAnsi="宋体" w:eastAsia="宋体"/>
          <w:b/>
          <w:bCs w:val="0"/>
          <w:sz w:val="28"/>
          <w:szCs w:val="28"/>
          <w:lang w:val="en-US" w:eastAsia="zh-CN"/>
        </w:rPr>
        <w:t>二、项目内容</w:t>
      </w:r>
    </w:p>
    <w:p w14:paraId="277349CB">
      <w:pPr>
        <w:numPr>
          <w:ilvl w:val="0"/>
          <w:numId w:val="0"/>
        </w:numPr>
        <w:adjustRightInd w:val="0"/>
        <w:spacing w:after="0" w:line="360" w:lineRule="auto"/>
        <w:ind w:firstLine="562" w:firstLineChars="200"/>
        <w:rPr>
          <w:rFonts w:hint="default" w:ascii="宋体" w:hAnsi="宋体" w:eastAsia="宋体"/>
          <w:b/>
          <w:bCs w:val="0"/>
          <w:sz w:val="28"/>
          <w:szCs w:val="28"/>
          <w:lang w:val="en-US" w:eastAsia="zh-CN"/>
        </w:rPr>
      </w:pPr>
      <w:r>
        <w:rPr>
          <w:rFonts w:hint="eastAsia" w:ascii="宋体" w:hAnsi="宋体" w:eastAsia="宋体"/>
          <w:b/>
          <w:bCs w:val="0"/>
          <w:sz w:val="28"/>
          <w:szCs w:val="28"/>
          <w:lang w:val="en-US" w:eastAsia="zh-CN"/>
        </w:rPr>
        <w:t>（一）医院精细化管理系统（1套）</w:t>
      </w:r>
    </w:p>
    <w:p w14:paraId="0E10954A">
      <w:pPr>
        <w:numPr>
          <w:ilvl w:val="0"/>
          <w:numId w:val="0"/>
        </w:numPr>
        <w:adjustRightInd w:val="0"/>
        <w:spacing w:after="0" w:line="360" w:lineRule="auto"/>
        <w:ind w:firstLine="480" w:firstLineChars="200"/>
        <w:rPr>
          <w:rFonts w:hint="eastAsia"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搭建医院</w:t>
      </w:r>
      <w:r>
        <w:rPr>
          <w:rFonts w:hint="eastAsia" w:ascii="宋体" w:hAnsi="宋体" w:eastAsia="宋体" w:cs="宋体"/>
          <w:kern w:val="0"/>
          <w:sz w:val="24"/>
          <w:szCs w:val="24"/>
          <w:lang w:val="en-US" w:eastAsia="zh-CN" w:bidi="ar"/>
        </w:rPr>
        <w:t>病案首页与编码质控、</w:t>
      </w:r>
      <w:r>
        <w:rPr>
          <w:rFonts w:ascii="宋体" w:hAnsi="宋体" w:eastAsia="宋体" w:cs="宋体"/>
          <w:kern w:val="0"/>
          <w:sz w:val="24"/>
          <w:szCs w:val="24"/>
          <w:lang w:val="en-US" w:eastAsia="zh-CN" w:bidi="ar"/>
        </w:rPr>
        <w:t>医保结算、绩效评价核心数字化平台，全面对接医保支付、院内收费、绩效核算等业务，涵盖病案首页与编码质控、公立医院绩效考核上报、DRG 绩效评价管理、DIP 付费管理、医保智能审核（含门诊审核）</w:t>
      </w:r>
      <w:r>
        <w:rPr>
          <w:rFonts w:hint="eastAsia" w:ascii="宋体" w:hAnsi="宋体" w:eastAsia="宋体" w:cs="宋体"/>
          <w:kern w:val="0"/>
          <w:sz w:val="24"/>
          <w:szCs w:val="24"/>
          <w:lang w:val="en-US" w:eastAsia="zh-CN" w:bidi="ar"/>
        </w:rPr>
        <w:t>以及</w:t>
      </w:r>
      <w:r>
        <w:rPr>
          <w:rFonts w:ascii="宋体" w:hAnsi="宋体" w:eastAsia="宋体" w:cs="宋体"/>
          <w:kern w:val="0"/>
          <w:sz w:val="24"/>
          <w:szCs w:val="24"/>
          <w:lang w:val="en-US" w:eastAsia="zh-CN" w:bidi="ar"/>
        </w:rPr>
        <w:t>医保结算清单</w:t>
      </w:r>
      <w:r>
        <w:rPr>
          <w:rFonts w:hint="eastAsia" w:ascii="宋体" w:hAnsi="宋体" w:eastAsia="宋体" w:cs="宋体"/>
          <w:kern w:val="0"/>
          <w:sz w:val="24"/>
          <w:szCs w:val="24"/>
          <w:lang w:val="en-US" w:eastAsia="zh-CN" w:bidi="ar"/>
        </w:rPr>
        <w:t>六</w:t>
      </w:r>
      <w:r>
        <w:rPr>
          <w:rFonts w:ascii="宋体" w:hAnsi="宋体" w:eastAsia="宋体" w:cs="宋体"/>
          <w:kern w:val="0"/>
          <w:sz w:val="24"/>
          <w:szCs w:val="24"/>
          <w:lang w:val="en-US" w:eastAsia="zh-CN" w:bidi="ar"/>
        </w:rPr>
        <w:t>大模块</w:t>
      </w:r>
      <w:r>
        <w:rPr>
          <w:rFonts w:hint="eastAsia" w:ascii="宋体" w:hAnsi="宋体" w:eastAsia="宋体" w:cs="宋体"/>
          <w:kern w:val="0"/>
          <w:sz w:val="24"/>
          <w:szCs w:val="24"/>
          <w:lang w:val="en-US" w:eastAsia="zh-CN" w:bidi="ar"/>
        </w:rPr>
        <w:t>，并配套提供</w:t>
      </w:r>
      <w:r>
        <w:rPr>
          <w:rFonts w:ascii="宋体" w:hAnsi="宋体" w:eastAsia="宋体" w:cs="宋体"/>
          <w:kern w:val="0"/>
          <w:sz w:val="24"/>
          <w:szCs w:val="24"/>
          <w:lang w:val="en-US" w:eastAsia="zh-CN" w:bidi="ar"/>
        </w:rPr>
        <w:t>二次接口服务，实现全流程医保管控、费用核算、数据对接与合规管理</w:t>
      </w:r>
      <w:r>
        <w:rPr>
          <w:rFonts w:hint="eastAsia" w:ascii="宋体" w:hAnsi="宋体" w:eastAsia="宋体" w:cs="宋体"/>
          <w:kern w:val="0"/>
          <w:sz w:val="24"/>
          <w:szCs w:val="24"/>
          <w:lang w:val="en-US" w:eastAsia="zh-CN" w:bidi="ar"/>
        </w:rPr>
        <w:t>。</w:t>
      </w:r>
    </w:p>
    <w:p w14:paraId="599B64F0">
      <w:pPr>
        <w:numPr>
          <w:ilvl w:val="0"/>
          <w:numId w:val="0"/>
        </w:numPr>
        <w:adjustRightInd w:val="0"/>
        <w:spacing w:after="0" w:line="360" w:lineRule="auto"/>
        <w:ind w:firstLine="482" w:firstLineChars="200"/>
        <w:rPr>
          <w:rFonts w:hint="default"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1、</w:t>
      </w:r>
      <w:r>
        <w:rPr>
          <w:rFonts w:ascii="宋体" w:hAnsi="宋体" w:eastAsia="宋体" w:cs="宋体"/>
          <w:b/>
          <w:bCs/>
          <w:kern w:val="0"/>
          <w:sz w:val="24"/>
          <w:szCs w:val="24"/>
          <w:lang w:val="en-US" w:eastAsia="zh-CN" w:bidi="ar"/>
        </w:rPr>
        <w:t>系统包含以下六大模块及配套的二次接口服务</w:t>
      </w:r>
      <w:r>
        <w:rPr>
          <w:rFonts w:hint="eastAsia" w:ascii="宋体" w:hAnsi="宋体" w:eastAsia="宋体" w:cs="宋体"/>
          <w:b/>
          <w:bCs/>
          <w:kern w:val="0"/>
          <w:sz w:val="24"/>
          <w:szCs w:val="24"/>
          <w:lang w:val="en-US" w:eastAsia="zh-CN" w:bidi="ar"/>
        </w:rPr>
        <w:t>建设清单</w:t>
      </w:r>
      <w:r>
        <w:rPr>
          <w:rFonts w:ascii="宋体" w:hAnsi="宋体" w:eastAsia="宋体" w:cs="宋体"/>
          <w:b/>
          <w:bCs/>
          <w:kern w:val="0"/>
          <w:sz w:val="24"/>
          <w:szCs w:val="24"/>
          <w:lang w:val="en-US" w:eastAsia="zh-CN" w:bidi="ar"/>
        </w:rPr>
        <w:t>：</w:t>
      </w:r>
    </w:p>
    <w:tbl>
      <w:tblPr>
        <w:tblStyle w:val="8"/>
        <w:tblW w:w="485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99"/>
        <w:gridCol w:w="7081"/>
      </w:tblGrid>
      <w:tr w14:paraId="0E3EB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33C777C">
            <w:pPr>
              <w:numPr>
                <w:ilvl w:val="0"/>
                <w:numId w:val="0"/>
              </w:numPr>
              <w:adjustRightInd w:val="0"/>
              <w:spacing w:after="0" w:line="360" w:lineRule="auto"/>
              <w:ind w:firstLine="241" w:firstLineChars="100"/>
              <w:jc w:val="both"/>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序号</w:t>
            </w:r>
          </w:p>
        </w:tc>
        <w:tc>
          <w:tcPr>
            <w:tcW w:w="4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6BE911">
            <w:pPr>
              <w:numPr>
                <w:ilvl w:val="0"/>
                <w:numId w:val="0"/>
              </w:numPr>
              <w:adjustRightInd w:val="0"/>
              <w:spacing w:after="0" w:line="360" w:lineRule="auto"/>
              <w:jc w:val="center"/>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val="en-US" w:eastAsia="zh-CN" w:bidi="ar"/>
              </w:rPr>
              <w:t>系统模块</w:t>
            </w:r>
          </w:p>
        </w:tc>
      </w:tr>
      <w:tr w14:paraId="31DFDF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1" w:hRule="atLeast"/>
        </w:trPr>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DC372E">
            <w:pPr>
              <w:numPr>
                <w:ilvl w:val="0"/>
                <w:numId w:val="0"/>
              </w:numPr>
              <w:adjustRightInd w:val="0"/>
              <w:spacing w:after="0" w:line="360" w:lineRule="auto"/>
              <w:ind w:firstLine="480" w:firstLineChars="20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1</w:t>
            </w:r>
          </w:p>
        </w:tc>
        <w:tc>
          <w:tcPr>
            <w:tcW w:w="4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46E2D0B">
            <w:pPr>
              <w:numPr>
                <w:ilvl w:val="0"/>
                <w:numId w:val="0"/>
              </w:numPr>
              <w:adjustRightInd w:val="0"/>
              <w:spacing w:after="0" w:line="360" w:lineRule="auto"/>
              <w:ind w:firstLine="480" w:firstLineChars="20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病案首页与编码质控</w:t>
            </w:r>
            <w:r>
              <w:rPr>
                <w:rFonts w:hint="eastAsia" w:ascii="宋体" w:hAnsi="宋体" w:eastAsia="宋体" w:cs="宋体"/>
                <w:b w:val="0"/>
                <w:bCs w:val="0"/>
                <w:sz w:val="24"/>
                <w:szCs w:val="24"/>
                <w:vertAlign w:val="baseline"/>
                <w:lang w:val="en-US" w:eastAsia="zh-CN"/>
              </w:rPr>
              <w:t>（包含HQMS上报）</w:t>
            </w:r>
          </w:p>
        </w:tc>
      </w:tr>
      <w:tr w14:paraId="294DA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1" w:hRule="atLeast"/>
        </w:trPr>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8DEEA41">
            <w:pPr>
              <w:numPr>
                <w:ilvl w:val="0"/>
                <w:numId w:val="0"/>
              </w:numPr>
              <w:adjustRightInd w:val="0"/>
              <w:spacing w:after="0" w:line="360" w:lineRule="auto"/>
              <w:ind w:firstLine="480" w:firstLineChars="20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2</w:t>
            </w:r>
          </w:p>
        </w:tc>
        <w:tc>
          <w:tcPr>
            <w:tcW w:w="4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17E89">
            <w:pPr>
              <w:numPr>
                <w:ilvl w:val="0"/>
                <w:numId w:val="0"/>
              </w:numPr>
              <w:adjustRightInd w:val="0"/>
              <w:spacing w:after="0" w:line="360" w:lineRule="auto"/>
              <w:ind w:firstLine="480" w:firstLineChars="20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公立医院绩效考核上报</w:t>
            </w:r>
          </w:p>
        </w:tc>
      </w:tr>
      <w:tr w14:paraId="167CE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7" w:hRule="atLeast"/>
        </w:trPr>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8F39BC">
            <w:pPr>
              <w:numPr>
                <w:ilvl w:val="0"/>
                <w:numId w:val="0"/>
              </w:numPr>
              <w:adjustRightInd w:val="0"/>
              <w:spacing w:after="0" w:line="360" w:lineRule="auto"/>
              <w:ind w:firstLine="480" w:firstLineChars="20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3</w:t>
            </w:r>
          </w:p>
        </w:tc>
        <w:tc>
          <w:tcPr>
            <w:tcW w:w="4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9A50730">
            <w:pPr>
              <w:numPr>
                <w:ilvl w:val="0"/>
                <w:numId w:val="0"/>
              </w:numPr>
              <w:adjustRightInd w:val="0"/>
              <w:spacing w:after="0" w:line="360" w:lineRule="auto"/>
              <w:ind w:firstLine="480" w:firstLineChars="20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DRG绩效评价管理</w:t>
            </w:r>
          </w:p>
        </w:tc>
      </w:tr>
      <w:tr w14:paraId="52CB81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75" w:hRule="atLeast"/>
        </w:trPr>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72BB4E">
            <w:pPr>
              <w:numPr>
                <w:ilvl w:val="0"/>
                <w:numId w:val="0"/>
              </w:numPr>
              <w:adjustRightInd w:val="0"/>
              <w:spacing w:after="0" w:line="360" w:lineRule="auto"/>
              <w:ind w:firstLine="480" w:firstLineChars="20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4</w:t>
            </w:r>
          </w:p>
        </w:tc>
        <w:tc>
          <w:tcPr>
            <w:tcW w:w="4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B76B6B">
            <w:pPr>
              <w:numPr>
                <w:ilvl w:val="0"/>
                <w:numId w:val="0"/>
              </w:numPr>
              <w:adjustRightInd w:val="0"/>
              <w:spacing w:after="0" w:line="360" w:lineRule="auto"/>
              <w:ind w:firstLine="480" w:firstLineChars="20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DIP付费管理</w:t>
            </w:r>
          </w:p>
        </w:tc>
      </w:tr>
      <w:tr w14:paraId="2B97A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10" w:hRule="atLeast"/>
        </w:trPr>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EC38405">
            <w:pPr>
              <w:numPr>
                <w:ilvl w:val="0"/>
                <w:numId w:val="0"/>
              </w:numPr>
              <w:adjustRightInd w:val="0"/>
              <w:spacing w:after="0" w:line="360" w:lineRule="auto"/>
              <w:ind w:firstLine="480" w:firstLineChars="20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5</w:t>
            </w:r>
          </w:p>
        </w:tc>
        <w:tc>
          <w:tcPr>
            <w:tcW w:w="4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B2B45F">
            <w:pPr>
              <w:numPr>
                <w:ilvl w:val="0"/>
                <w:numId w:val="0"/>
              </w:numPr>
              <w:adjustRightInd w:val="0"/>
              <w:spacing w:after="0" w:line="360" w:lineRule="auto"/>
              <w:ind w:firstLine="480" w:firstLineChars="20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医保智能审核(含门诊审核)</w:t>
            </w:r>
          </w:p>
        </w:tc>
      </w:tr>
      <w:tr w14:paraId="458D7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4" w:hRule="atLeast"/>
        </w:trPr>
        <w:tc>
          <w:tcPr>
            <w:tcW w:w="72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DAD0DC8">
            <w:pPr>
              <w:numPr>
                <w:ilvl w:val="0"/>
                <w:numId w:val="0"/>
              </w:numPr>
              <w:adjustRightInd w:val="0"/>
              <w:spacing w:after="0" w:line="360" w:lineRule="auto"/>
              <w:ind w:firstLine="480" w:firstLineChars="200"/>
              <w:jc w:val="both"/>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6</w:t>
            </w:r>
          </w:p>
        </w:tc>
        <w:tc>
          <w:tcPr>
            <w:tcW w:w="427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35C97C">
            <w:pPr>
              <w:numPr>
                <w:ilvl w:val="0"/>
                <w:numId w:val="0"/>
              </w:numPr>
              <w:adjustRightInd w:val="0"/>
              <w:spacing w:after="0" w:line="360" w:lineRule="auto"/>
              <w:ind w:firstLine="480" w:firstLineChars="20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医保结算清单</w:t>
            </w:r>
            <w:r>
              <w:rPr>
                <w:rFonts w:hint="eastAsia" w:asciiTheme="minorEastAsia" w:hAnsiTheme="minorEastAsia" w:eastAsiaTheme="minorEastAsia" w:cstheme="minorEastAsia"/>
                <w:sz w:val="24"/>
                <w:szCs w:val="24"/>
                <w:vertAlign w:val="baseline"/>
                <w:lang w:val="en-US" w:eastAsia="zh-CN"/>
              </w:rPr>
              <w:t>质控</w:t>
            </w:r>
          </w:p>
        </w:tc>
      </w:tr>
      <w:tr w14:paraId="6369C2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73" w:hRule="atLeast"/>
        </w:trPr>
        <w:tc>
          <w:tcPr>
            <w:tcW w:w="5000" w:type="pct"/>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F2C9B84">
            <w:pPr>
              <w:numPr>
                <w:ilvl w:val="0"/>
                <w:numId w:val="0"/>
              </w:numPr>
              <w:adjustRightInd w:val="0"/>
              <w:spacing w:after="0" w:line="360" w:lineRule="auto"/>
              <w:ind w:firstLine="480" w:firstLineChars="20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备注 接口改造：成交供应商需负责医院第三方系统（HIS、电子病历、省病案管理系统等）第三方系统数据对接及系统改造费用。</w:t>
            </w:r>
          </w:p>
        </w:tc>
      </w:tr>
    </w:tbl>
    <w:p w14:paraId="366988C2">
      <w:pPr>
        <w:pStyle w:val="3"/>
        <w:keepNext w:val="0"/>
        <w:keepLines w:val="0"/>
        <w:pageBreakBefore w:val="0"/>
        <w:widowControl/>
        <w:numPr>
          <w:ilvl w:val="0"/>
          <w:numId w:val="2"/>
        </w:numPr>
        <w:kinsoku/>
        <w:wordWrap/>
        <w:overflowPunct/>
        <w:topLinePunct w:val="0"/>
        <w:autoSpaceDE/>
        <w:autoSpaceDN/>
        <w:bidi w:val="0"/>
        <w:adjustRightInd/>
        <w:snapToGrid/>
        <w:spacing w:before="157" w:beforeLines="50" w:after="157" w:afterLines="50"/>
        <w:ind w:leftChars="200"/>
        <w:textAlignment w:val="auto"/>
        <w:rPr>
          <w:rFonts w:hint="eastAsia" w:eastAsia="宋体"/>
          <w:sz w:val="24"/>
          <w:szCs w:val="24"/>
          <w:lang w:val="en-US" w:eastAsia="zh-CN"/>
        </w:rPr>
      </w:pPr>
      <w:r>
        <w:rPr>
          <w:rFonts w:hint="eastAsia" w:eastAsia="宋体"/>
          <w:sz w:val="24"/>
          <w:szCs w:val="24"/>
          <w:lang w:val="en-US" w:eastAsia="zh-CN"/>
        </w:rPr>
        <w:t>系统功能参数建设要求</w:t>
      </w:r>
    </w:p>
    <w:p w14:paraId="4733B905">
      <w:pPr>
        <w:pStyle w:val="5"/>
        <w:adjustRightInd w:val="0"/>
        <w:snapToGrid w:val="0"/>
        <w:spacing w:line="360" w:lineRule="auto"/>
        <w:ind w:firstLine="480" w:firstLineChars="200"/>
        <w:rPr>
          <w:rFonts w:hint="eastAsia" w:ascii="宋体" w:hAnsi="宋体" w:eastAsia="宋体" w:cs="宋体"/>
          <w:kern w:val="0"/>
          <w:sz w:val="24"/>
          <w:szCs w:val="24"/>
          <w:lang w:val="en-US" w:eastAsia="zh-CN" w:bidi="ar"/>
          <w14:ligatures w14:val="standardContextual"/>
        </w:rPr>
      </w:pPr>
      <w:r>
        <w:rPr>
          <w:rFonts w:hint="eastAsia" w:ascii="宋体" w:hAnsi="宋体" w:eastAsia="宋体" w:cs="宋体"/>
          <w:kern w:val="0"/>
          <w:sz w:val="24"/>
          <w:szCs w:val="24"/>
          <w:lang w:val="en-US" w:eastAsia="zh-CN" w:bidi="ar"/>
          <w14:ligatures w14:val="standardContextual"/>
        </w:rPr>
        <w:t>“★”号条款是关键技术参数，一项不符合即导致该供应商响应无效。“▲”号条款为评审时的重要技术参数，不作为响应无效条款，供应商需按要求提供证明文件并在响应文件中标明所在页码。如供应商对“▲”号条款有负偏离，将重点扣分。</w:t>
      </w:r>
    </w:p>
    <w:tbl>
      <w:tblPr>
        <w:tblStyle w:val="9"/>
        <w:tblW w:w="91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3"/>
        <w:gridCol w:w="880"/>
        <w:gridCol w:w="2384"/>
        <w:gridCol w:w="656"/>
        <w:gridCol w:w="3205"/>
        <w:gridCol w:w="1099"/>
      </w:tblGrid>
      <w:tr w14:paraId="56E9C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blHeader/>
        </w:trPr>
        <w:tc>
          <w:tcPr>
            <w:tcW w:w="893" w:type="dxa"/>
            <w:vAlign w:val="center"/>
          </w:tcPr>
          <w:p w14:paraId="4473804E">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sz w:val="21"/>
                <w:szCs w:val="21"/>
                <w:vertAlign w:val="baseline"/>
                <w:lang w:val="en-US" w:eastAsia="zh-CN"/>
              </w:rPr>
            </w:pPr>
            <w:r>
              <w:rPr>
                <w:rFonts w:hint="eastAsia" w:ascii="宋体" w:hAnsi="宋体" w:eastAsia="宋体" w:cs="宋体"/>
                <w:b/>
                <w:bCs/>
                <w:i w:val="0"/>
                <w:iCs w:val="0"/>
                <w:color w:val="000000"/>
                <w:kern w:val="0"/>
                <w:sz w:val="21"/>
                <w:szCs w:val="21"/>
                <w:u w:val="none"/>
                <w:lang w:val="en-US" w:eastAsia="zh-CN" w:bidi="ar"/>
              </w:rPr>
              <w:t>系统模块</w:t>
            </w:r>
          </w:p>
        </w:tc>
        <w:tc>
          <w:tcPr>
            <w:tcW w:w="880" w:type="dxa"/>
            <w:vAlign w:val="center"/>
          </w:tcPr>
          <w:p w14:paraId="0AD62E6D">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sz w:val="21"/>
                <w:szCs w:val="21"/>
                <w:vertAlign w:val="baseline"/>
                <w:lang w:val="en-US" w:eastAsia="zh-CN"/>
              </w:rPr>
            </w:pPr>
            <w:r>
              <w:rPr>
                <w:rFonts w:hint="eastAsia" w:ascii="宋体" w:hAnsi="宋体" w:eastAsia="宋体" w:cs="宋体"/>
                <w:b/>
                <w:bCs/>
                <w:i w:val="0"/>
                <w:iCs w:val="0"/>
                <w:color w:val="000000"/>
                <w:kern w:val="0"/>
                <w:sz w:val="21"/>
                <w:szCs w:val="21"/>
                <w:u w:val="none"/>
                <w:lang w:val="en-US" w:eastAsia="zh-CN" w:bidi="ar"/>
              </w:rPr>
              <w:t>功能点</w:t>
            </w:r>
          </w:p>
        </w:tc>
        <w:tc>
          <w:tcPr>
            <w:tcW w:w="2384" w:type="dxa"/>
            <w:vAlign w:val="center"/>
          </w:tcPr>
          <w:p w14:paraId="2DB6856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sz w:val="21"/>
                <w:szCs w:val="21"/>
                <w:vertAlign w:val="baseline"/>
                <w:lang w:val="en-US" w:eastAsia="zh-CN"/>
              </w:rPr>
            </w:pPr>
            <w:r>
              <w:rPr>
                <w:rFonts w:hint="eastAsia" w:ascii="宋体" w:hAnsi="宋体" w:eastAsia="宋体" w:cs="宋体"/>
                <w:b/>
                <w:bCs/>
                <w:i w:val="0"/>
                <w:iCs w:val="0"/>
                <w:color w:val="000000"/>
                <w:kern w:val="0"/>
                <w:sz w:val="21"/>
                <w:szCs w:val="21"/>
                <w:u w:val="none"/>
                <w:lang w:val="en-US" w:eastAsia="zh-CN" w:bidi="ar"/>
              </w:rPr>
              <w:t>功能描述</w:t>
            </w:r>
          </w:p>
        </w:tc>
        <w:tc>
          <w:tcPr>
            <w:tcW w:w="656" w:type="dxa"/>
            <w:vAlign w:val="center"/>
          </w:tcPr>
          <w:p w14:paraId="3AB2A646">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sz w:val="21"/>
                <w:szCs w:val="21"/>
                <w:vertAlign w:val="baseline"/>
                <w:lang w:val="en-US" w:eastAsia="zh-CN"/>
              </w:rPr>
            </w:pPr>
            <w:r>
              <w:rPr>
                <w:rFonts w:hint="eastAsia" w:ascii="宋体" w:hAnsi="宋体" w:eastAsia="宋体" w:cs="宋体"/>
                <w:b/>
                <w:bCs/>
                <w:i w:val="0"/>
                <w:iCs w:val="0"/>
                <w:color w:val="000000"/>
                <w:kern w:val="0"/>
                <w:sz w:val="21"/>
                <w:szCs w:val="21"/>
                <w:u w:val="none"/>
                <w:lang w:val="en-US" w:eastAsia="zh-CN" w:bidi="ar"/>
              </w:rPr>
              <w:t>序号</w:t>
            </w:r>
          </w:p>
        </w:tc>
        <w:tc>
          <w:tcPr>
            <w:tcW w:w="3205" w:type="dxa"/>
            <w:vAlign w:val="center"/>
          </w:tcPr>
          <w:p w14:paraId="4135C7EB">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sz w:val="21"/>
                <w:szCs w:val="21"/>
                <w:vertAlign w:val="baseline"/>
                <w:lang w:val="en-US" w:eastAsia="zh-CN"/>
              </w:rPr>
            </w:pPr>
            <w:r>
              <w:rPr>
                <w:rFonts w:hint="eastAsia" w:ascii="宋体" w:hAnsi="宋体" w:eastAsia="宋体" w:cs="宋体"/>
                <w:b/>
                <w:bCs/>
                <w:i w:val="0"/>
                <w:iCs w:val="0"/>
                <w:color w:val="000000"/>
                <w:kern w:val="0"/>
                <w:sz w:val="21"/>
                <w:szCs w:val="21"/>
                <w:u w:val="none"/>
                <w:lang w:val="en-US" w:eastAsia="zh-CN" w:bidi="ar"/>
              </w:rPr>
              <w:t>参数响应要求</w:t>
            </w:r>
          </w:p>
        </w:tc>
        <w:tc>
          <w:tcPr>
            <w:tcW w:w="1099" w:type="dxa"/>
            <w:vAlign w:val="center"/>
          </w:tcPr>
          <w:p w14:paraId="7FF82D04">
            <w:pPr>
              <w:keepNext w:val="0"/>
              <w:keepLines w:val="0"/>
              <w:pageBreakBefore w:val="0"/>
              <w:widowControl/>
              <w:suppressLineNumbers w:val="0"/>
              <w:kinsoku/>
              <w:wordWrap/>
              <w:overflowPunct/>
              <w:topLinePunct w:val="0"/>
              <w:autoSpaceDE/>
              <w:autoSpaceDN/>
              <w:bidi w:val="0"/>
              <w:adjustRightInd/>
              <w:snapToGrid/>
              <w:spacing w:line="240" w:lineRule="auto"/>
              <w:ind w:firstLine="0" w:firstLineChars="0"/>
              <w:jc w:val="center"/>
              <w:textAlignment w:val="center"/>
              <w:rPr>
                <w:rFonts w:hint="eastAsia"/>
                <w:sz w:val="21"/>
                <w:szCs w:val="21"/>
                <w:vertAlign w:val="baseline"/>
                <w:lang w:val="en-US" w:eastAsia="zh-CN"/>
              </w:rPr>
            </w:pPr>
            <w:r>
              <w:rPr>
                <w:rFonts w:hint="eastAsia" w:ascii="宋体" w:hAnsi="宋体" w:eastAsia="宋体" w:cs="宋体"/>
                <w:b/>
                <w:bCs/>
                <w:i w:val="0"/>
                <w:iCs w:val="0"/>
                <w:color w:val="000000"/>
                <w:kern w:val="0"/>
                <w:sz w:val="21"/>
                <w:szCs w:val="21"/>
                <w:u w:val="none"/>
                <w:lang w:val="en-US" w:eastAsia="zh-CN" w:bidi="ar"/>
              </w:rPr>
              <w:t>“▲”号</w:t>
            </w:r>
            <w:r>
              <w:rPr>
                <w:rFonts w:hint="eastAsia" w:ascii="宋体" w:hAnsi="宋体" w:eastAsia="宋体" w:cs="宋体"/>
                <w:b/>
                <w:bCs/>
                <w:i w:val="0"/>
                <w:iCs w:val="0"/>
                <w:color w:val="000000"/>
                <w:kern w:val="0"/>
                <w:sz w:val="21"/>
                <w:szCs w:val="21"/>
                <w:u w:val="none"/>
                <w:lang w:val="en-US" w:eastAsia="zh-CN" w:bidi="ar"/>
              </w:rPr>
              <w:br w:type="textWrapping"/>
            </w:r>
            <w:r>
              <w:rPr>
                <w:rFonts w:hint="eastAsia" w:ascii="宋体" w:hAnsi="宋体" w:eastAsia="宋体" w:cs="宋体"/>
                <w:b/>
                <w:bCs/>
                <w:i w:val="0"/>
                <w:iCs w:val="0"/>
                <w:color w:val="000000"/>
                <w:kern w:val="0"/>
                <w:sz w:val="21"/>
                <w:szCs w:val="21"/>
                <w:u w:val="none"/>
                <w:lang w:val="en-US" w:eastAsia="zh-CN" w:bidi="ar"/>
              </w:rPr>
              <w:t>条款</w:t>
            </w:r>
          </w:p>
        </w:tc>
      </w:tr>
      <w:tr w14:paraId="791CFF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restart"/>
            <w:vAlign w:val="center"/>
          </w:tcPr>
          <w:p w14:paraId="7D29D306">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病案首页与编码质控（包含HQMS上报）</w:t>
            </w:r>
          </w:p>
        </w:tc>
        <w:tc>
          <w:tcPr>
            <w:tcW w:w="880" w:type="dxa"/>
            <w:vMerge w:val="restart"/>
            <w:vAlign w:val="center"/>
          </w:tcPr>
          <w:p w14:paraId="19336846">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医生病案助手</w:t>
            </w:r>
          </w:p>
        </w:tc>
        <w:tc>
          <w:tcPr>
            <w:tcW w:w="2384" w:type="dxa"/>
            <w:vMerge w:val="restart"/>
            <w:vAlign w:val="center"/>
          </w:tcPr>
          <w:p w14:paraId="2279661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both"/>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查看医生匹配方案情况，进行医编互动协同；支持首页修正记录查看。支持医生端在电子病历填写完首页后，进行首页逻辑质控规则扫描并预警提示。</w:t>
            </w:r>
          </w:p>
        </w:tc>
        <w:tc>
          <w:tcPr>
            <w:tcW w:w="656" w:type="dxa"/>
            <w:vAlign w:val="center"/>
          </w:tcPr>
          <w:p w14:paraId="263B938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w:t>
            </w:r>
          </w:p>
        </w:tc>
        <w:tc>
          <w:tcPr>
            <w:tcW w:w="3205" w:type="dxa"/>
            <w:vAlign w:val="center"/>
          </w:tcPr>
          <w:p w14:paraId="2EC59AC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查看缺陷首页，展示病案质控人员的修改备注及建议</w:t>
            </w:r>
          </w:p>
        </w:tc>
        <w:tc>
          <w:tcPr>
            <w:tcW w:w="1099" w:type="dxa"/>
            <w:vAlign w:val="center"/>
          </w:tcPr>
          <w:p w14:paraId="1FBE454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w:t>
            </w:r>
          </w:p>
        </w:tc>
      </w:tr>
      <w:tr w14:paraId="5146BE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3866186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E1818E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067D7109">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0FD0A4A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w:t>
            </w:r>
          </w:p>
        </w:tc>
        <w:tc>
          <w:tcPr>
            <w:tcW w:w="3205" w:type="dxa"/>
            <w:vAlign w:val="center"/>
          </w:tcPr>
          <w:p w14:paraId="4C45D78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医生定位问题修正后重新提交</w:t>
            </w:r>
          </w:p>
        </w:tc>
        <w:tc>
          <w:tcPr>
            <w:tcW w:w="1099" w:type="dxa"/>
            <w:vAlign w:val="center"/>
          </w:tcPr>
          <w:p w14:paraId="555DE42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43A7B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77E9DB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4075FD6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5DC9F5B3">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2F2400C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3</w:t>
            </w:r>
          </w:p>
        </w:tc>
        <w:tc>
          <w:tcPr>
            <w:tcW w:w="3205" w:type="dxa"/>
            <w:vAlign w:val="center"/>
          </w:tcPr>
          <w:p w14:paraId="763CE07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数据质控预警，展示终末数据质控的预警结果</w:t>
            </w:r>
          </w:p>
        </w:tc>
        <w:tc>
          <w:tcPr>
            <w:tcW w:w="1099" w:type="dxa"/>
            <w:vAlign w:val="center"/>
          </w:tcPr>
          <w:p w14:paraId="5C195FC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5DD00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5C27E1D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78A547E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489AE2B4">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40C20D5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4</w:t>
            </w:r>
          </w:p>
        </w:tc>
        <w:tc>
          <w:tcPr>
            <w:tcW w:w="3205" w:type="dxa"/>
            <w:vAlign w:val="center"/>
          </w:tcPr>
          <w:p w14:paraId="659CEC7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EMR端嵌入界面，展示首页提交质控预警</w:t>
            </w:r>
          </w:p>
        </w:tc>
        <w:tc>
          <w:tcPr>
            <w:tcW w:w="1099" w:type="dxa"/>
            <w:vAlign w:val="center"/>
          </w:tcPr>
          <w:p w14:paraId="2E23AF9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396CB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59B579F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7D0C5A4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7575E654">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2C69C4B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5</w:t>
            </w:r>
          </w:p>
        </w:tc>
        <w:tc>
          <w:tcPr>
            <w:tcW w:w="3205" w:type="dxa"/>
            <w:vAlign w:val="center"/>
          </w:tcPr>
          <w:p w14:paraId="0574161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科室质控报表，支持预警明细导出</w:t>
            </w:r>
          </w:p>
        </w:tc>
        <w:tc>
          <w:tcPr>
            <w:tcW w:w="1099" w:type="dxa"/>
            <w:vAlign w:val="center"/>
          </w:tcPr>
          <w:p w14:paraId="7401FBC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4F938C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D60321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05393A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2AF0E299">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474E79E1">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6</w:t>
            </w:r>
          </w:p>
        </w:tc>
        <w:tc>
          <w:tcPr>
            <w:tcW w:w="3205" w:type="dxa"/>
            <w:vAlign w:val="center"/>
          </w:tcPr>
          <w:p w14:paraId="10671A2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医生质控报表，支持预警明细导出</w:t>
            </w:r>
          </w:p>
        </w:tc>
        <w:tc>
          <w:tcPr>
            <w:tcW w:w="1099" w:type="dxa"/>
            <w:vAlign w:val="center"/>
          </w:tcPr>
          <w:p w14:paraId="2B41880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4E1FF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3549558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restart"/>
            <w:vAlign w:val="center"/>
          </w:tcPr>
          <w:p w14:paraId="6DB70EB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出院</w:t>
            </w:r>
          </w:p>
          <w:p w14:paraId="2523D86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编码</w:t>
            </w:r>
          </w:p>
        </w:tc>
        <w:tc>
          <w:tcPr>
            <w:tcW w:w="2384" w:type="dxa"/>
            <w:vMerge w:val="restart"/>
            <w:vAlign w:val="center"/>
          </w:tcPr>
          <w:p w14:paraId="73E24ED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both"/>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对首页信息的规则质控预警。支持首页信息录入及规则校验，可高效进行编码录入排序、手术信息调整等。编码内涵质控规则扫描，具有残余类目、年龄限定、性别限定、主诊选择、形态学动态码限定、章节优先、对应编码等类型限定规则。</w:t>
            </w:r>
          </w:p>
        </w:tc>
        <w:tc>
          <w:tcPr>
            <w:tcW w:w="656" w:type="dxa"/>
            <w:vAlign w:val="center"/>
          </w:tcPr>
          <w:p w14:paraId="1DF6ADF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7</w:t>
            </w:r>
          </w:p>
        </w:tc>
        <w:tc>
          <w:tcPr>
            <w:tcW w:w="3205" w:type="dxa"/>
            <w:vAlign w:val="center"/>
          </w:tcPr>
          <w:p w14:paraId="6256C8E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支持首页分类页评分，展示各页扣分情况</w:t>
            </w:r>
          </w:p>
        </w:tc>
        <w:tc>
          <w:tcPr>
            <w:tcW w:w="1099" w:type="dxa"/>
            <w:vAlign w:val="center"/>
          </w:tcPr>
          <w:p w14:paraId="59A636A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w:t>
            </w:r>
          </w:p>
        </w:tc>
      </w:tr>
      <w:tr w14:paraId="712E8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B63A4B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1EA539B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559A256C">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570ECBB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8</w:t>
            </w:r>
          </w:p>
        </w:tc>
        <w:tc>
          <w:tcPr>
            <w:tcW w:w="3205" w:type="dxa"/>
            <w:vAlign w:val="center"/>
          </w:tcPr>
          <w:p w14:paraId="18FF999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基础信息规则质控</w:t>
            </w:r>
          </w:p>
        </w:tc>
        <w:tc>
          <w:tcPr>
            <w:tcW w:w="1099" w:type="dxa"/>
            <w:vAlign w:val="center"/>
          </w:tcPr>
          <w:p w14:paraId="1A2D435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4D963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8A201C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83AB02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5E408CC5">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73A4BF0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9</w:t>
            </w:r>
          </w:p>
        </w:tc>
        <w:tc>
          <w:tcPr>
            <w:tcW w:w="3205" w:type="dxa"/>
            <w:vAlign w:val="center"/>
          </w:tcPr>
          <w:p w14:paraId="12E49311">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首页多字段逻辑规则质控</w:t>
            </w:r>
          </w:p>
        </w:tc>
        <w:tc>
          <w:tcPr>
            <w:tcW w:w="1099" w:type="dxa"/>
            <w:vAlign w:val="center"/>
          </w:tcPr>
          <w:p w14:paraId="35249E0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507F3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2A5B06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192AF71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21970A6B">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0CB4A52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10</w:t>
            </w:r>
          </w:p>
        </w:tc>
        <w:tc>
          <w:tcPr>
            <w:tcW w:w="3205" w:type="dxa"/>
            <w:vAlign w:val="center"/>
          </w:tcPr>
          <w:p w14:paraId="4F0D9A6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ICD编码基础质控，提示错误原因</w:t>
            </w:r>
          </w:p>
        </w:tc>
        <w:tc>
          <w:tcPr>
            <w:tcW w:w="1099" w:type="dxa"/>
            <w:vAlign w:val="center"/>
          </w:tcPr>
          <w:p w14:paraId="1445D30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2B169D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6A52BBE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7918658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03403E08">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346B699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11</w:t>
            </w:r>
          </w:p>
        </w:tc>
        <w:tc>
          <w:tcPr>
            <w:tcW w:w="3205" w:type="dxa"/>
            <w:vAlign w:val="center"/>
          </w:tcPr>
          <w:p w14:paraId="4AD0F88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支持根据医生诊断匹配ICD编码</w:t>
            </w:r>
          </w:p>
        </w:tc>
        <w:tc>
          <w:tcPr>
            <w:tcW w:w="1099" w:type="dxa"/>
            <w:vAlign w:val="center"/>
          </w:tcPr>
          <w:p w14:paraId="66C8B52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3F269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27C46D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8FE3AC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2BE7CD30">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330650D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12</w:t>
            </w:r>
          </w:p>
        </w:tc>
        <w:tc>
          <w:tcPr>
            <w:tcW w:w="3205" w:type="dxa"/>
            <w:vAlign w:val="center"/>
          </w:tcPr>
          <w:p w14:paraId="5B1E347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快捷编码操作界面，支持ICD拖动排序</w:t>
            </w:r>
          </w:p>
        </w:tc>
        <w:tc>
          <w:tcPr>
            <w:tcW w:w="1099" w:type="dxa"/>
            <w:vAlign w:val="center"/>
          </w:tcPr>
          <w:p w14:paraId="3DE069A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b/>
                <w:bCs/>
                <w:i w:val="0"/>
                <w:iCs w:val="0"/>
                <w:color w:val="000000"/>
                <w:kern w:val="0"/>
                <w:sz w:val="21"/>
                <w:szCs w:val="21"/>
                <w:u w:val="none"/>
                <w:lang w:val="en-US" w:eastAsia="zh-CN" w:bidi="ar"/>
              </w:rPr>
              <w:t>▲</w:t>
            </w:r>
          </w:p>
        </w:tc>
      </w:tr>
      <w:tr w14:paraId="6DD10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0753D5F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F0A614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4C402023">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3D3373E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13</w:t>
            </w:r>
          </w:p>
        </w:tc>
        <w:tc>
          <w:tcPr>
            <w:tcW w:w="3205" w:type="dxa"/>
            <w:vAlign w:val="center"/>
          </w:tcPr>
          <w:p w14:paraId="7912986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临床版与医保版编码对照质控</w:t>
            </w:r>
          </w:p>
        </w:tc>
        <w:tc>
          <w:tcPr>
            <w:tcW w:w="1099" w:type="dxa"/>
            <w:vAlign w:val="center"/>
          </w:tcPr>
          <w:p w14:paraId="7F60772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276A3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05FD646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3F63A3C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78C0208F">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5C5CCB1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14</w:t>
            </w:r>
          </w:p>
        </w:tc>
        <w:tc>
          <w:tcPr>
            <w:tcW w:w="3205" w:type="dxa"/>
            <w:vAlign w:val="center"/>
          </w:tcPr>
          <w:p w14:paraId="6FFB73D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支持新增首页拓展字段</w:t>
            </w:r>
          </w:p>
        </w:tc>
        <w:tc>
          <w:tcPr>
            <w:tcW w:w="1099" w:type="dxa"/>
            <w:vAlign w:val="center"/>
          </w:tcPr>
          <w:p w14:paraId="3C483C6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718E32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4BC060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70CFCFC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6A2D1474">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50D7B98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15</w:t>
            </w:r>
          </w:p>
        </w:tc>
        <w:tc>
          <w:tcPr>
            <w:tcW w:w="3205" w:type="dxa"/>
            <w:vAlign w:val="center"/>
          </w:tcPr>
          <w:p w14:paraId="7B609726">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自动判断HIS住院号+住院次数病案系统病案号冲突提醒</w:t>
            </w:r>
          </w:p>
        </w:tc>
        <w:tc>
          <w:tcPr>
            <w:tcW w:w="1099" w:type="dxa"/>
            <w:vAlign w:val="center"/>
          </w:tcPr>
          <w:p w14:paraId="28D29A4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w:t>
            </w:r>
          </w:p>
        </w:tc>
      </w:tr>
      <w:tr w14:paraId="3B668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3D03AB4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6C09F7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51E1274E">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17C0144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16</w:t>
            </w:r>
          </w:p>
        </w:tc>
        <w:tc>
          <w:tcPr>
            <w:tcW w:w="3205" w:type="dxa"/>
            <w:vAlign w:val="center"/>
          </w:tcPr>
          <w:p w14:paraId="764E01C1">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支持实时编码的入组匹配，实时测算患者分值、基准率、结余等</w:t>
            </w:r>
          </w:p>
        </w:tc>
        <w:tc>
          <w:tcPr>
            <w:tcW w:w="1099" w:type="dxa"/>
            <w:vAlign w:val="center"/>
          </w:tcPr>
          <w:p w14:paraId="5B0FCA6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w:t>
            </w:r>
          </w:p>
        </w:tc>
      </w:tr>
      <w:tr w14:paraId="7DE1D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EE8268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7AD43CF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0E0C0AB5">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6035AA2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17</w:t>
            </w:r>
          </w:p>
        </w:tc>
        <w:tc>
          <w:tcPr>
            <w:tcW w:w="3205" w:type="dxa"/>
            <w:vAlign w:val="center"/>
          </w:tcPr>
          <w:p w14:paraId="34D6ACF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病案首页数据单条/批量回写</w:t>
            </w:r>
          </w:p>
        </w:tc>
        <w:tc>
          <w:tcPr>
            <w:tcW w:w="1099" w:type="dxa"/>
            <w:vAlign w:val="center"/>
          </w:tcPr>
          <w:p w14:paraId="21698DF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1C53A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0C7532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33EA7E6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1CE99917">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62E0D8F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18</w:t>
            </w:r>
          </w:p>
        </w:tc>
        <w:tc>
          <w:tcPr>
            <w:tcW w:w="3205" w:type="dxa"/>
            <w:vAlign w:val="center"/>
          </w:tcPr>
          <w:p w14:paraId="7BB657F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支持手动扫描病历问题，并自动标识问题字段</w:t>
            </w:r>
          </w:p>
        </w:tc>
        <w:tc>
          <w:tcPr>
            <w:tcW w:w="1099" w:type="dxa"/>
            <w:vAlign w:val="center"/>
          </w:tcPr>
          <w:p w14:paraId="4ECB918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5E0E1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1A75AC6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707A9CA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158F27D5">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47C223D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19</w:t>
            </w:r>
          </w:p>
        </w:tc>
        <w:tc>
          <w:tcPr>
            <w:tcW w:w="3205" w:type="dxa"/>
            <w:vAlign w:val="center"/>
          </w:tcPr>
          <w:p w14:paraId="21657A84">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支持标注未完成病历并禁止未完成病历回写</w:t>
            </w:r>
          </w:p>
        </w:tc>
        <w:tc>
          <w:tcPr>
            <w:tcW w:w="1099" w:type="dxa"/>
            <w:vAlign w:val="center"/>
          </w:tcPr>
          <w:p w14:paraId="1C0FB7C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69A08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5885E75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CE5D83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6D1F8182">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1AB57ED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20</w:t>
            </w:r>
          </w:p>
        </w:tc>
        <w:tc>
          <w:tcPr>
            <w:tcW w:w="3205" w:type="dxa"/>
            <w:vAlign w:val="center"/>
          </w:tcPr>
          <w:p w14:paraId="4D5442E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编码员添加首页问题标注并支持推送给医生</w:t>
            </w:r>
          </w:p>
        </w:tc>
        <w:tc>
          <w:tcPr>
            <w:tcW w:w="1099" w:type="dxa"/>
            <w:vAlign w:val="center"/>
          </w:tcPr>
          <w:p w14:paraId="26F31D1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b/>
                <w:bCs/>
                <w:i w:val="0"/>
                <w:iCs w:val="0"/>
                <w:color w:val="000000"/>
                <w:kern w:val="0"/>
                <w:sz w:val="21"/>
                <w:szCs w:val="21"/>
                <w:u w:val="none"/>
                <w:lang w:val="en-US" w:eastAsia="zh-CN" w:bidi="ar"/>
              </w:rPr>
              <w:t>▲</w:t>
            </w:r>
          </w:p>
        </w:tc>
      </w:tr>
      <w:tr w14:paraId="44B29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CE472C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168C603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56A2421F">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638BE416">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21</w:t>
            </w:r>
          </w:p>
        </w:tc>
        <w:tc>
          <w:tcPr>
            <w:tcW w:w="3205" w:type="dxa"/>
            <w:vAlign w:val="center"/>
          </w:tcPr>
          <w:p w14:paraId="4CEAE57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支持快捷诊断编码知识库查询</w:t>
            </w:r>
          </w:p>
        </w:tc>
        <w:tc>
          <w:tcPr>
            <w:tcW w:w="1099" w:type="dxa"/>
            <w:vAlign w:val="center"/>
          </w:tcPr>
          <w:p w14:paraId="5452C0E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6BB1C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FDBF0E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5C8BA6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324BC55E">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2C67119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22</w:t>
            </w:r>
          </w:p>
        </w:tc>
        <w:tc>
          <w:tcPr>
            <w:tcW w:w="3205" w:type="dxa"/>
            <w:vAlign w:val="center"/>
          </w:tcPr>
          <w:p w14:paraId="2717F3D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支持快捷手术编码知识库查询</w:t>
            </w:r>
          </w:p>
        </w:tc>
        <w:tc>
          <w:tcPr>
            <w:tcW w:w="1099" w:type="dxa"/>
            <w:vAlign w:val="center"/>
          </w:tcPr>
          <w:p w14:paraId="517B7D3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w:t>
            </w:r>
          </w:p>
        </w:tc>
      </w:tr>
      <w:tr w14:paraId="14D62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E0F548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0612B77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023C5900">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644EBD96">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23</w:t>
            </w:r>
          </w:p>
        </w:tc>
        <w:tc>
          <w:tcPr>
            <w:tcW w:w="3205" w:type="dxa"/>
            <w:vAlign w:val="center"/>
          </w:tcPr>
          <w:p w14:paraId="7AC0EAC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支持按诊断、手术查询DIP目录库查询</w:t>
            </w:r>
          </w:p>
        </w:tc>
        <w:tc>
          <w:tcPr>
            <w:tcW w:w="1099" w:type="dxa"/>
            <w:vAlign w:val="center"/>
          </w:tcPr>
          <w:p w14:paraId="30BBAC0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b/>
                <w:bCs/>
                <w:i w:val="0"/>
                <w:iCs w:val="0"/>
                <w:color w:val="000000"/>
                <w:kern w:val="0"/>
                <w:sz w:val="21"/>
                <w:szCs w:val="21"/>
                <w:u w:val="none"/>
                <w:lang w:val="en-US" w:eastAsia="zh-CN" w:bidi="ar"/>
              </w:rPr>
              <w:t>▲</w:t>
            </w:r>
          </w:p>
        </w:tc>
      </w:tr>
      <w:tr w14:paraId="044E8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579201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7C606F6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297CDB15">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30221A8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24</w:t>
            </w:r>
          </w:p>
        </w:tc>
        <w:tc>
          <w:tcPr>
            <w:tcW w:w="3205" w:type="dxa"/>
            <w:vAlign w:val="center"/>
          </w:tcPr>
          <w:p w14:paraId="30901D6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按历史数据查询主要诊断与主要手术对应关系</w:t>
            </w:r>
          </w:p>
        </w:tc>
        <w:tc>
          <w:tcPr>
            <w:tcW w:w="1099" w:type="dxa"/>
            <w:vAlign w:val="center"/>
          </w:tcPr>
          <w:p w14:paraId="345471A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7B1FE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1A7CB5E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0089266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25909410">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21ACB7B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25</w:t>
            </w:r>
          </w:p>
        </w:tc>
        <w:tc>
          <w:tcPr>
            <w:tcW w:w="3205" w:type="dxa"/>
            <w:vAlign w:val="center"/>
          </w:tcPr>
          <w:p w14:paraId="0693E5B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按历史数据查询主要诊断与其他诊断对应关系</w:t>
            </w:r>
          </w:p>
        </w:tc>
        <w:tc>
          <w:tcPr>
            <w:tcW w:w="1099" w:type="dxa"/>
            <w:vAlign w:val="center"/>
          </w:tcPr>
          <w:p w14:paraId="64A381C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1EB27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5265832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07673A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3690E628">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7A7DA03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26</w:t>
            </w:r>
          </w:p>
        </w:tc>
        <w:tc>
          <w:tcPr>
            <w:tcW w:w="3205" w:type="dxa"/>
            <w:vAlign w:val="center"/>
          </w:tcPr>
          <w:p w14:paraId="670415E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按历史数据查询主要诊断与病理诊断对应关系</w:t>
            </w:r>
          </w:p>
        </w:tc>
        <w:tc>
          <w:tcPr>
            <w:tcW w:w="1099" w:type="dxa"/>
            <w:vAlign w:val="center"/>
          </w:tcPr>
          <w:p w14:paraId="24942FE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48191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6544E5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7730EBC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51771555">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66FA8E9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27</w:t>
            </w:r>
          </w:p>
        </w:tc>
        <w:tc>
          <w:tcPr>
            <w:tcW w:w="3205" w:type="dxa"/>
            <w:vAlign w:val="center"/>
          </w:tcPr>
          <w:p w14:paraId="0B0018C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按历史数据查询主要诊断与门诊诊断对应关系</w:t>
            </w:r>
          </w:p>
        </w:tc>
        <w:tc>
          <w:tcPr>
            <w:tcW w:w="1099" w:type="dxa"/>
            <w:vAlign w:val="center"/>
          </w:tcPr>
          <w:p w14:paraId="0D03BDF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7DFE11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55AA9D6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restart"/>
            <w:vAlign w:val="center"/>
          </w:tcPr>
          <w:p w14:paraId="44B020D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首页质量</w:t>
            </w:r>
          </w:p>
        </w:tc>
        <w:tc>
          <w:tcPr>
            <w:tcW w:w="2384" w:type="dxa"/>
            <w:vMerge w:val="restart"/>
            <w:vAlign w:val="center"/>
          </w:tcPr>
          <w:p w14:paraId="1FACB48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both"/>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支持对首页质量、首页评分、首页提交、编码工作量、质控修正等相关统计。全院首页质控质量评分统计分析、趋势对比、各科情况下探等。支持各科室/医师问题占比分析与排名；支持问题分布情况展示。</w:t>
            </w:r>
          </w:p>
        </w:tc>
        <w:tc>
          <w:tcPr>
            <w:tcW w:w="656" w:type="dxa"/>
            <w:vAlign w:val="center"/>
          </w:tcPr>
          <w:p w14:paraId="726C254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28</w:t>
            </w:r>
          </w:p>
        </w:tc>
        <w:tc>
          <w:tcPr>
            <w:tcW w:w="3205" w:type="dxa"/>
            <w:vAlign w:val="center"/>
          </w:tcPr>
          <w:p w14:paraId="3604BBF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首页准时提交率统计</w:t>
            </w:r>
          </w:p>
        </w:tc>
        <w:tc>
          <w:tcPr>
            <w:tcW w:w="1099" w:type="dxa"/>
            <w:vAlign w:val="center"/>
          </w:tcPr>
          <w:p w14:paraId="6BCBED1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7E4B5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0FD8ECB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05E4901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2A618921">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157B9D14">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29</w:t>
            </w:r>
          </w:p>
        </w:tc>
        <w:tc>
          <w:tcPr>
            <w:tcW w:w="3205" w:type="dxa"/>
            <w:vAlign w:val="center"/>
          </w:tcPr>
          <w:p w14:paraId="40D049D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首页评分统计（首次评分、终末评分）</w:t>
            </w:r>
          </w:p>
        </w:tc>
        <w:tc>
          <w:tcPr>
            <w:tcW w:w="1099" w:type="dxa"/>
            <w:vAlign w:val="center"/>
          </w:tcPr>
          <w:p w14:paraId="486F94D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127C9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BC6C79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76F7332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78670D96">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35E5B604">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30</w:t>
            </w:r>
          </w:p>
        </w:tc>
        <w:tc>
          <w:tcPr>
            <w:tcW w:w="3205" w:type="dxa"/>
            <w:vAlign w:val="center"/>
          </w:tcPr>
          <w:p w14:paraId="5111B916">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扣分项目统计、易错类型汇总统计</w:t>
            </w:r>
          </w:p>
        </w:tc>
        <w:tc>
          <w:tcPr>
            <w:tcW w:w="1099" w:type="dxa"/>
            <w:vAlign w:val="center"/>
          </w:tcPr>
          <w:p w14:paraId="5D2F285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b/>
                <w:bCs/>
                <w:i w:val="0"/>
                <w:iCs w:val="0"/>
                <w:color w:val="000000"/>
                <w:kern w:val="0"/>
                <w:sz w:val="21"/>
                <w:szCs w:val="21"/>
                <w:u w:val="none"/>
                <w:lang w:val="en-US" w:eastAsia="zh-CN" w:bidi="ar"/>
              </w:rPr>
              <w:t>▲</w:t>
            </w:r>
          </w:p>
        </w:tc>
      </w:tr>
      <w:tr w14:paraId="42EDC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5537827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28E1B2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3B011E94">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45F22C8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31</w:t>
            </w:r>
          </w:p>
        </w:tc>
        <w:tc>
          <w:tcPr>
            <w:tcW w:w="3205" w:type="dxa"/>
            <w:vAlign w:val="center"/>
          </w:tcPr>
          <w:p w14:paraId="09DA6B1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编码预警统计</w:t>
            </w:r>
          </w:p>
        </w:tc>
        <w:tc>
          <w:tcPr>
            <w:tcW w:w="1099" w:type="dxa"/>
            <w:vAlign w:val="center"/>
          </w:tcPr>
          <w:p w14:paraId="35935EA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51E1B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3DB1E6A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DCB28E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4DA5432D">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498759B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32</w:t>
            </w:r>
          </w:p>
        </w:tc>
        <w:tc>
          <w:tcPr>
            <w:tcW w:w="3205" w:type="dxa"/>
            <w:vAlign w:val="center"/>
          </w:tcPr>
          <w:p w14:paraId="21C6315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编码员按病历数量工作量统计</w:t>
            </w:r>
          </w:p>
        </w:tc>
        <w:tc>
          <w:tcPr>
            <w:tcW w:w="1099" w:type="dxa"/>
            <w:vAlign w:val="center"/>
          </w:tcPr>
          <w:p w14:paraId="7D3C1C4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7E207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D3B9A6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16FA4C9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532C747B">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56F9568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33</w:t>
            </w:r>
          </w:p>
        </w:tc>
        <w:tc>
          <w:tcPr>
            <w:tcW w:w="3205" w:type="dxa"/>
            <w:vAlign w:val="center"/>
          </w:tcPr>
          <w:p w14:paraId="4C5D45C1">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编码员按编码数量工作量统计</w:t>
            </w:r>
          </w:p>
        </w:tc>
        <w:tc>
          <w:tcPr>
            <w:tcW w:w="1099" w:type="dxa"/>
            <w:vAlign w:val="center"/>
          </w:tcPr>
          <w:p w14:paraId="360E9BA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431C6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288B63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BD4A69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00BCCEB1">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0A05CE7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34</w:t>
            </w:r>
          </w:p>
        </w:tc>
        <w:tc>
          <w:tcPr>
            <w:tcW w:w="3205" w:type="dxa"/>
            <w:vAlign w:val="center"/>
          </w:tcPr>
          <w:p w14:paraId="20F3082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统计病案首页中的费用分类情况</w:t>
            </w:r>
          </w:p>
        </w:tc>
        <w:tc>
          <w:tcPr>
            <w:tcW w:w="1099" w:type="dxa"/>
            <w:vAlign w:val="center"/>
          </w:tcPr>
          <w:p w14:paraId="7D1F153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b/>
                <w:bCs/>
                <w:i w:val="0"/>
                <w:iCs w:val="0"/>
                <w:color w:val="000000"/>
                <w:kern w:val="0"/>
                <w:sz w:val="21"/>
                <w:szCs w:val="21"/>
                <w:u w:val="none"/>
                <w:lang w:val="en-US" w:eastAsia="zh-CN" w:bidi="ar"/>
              </w:rPr>
              <w:t>▲</w:t>
            </w:r>
          </w:p>
        </w:tc>
      </w:tr>
      <w:tr w14:paraId="530BB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119E95F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0AD55B1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70985817">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768A8C7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35</w:t>
            </w:r>
          </w:p>
        </w:tc>
        <w:tc>
          <w:tcPr>
            <w:tcW w:w="3205" w:type="dxa"/>
            <w:vAlign w:val="center"/>
          </w:tcPr>
          <w:p w14:paraId="00237AA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记录编码员在本系统的编码修改记录数据</w:t>
            </w:r>
          </w:p>
        </w:tc>
        <w:tc>
          <w:tcPr>
            <w:tcW w:w="1099" w:type="dxa"/>
            <w:vAlign w:val="center"/>
          </w:tcPr>
          <w:p w14:paraId="5173C83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2BC51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69F00F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3E8C1D6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3F0DFDB6">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249FDE5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36</w:t>
            </w:r>
          </w:p>
        </w:tc>
        <w:tc>
          <w:tcPr>
            <w:tcW w:w="3205" w:type="dxa"/>
            <w:vAlign w:val="center"/>
          </w:tcPr>
          <w:p w14:paraId="3AEBD09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缺陷分类及项目管理（100项以上）</w:t>
            </w:r>
          </w:p>
        </w:tc>
        <w:tc>
          <w:tcPr>
            <w:tcW w:w="1099" w:type="dxa"/>
            <w:vAlign w:val="center"/>
          </w:tcPr>
          <w:p w14:paraId="6CEBEF8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0F1B2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1EB74F0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restart"/>
            <w:vAlign w:val="center"/>
          </w:tcPr>
          <w:p w14:paraId="5946C5D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病案首页HQMS绩效上报</w:t>
            </w:r>
          </w:p>
        </w:tc>
        <w:tc>
          <w:tcPr>
            <w:tcW w:w="2384" w:type="dxa"/>
            <w:vMerge w:val="restart"/>
            <w:vAlign w:val="center"/>
          </w:tcPr>
          <w:p w14:paraId="31DEE52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both"/>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支持使用病案号全站检索单条病案的详情。支持按照科室/月份、主要诊断和手术及操作等维度查询病案。基于病案首页的上报指标数据导出。</w:t>
            </w:r>
          </w:p>
        </w:tc>
        <w:tc>
          <w:tcPr>
            <w:tcW w:w="656" w:type="dxa"/>
            <w:vAlign w:val="center"/>
          </w:tcPr>
          <w:p w14:paraId="5D8021D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37</w:t>
            </w:r>
          </w:p>
        </w:tc>
        <w:tc>
          <w:tcPr>
            <w:tcW w:w="3205" w:type="dxa"/>
            <w:vAlign w:val="center"/>
          </w:tcPr>
          <w:p w14:paraId="219759B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支持每月自动生成上月需上报数据</w:t>
            </w:r>
          </w:p>
        </w:tc>
        <w:tc>
          <w:tcPr>
            <w:tcW w:w="1099" w:type="dxa"/>
            <w:vAlign w:val="center"/>
          </w:tcPr>
          <w:p w14:paraId="4D18ECA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1D4F3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10D227C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43B7A4E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69A3B4B4">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4A27B0F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38</w:t>
            </w:r>
          </w:p>
        </w:tc>
        <w:tc>
          <w:tcPr>
            <w:tcW w:w="3205" w:type="dxa"/>
            <w:vAlign w:val="center"/>
          </w:tcPr>
          <w:p w14:paraId="185A924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支持数据按任意时间跨度、按科室查询数据</w:t>
            </w:r>
          </w:p>
        </w:tc>
        <w:tc>
          <w:tcPr>
            <w:tcW w:w="1099" w:type="dxa"/>
            <w:vAlign w:val="center"/>
          </w:tcPr>
          <w:p w14:paraId="4B88AB6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0BA5F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B4D4E3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4BCE680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350DA5E1">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4FD32E9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39</w:t>
            </w:r>
          </w:p>
        </w:tc>
        <w:tc>
          <w:tcPr>
            <w:tcW w:w="3205" w:type="dxa"/>
            <w:vAlign w:val="center"/>
          </w:tcPr>
          <w:p w14:paraId="2C97E57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支持直接导出符合上报格式的CSV文件</w:t>
            </w:r>
          </w:p>
        </w:tc>
        <w:tc>
          <w:tcPr>
            <w:tcW w:w="1099" w:type="dxa"/>
            <w:vAlign w:val="center"/>
          </w:tcPr>
          <w:p w14:paraId="6152882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b/>
                <w:bCs/>
                <w:i w:val="0"/>
                <w:iCs w:val="0"/>
                <w:color w:val="000000"/>
                <w:kern w:val="0"/>
                <w:sz w:val="21"/>
                <w:szCs w:val="21"/>
                <w:u w:val="none"/>
                <w:lang w:val="en-US" w:eastAsia="zh-CN" w:bidi="ar"/>
              </w:rPr>
              <w:t>▲</w:t>
            </w:r>
          </w:p>
        </w:tc>
      </w:tr>
      <w:tr w14:paraId="7F4BE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080AA1C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restart"/>
            <w:vAlign w:val="center"/>
          </w:tcPr>
          <w:p w14:paraId="3F47BDC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病案知识库</w:t>
            </w:r>
          </w:p>
        </w:tc>
        <w:tc>
          <w:tcPr>
            <w:tcW w:w="2384" w:type="dxa"/>
            <w:vMerge w:val="restart"/>
            <w:vAlign w:val="center"/>
          </w:tcPr>
          <w:p w14:paraId="127D33D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both"/>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开放可维护的ICD编码说明。（包括/不包括内容）开放可维护的主诊选择、残余类目、附加编码等限定库；开放可维护的合并编码、互斥编码、形态学编码等规则库。</w:t>
            </w:r>
          </w:p>
        </w:tc>
        <w:tc>
          <w:tcPr>
            <w:tcW w:w="656" w:type="dxa"/>
            <w:vAlign w:val="center"/>
          </w:tcPr>
          <w:p w14:paraId="4E92EA3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40</w:t>
            </w:r>
          </w:p>
        </w:tc>
        <w:tc>
          <w:tcPr>
            <w:tcW w:w="3205" w:type="dxa"/>
            <w:vAlign w:val="center"/>
          </w:tcPr>
          <w:p w14:paraId="5E04454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ICD基础规则维护表</w:t>
            </w:r>
          </w:p>
        </w:tc>
        <w:tc>
          <w:tcPr>
            <w:tcW w:w="1099" w:type="dxa"/>
            <w:vAlign w:val="center"/>
          </w:tcPr>
          <w:p w14:paraId="0E8B160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7CBB6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0797908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66603A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781B16C1">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5AC57A5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41</w:t>
            </w:r>
          </w:p>
        </w:tc>
        <w:tc>
          <w:tcPr>
            <w:tcW w:w="3205" w:type="dxa"/>
            <w:vAlign w:val="center"/>
          </w:tcPr>
          <w:p w14:paraId="657059C4">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ICD限定规则维护表</w:t>
            </w:r>
          </w:p>
        </w:tc>
        <w:tc>
          <w:tcPr>
            <w:tcW w:w="1099" w:type="dxa"/>
            <w:vAlign w:val="center"/>
          </w:tcPr>
          <w:p w14:paraId="70A19C0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b/>
                <w:bCs/>
                <w:i w:val="0"/>
                <w:iCs w:val="0"/>
                <w:color w:val="000000"/>
                <w:kern w:val="0"/>
                <w:sz w:val="21"/>
                <w:szCs w:val="21"/>
                <w:u w:val="none"/>
                <w:lang w:val="en-US" w:eastAsia="zh-CN" w:bidi="ar"/>
              </w:rPr>
              <w:t>▲</w:t>
            </w:r>
          </w:p>
        </w:tc>
      </w:tr>
      <w:tr w14:paraId="291B3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60FE2D1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6243BB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2ADA73CF">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459FD4B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42</w:t>
            </w:r>
          </w:p>
        </w:tc>
        <w:tc>
          <w:tcPr>
            <w:tcW w:w="3205" w:type="dxa"/>
            <w:vAlign w:val="center"/>
          </w:tcPr>
          <w:p w14:paraId="726474E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ICD合并编码维护表</w:t>
            </w:r>
          </w:p>
        </w:tc>
        <w:tc>
          <w:tcPr>
            <w:tcW w:w="1099" w:type="dxa"/>
            <w:vAlign w:val="center"/>
          </w:tcPr>
          <w:p w14:paraId="4AD23F7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730C3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5F1CC06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848005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102F508C">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6CF9E546">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43</w:t>
            </w:r>
          </w:p>
        </w:tc>
        <w:tc>
          <w:tcPr>
            <w:tcW w:w="3205" w:type="dxa"/>
            <w:vAlign w:val="center"/>
          </w:tcPr>
          <w:p w14:paraId="5249B2F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ICD对应编码维护表</w:t>
            </w:r>
          </w:p>
        </w:tc>
        <w:tc>
          <w:tcPr>
            <w:tcW w:w="1099" w:type="dxa"/>
            <w:vAlign w:val="center"/>
          </w:tcPr>
          <w:p w14:paraId="0BDC607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740BFF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7F31F8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1E0944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2B73E981">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3E9F278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44</w:t>
            </w:r>
          </w:p>
        </w:tc>
        <w:tc>
          <w:tcPr>
            <w:tcW w:w="3205" w:type="dxa"/>
            <w:vAlign w:val="center"/>
          </w:tcPr>
          <w:p w14:paraId="4364292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ICD同类合并编码维护表</w:t>
            </w:r>
          </w:p>
        </w:tc>
        <w:tc>
          <w:tcPr>
            <w:tcW w:w="1099" w:type="dxa"/>
            <w:vAlign w:val="center"/>
          </w:tcPr>
          <w:p w14:paraId="7D3F28F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2D142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2B8BF0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3777C9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0220B0C7">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1D187FA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45</w:t>
            </w:r>
          </w:p>
        </w:tc>
        <w:tc>
          <w:tcPr>
            <w:tcW w:w="3205" w:type="dxa"/>
            <w:vAlign w:val="center"/>
          </w:tcPr>
          <w:p w14:paraId="0C9093E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ICD类型互斥维护表</w:t>
            </w:r>
          </w:p>
        </w:tc>
        <w:tc>
          <w:tcPr>
            <w:tcW w:w="1099" w:type="dxa"/>
            <w:vAlign w:val="center"/>
          </w:tcPr>
          <w:p w14:paraId="2F8FC9E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32D8C0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6028095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03B4AE5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655A3171">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36F3F58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46</w:t>
            </w:r>
          </w:p>
        </w:tc>
        <w:tc>
          <w:tcPr>
            <w:tcW w:w="3205" w:type="dxa"/>
            <w:vAlign w:val="center"/>
          </w:tcPr>
          <w:p w14:paraId="5AA0B87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ICD互斥编码维护表</w:t>
            </w:r>
          </w:p>
        </w:tc>
        <w:tc>
          <w:tcPr>
            <w:tcW w:w="1099" w:type="dxa"/>
            <w:vAlign w:val="center"/>
          </w:tcPr>
          <w:p w14:paraId="19884DC7">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r>
      <w:tr w14:paraId="0B7F6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6F19A1B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42600A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163F161E">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32DD5881">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47</w:t>
            </w:r>
          </w:p>
        </w:tc>
        <w:tc>
          <w:tcPr>
            <w:tcW w:w="3205" w:type="dxa"/>
            <w:vAlign w:val="center"/>
          </w:tcPr>
          <w:p w14:paraId="16B78784">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国临版诊断编码库、国临版手术编码库维护表</w:t>
            </w:r>
          </w:p>
        </w:tc>
        <w:tc>
          <w:tcPr>
            <w:tcW w:w="1099" w:type="dxa"/>
            <w:vAlign w:val="center"/>
          </w:tcPr>
          <w:p w14:paraId="54AB7E7C">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r>
      <w:tr w14:paraId="085E1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CE504C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A97FBE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4FC1BD2B">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5C295FC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48</w:t>
            </w:r>
          </w:p>
        </w:tc>
        <w:tc>
          <w:tcPr>
            <w:tcW w:w="3205" w:type="dxa"/>
            <w:vAlign w:val="center"/>
          </w:tcPr>
          <w:p w14:paraId="029C7D9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医保版诊断编码库、医保版手术编码库维护表</w:t>
            </w:r>
          </w:p>
        </w:tc>
        <w:tc>
          <w:tcPr>
            <w:tcW w:w="1099" w:type="dxa"/>
            <w:vAlign w:val="center"/>
          </w:tcPr>
          <w:p w14:paraId="769E4219">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r>
      <w:tr w14:paraId="23262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F84C02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A4E775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70F9A11E">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2A913856">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49</w:t>
            </w:r>
          </w:p>
        </w:tc>
        <w:tc>
          <w:tcPr>
            <w:tcW w:w="3205" w:type="dxa"/>
            <w:vAlign w:val="center"/>
          </w:tcPr>
          <w:p w14:paraId="4EF9E30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市医保版病种分值库、诊治编码库维护表</w:t>
            </w:r>
          </w:p>
        </w:tc>
        <w:tc>
          <w:tcPr>
            <w:tcW w:w="1099" w:type="dxa"/>
            <w:vAlign w:val="center"/>
          </w:tcPr>
          <w:p w14:paraId="1889B6FC">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r>
      <w:tr w14:paraId="1EDAD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E6E580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44DF238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1FE77A8C">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4312044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50</w:t>
            </w:r>
          </w:p>
        </w:tc>
        <w:tc>
          <w:tcPr>
            <w:tcW w:w="3205" w:type="dxa"/>
            <w:vAlign w:val="center"/>
          </w:tcPr>
          <w:p w14:paraId="3FF3767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临床版与医保版诊断ICD、手术ICD目录库对照库维护表</w:t>
            </w:r>
          </w:p>
        </w:tc>
        <w:tc>
          <w:tcPr>
            <w:tcW w:w="1099" w:type="dxa"/>
            <w:vAlign w:val="center"/>
          </w:tcPr>
          <w:p w14:paraId="42E311A7">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r>
      <w:tr w14:paraId="03F5C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5454D14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1AC84C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25AB2D4C">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3FF846A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51</w:t>
            </w:r>
          </w:p>
        </w:tc>
        <w:tc>
          <w:tcPr>
            <w:tcW w:w="3205" w:type="dxa"/>
            <w:vAlign w:val="center"/>
          </w:tcPr>
          <w:p w14:paraId="2061382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病案首页质量评分，支持评分项新增、修改</w:t>
            </w:r>
          </w:p>
        </w:tc>
        <w:tc>
          <w:tcPr>
            <w:tcW w:w="1099" w:type="dxa"/>
            <w:vAlign w:val="center"/>
          </w:tcPr>
          <w:p w14:paraId="64700C32">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r>
      <w:tr w14:paraId="157A3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restart"/>
            <w:vAlign w:val="center"/>
          </w:tcPr>
          <w:p w14:paraId="7FB91B5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公立医院绩效考核上报</w:t>
            </w:r>
          </w:p>
        </w:tc>
        <w:tc>
          <w:tcPr>
            <w:tcW w:w="880" w:type="dxa"/>
            <w:vMerge w:val="restart"/>
            <w:vAlign w:val="center"/>
          </w:tcPr>
          <w:p w14:paraId="256A82F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基础管理</w:t>
            </w:r>
          </w:p>
        </w:tc>
        <w:tc>
          <w:tcPr>
            <w:tcW w:w="2384" w:type="dxa"/>
            <w:vMerge w:val="restart"/>
            <w:vAlign w:val="center"/>
          </w:tcPr>
          <w:p w14:paraId="037B3D6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指标集管理</w:t>
            </w:r>
          </w:p>
        </w:tc>
        <w:tc>
          <w:tcPr>
            <w:tcW w:w="656" w:type="dxa"/>
            <w:vAlign w:val="center"/>
          </w:tcPr>
          <w:p w14:paraId="56574B0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52</w:t>
            </w:r>
          </w:p>
        </w:tc>
        <w:tc>
          <w:tcPr>
            <w:tcW w:w="3205" w:type="dxa"/>
            <w:vAlign w:val="center"/>
          </w:tcPr>
          <w:p w14:paraId="232AF90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支持新增、编辑、删除指标集。</w:t>
            </w:r>
          </w:p>
        </w:tc>
        <w:tc>
          <w:tcPr>
            <w:tcW w:w="1099" w:type="dxa"/>
            <w:vAlign w:val="center"/>
          </w:tcPr>
          <w:p w14:paraId="609A577E">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r>
      <w:tr w14:paraId="3A239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5ED29D3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081217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5A19A703">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5B6850A6">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53</w:t>
            </w:r>
          </w:p>
        </w:tc>
        <w:tc>
          <w:tcPr>
            <w:tcW w:w="3205" w:type="dxa"/>
            <w:vAlign w:val="center"/>
          </w:tcPr>
          <w:p w14:paraId="79D9FA4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支持导入指标集。</w:t>
            </w:r>
          </w:p>
        </w:tc>
        <w:tc>
          <w:tcPr>
            <w:tcW w:w="1099" w:type="dxa"/>
            <w:vAlign w:val="center"/>
          </w:tcPr>
          <w:p w14:paraId="4FD5A4FC">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r>
      <w:tr w14:paraId="2AC3D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68D2C65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D57815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3D19C94F">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4CA3AF3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54</w:t>
            </w:r>
          </w:p>
        </w:tc>
        <w:tc>
          <w:tcPr>
            <w:tcW w:w="3205" w:type="dxa"/>
            <w:vAlign w:val="center"/>
          </w:tcPr>
          <w:p w14:paraId="0D380D5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支持按名称、按年份等关键字筛选指标。</w:t>
            </w:r>
          </w:p>
        </w:tc>
        <w:tc>
          <w:tcPr>
            <w:tcW w:w="1099" w:type="dxa"/>
            <w:vAlign w:val="center"/>
          </w:tcPr>
          <w:p w14:paraId="7DCBD328">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r>
      <w:tr w14:paraId="1CBEE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6E4C7E0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387F56D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4F3B47E7">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21D7CD3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55</w:t>
            </w:r>
          </w:p>
        </w:tc>
        <w:tc>
          <w:tcPr>
            <w:tcW w:w="3205" w:type="dxa"/>
            <w:vAlign w:val="center"/>
          </w:tcPr>
          <w:p w14:paraId="6566EA5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支持按年度、按版本的维度建立不同指标。</w:t>
            </w:r>
          </w:p>
        </w:tc>
        <w:tc>
          <w:tcPr>
            <w:tcW w:w="1099" w:type="dxa"/>
            <w:vAlign w:val="center"/>
          </w:tcPr>
          <w:p w14:paraId="37B17ACB">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r>
      <w:tr w14:paraId="313C4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722EF9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96F6AB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restart"/>
            <w:vAlign w:val="center"/>
          </w:tcPr>
          <w:p w14:paraId="512DA7C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指标管理</w:t>
            </w:r>
          </w:p>
        </w:tc>
        <w:tc>
          <w:tcPr>
            <w:tcW w:w="656" w:type="dxa"/>
            <w:vAlign w:val="center"/>
          </w:tcPr>
          <w:p w14:paraId="09DCAEB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56</w:t>
            </w:r>
          </w:p>
        </w:tc>
        <w:tc>
          <w:tcPr>
            <w:tcW w:w="3205" w:type="dxa"/>
            <w:vAlign w:val="center"/>
          </w:tcPr>
          <w:p w14:paraId="7DBE66E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支持指标基础信息维护，包括指标名称，指标编号，指标定义，指标满分值。</w:t>
            </w:r>
          </w:p>
        </w:tc>
        <w:tc>
          <w:tcPr>
            <w:tcW w:w="1099" w:type="dxa"/>
            <w:vAlign w:val="center"/>
          </w:tcPr>
          <w:p w14:paraId="5FB3B0A4">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r>
      <w:tr w14:paraId="75809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69B187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2F8E58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379A9F38">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6DB89F7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57</w:t>
            </w:r>
          </w:p>
        </w:tc>
        <w:tc>
          <w:tcPr>
            <w:tcW w:w="3205" w:type="dxa"/>
            <w:vAlign w:val="center"/>
          </w:tcPr>
          <w:p w14:paraId="7818E19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支持新增、编辑、删除指标。</w:t>
            </w:r>
          </w:p>
        </w:tc>
        <w:tc>
          <w:tcPr>
            <w:tcW w:w="1099" w:type="dxa"/>
            <w:vAlign w:val="center"/>
          </w:tcPr>
          <w:p w14:paraId="521DCFF1">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r>
      <w:tr w14:paraId="60FE1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0A5674C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2571FB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613B63B8">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3FA21DF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58</w:t>
            </w:r>
          </w:p>
        </w:tc>
        <w:tc>
          <w:tcPr>
            <w:tcW w:w="3205" w:type="dxa"/>
            <w:vAlign w:val="center"/>
          </w:tcPr>
          <w:p w14:paraId="345E01E4">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支持按名称、编号、指标级别等关键字筛选指标。</w:t>
            </w:r>
          </w:p>
        </w:tc>
        <w:tc>
          <w:tcPr>
            <w:tcW w:w="1099" w:type="dxa"/>
            <w:vAlign w:val="center"/>
          </w:tcPr>
          <w:p w14:paraId="739ABC06">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r>
      <w:tr w14:paraId="141EAF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0D1C28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31D0678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62F7D445">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291772D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59</w:t>
            </w:r>
          </w:p>
        </w:tc>
        <w:tc>
          <w:tcPr>
            <w:tcW w:w="3205" w:type="dxa"/>
            <w:vAlign w:val="center"/>
          </w:tcPr>
          <w:p w14:paraId="64A5B6A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支持手动刷新指标统计数据。</w:t>
            </w:r>
          </w:p>
        </w:tc>
        <w:tc>
          <w:tcPr>
            <w:tcW w:w="1099" w:type="dxa"/>
            <w:vAlign w:val="center"/>
          </w:tcPr>
          <w:p w14:paraId="4B8280F7">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r>
      <w:tr w14:paraId="5FD02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BB5C88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0371775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366E836A">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695E888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60</w:t>
            </w:r>
          </w:p>
        </w:tc>
        <w:tc>
          <w:tcPr>
            <w:tcW w:w="3205" w:type="dxa"/>
            <w:vAlign w:val="center"/>
          </w:tcPr>
          <w:p w14:paraId="6AB3DE3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支持指标设置关联数据指标、设置填报指标。</w:t>
            </w:r>
          </w:p>
        </w:tc>
        <w:tc>
          <w:tcPr>
            <w:tcW w:w="1099" w:type="dxa"/>
            <w:vAlign w:val="center"/>
          </w:tcPr>
          <w:p w14:paraId="15043853">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r>
      <w:tr w14:paraId="032B3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F6FB4D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01D836B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restart"/>
            <w:vAlign w:val="center"/>
          </w:tcPr>
          <w:p w14:paraId="08B4AD8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数据指标管理</w:t>
            </w:r>
          </w:p>
        </w:tc>
        <w:tc>
          <w:tcPr>
            <w:tcW w:w="656" w:type="dxa"/>
            <w:vAlign w:val="center"/>
          </w:tcPr>
          <w:p w14:paraId="3E9C6F0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61</w:t>
            </w:r>
          </w:p>
        </w:tc>
        <w:tc>
          <w:tcPr>
            <w:tcW w:w="3205" w:type="dxa"/>
            <w:vAlign w:val="center"/>
          </w:tcPr>
          <w:p w14:paraId="01D16DF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支持新增、编辑、删除数据指标。</w:t>
            </w:r>
          </w:p>
        </w:tc>
        <w:tc>
          <w:tcPr>
            <w:tcW w:w="1099" w:type="dxa"/>
            <w:vAlign w:val="center"/>
          </w:tcPr>
          <w:p w14:paraId="428B45E4">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r>
      <w:tr w14:paraId="3AADF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4EC26F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165B288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7B890509">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0943E4B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62</w:t>
            </w:r>
          </w:p>
        </w:tc>
        <w:tc>
          <w:tcPr>
            <w:tcW w:w="3205" w:type="dxa"/>
            <w:vAlign w:val="center"/>
          </w:tcPr>
          <w:p w14:paraId="2480E9A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支持按名称、单位等关键字筛选数据指标。</w:t>
            </w:r>
          </w:p>
        </w:tc>
        <w:tc>
          <w:tcPr>
            <w:tcW w:w="1099" w:type="dxa"/>
            <w:vAlign w:val="center"/>
          </w:tcPr>
          <w:p w14:paraId="05B802FC">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r>
      <w:tr w14:paraId="57DFA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EA4627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05848BC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783C915C">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53AB3C14">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63</w:t>
            </w:r>
          </w:p>
        </w:tc>
        <w:tc>
          <w:tcPr>
            <w:tcW w:w="3205" w:type="dxa"/>
            <w:vAlign w:val="center"/>
          </w:tcPr>
          <w:p w14:paraId="3804AE8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支持查看并追溯指标执行及刷新日志记录。</w:t>
            </w:r>
          </w:p>
        </w:tc>
        <w:tc>
          <w:tcPr>
            <w:tcW w:w="1099" w:type="dxa"/>
            <w:vAlign w:val="center"/>
          </w:tcPr>
          <w:p w14:paraId="1ADE3BFE">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r>
      <w:tr w14:paraId="5988E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138DEFF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B050D4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13F97B6A">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77E0A82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64</w:t>
            </w:r>
          </w:p>
        </w:tc>
        <w:tc>
          <w:tcPr>
            <w:tcW w:w="3205" w:type="dxa"/>
            <w:vAlign w:val="center"/>
          </w:tcPr>
          <w:p w14:paraId="6DF08ED4">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支持按sql语句自定义配置数据指标。</w:t>
            </w:r>
          </w:p>
        </w:tc>
        <w:tc>
          <w:tcPr>
            <w:tcW w:w="1099" w:type="dxa"/>
            <w:vAlign w:val="center"/>
          </w:tcPr>
          <w:p w14:paraId="50CC7561">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r>
      <w:tr w14:paraId="09F31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4A6456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restart"/>
            <w:vAlign w:val="center"/>
          </w:tcPr>
          <w:p w14:paraId="2302697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指标汇总</w:t>
            </w:r>
          </w:p>
        </w:tc>
        <w:tc>
          <w:tcPr>
            <w:tcW w:w="2384" w:type="dxa"/>
            <w:vMerge w:val="restart"/>
            <w:vAlign w:val="center"/>
          </w:tcPr>
          <w:p w14:paraId="6AFFB9B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指标汇总</w:t>
            </w:r>
          </w:p>
        </w:tc>
        <w:tc>
          <w:tcPr>
            <w:tcW w:w="656" w:type="dxa"/>
            <w:vAlign w:val="center"/>
          </w:tcPr>
          <w:p w14:paraId="66B9ABF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65</w:t>
            </w:r>
          </w:p>
        </w:tc>
        <w:tc>
          <w:tcPr>
            <w:tcW w:w="3205" w:type="dxa"/>
            <w:vAlign w:val="center"/>
          </w:tcPr>
          <w:p w14:paraId="047CD3B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支持按不同指标集查看指标的指标定义、指标来源、指标目标分值、满分分值等基础数据。</w:t>
            </w:r>
          </w:p>
        </w:tc>
        <w:tc>
          <w:tcPr>
            <w:tcW w:w="1099" w:type="dxa"/>
            <w:vAlign w:val="center"/>
          </w:tcPr>
          <w:p w14:paraId="098EFB38">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r>
      <w:tr w14:paraId="7951F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B3AEEB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3DA1314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794A4836">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7FF2F7B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66</w:t>
            </w:r>
          </w:p>
        </w:tc>
        <w:tc>
          <w:tcPr>
            <w:tcW w:w="3205" w:type="dxa"/>
            <w:vAlign w:val="center"/>
          </w:tcPr>
          <w:p w14:paraId="0384CC51">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支持按年份，名称等关键字筛选指标。</w:t>
            </w:r>
          </w:p>
        </w:tc>
        <w:tc>
          <w:tcPr>
            <w:tcW w:w="1099" w:type="dxa"/>
            <w:vAlign w:val="center"/>
          </w:tcPr>
          <w:p w14:paraId="0D30AE75">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r>
      <w:tr w14:paraId="58014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0CF67E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1E51456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7CA00C1E">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7087C816">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67</w:t>
            </w:r>
          </w:p>
        </w:tc>
        <w:tc>
          <w:tcPr>
            <w:tcW w:w="3205" w:type="dxa"/>
            <w:vAlign w:val="center"/>
          </w:tcPr>
          <w:p w14:paraId="4420B9E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支持展示各个指标数据指标值。</w:t>
            </w:r>
          </w:p>
        </w:tc>
        <w:tc>
          <w:tcPr>
            <w:tcW w:w="1099" w:type="dxa"/>
            <w:vAlign w:val="center"/>
          </w:tcPr>
          <w:p w14:paraId="3E7E790A">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r>
      <w:tr w14:paraId="055B9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64025B5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134D1D5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4162DAE6">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2908951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68</w:t>
            </w:r>
          </w:p>
        </w:tc>
        <w:tc>
          <w:tcPr>
            <w:tcW w:w="3205" w:type="dxa"/>
            <w:vAlign w:val="center"/>
          </w:tcPr>
          <w:p w14:paraId="457494A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支持汇总统计各个指标年度、月度趋势。</w:t>
            </w:r>
          </w:p>
        </w:tc>
        <w:tc>
          <w:tcPr>
            <w:tcW w:w="1099" w:type="dxa"/>
            <w:vAlign w:val="center"/>
          </w:tcPr>
          <w:p w14:paraId="3C315B96">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r>
      <w:tr w14:paraId="42986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0A18E49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0F36ADE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02F29051">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6E9AE5C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69</w:t>
            </w:r>
          </w:p>
        </w:tc>
        <w:tc>
          <w:tcPr>
            <w:tcW w:w="3205" w:type="dxa"/>
            <w:vAlign w:val="center"/>
          </w:tcPr>
          <w:p w14:paraId="32C623F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支持汇总统计各个指标同比情况。</w:t>
            </w:r>
          </w:p>
        </w:tc>
        <w:tc>
          <w:tcPr>
            <w:tcW w:w="1099" w:type="dxa"/>
            <w:vAlign w:val="center"/>
          </w:tcPr>
          <w:p w14:paraId="6F2C405F">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r>
      <w:tr w14:paraId="07246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0774821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F6560B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66D27BAB">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748BE7F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70</w:t>
            </w:r>
          </w:p>
        </w:tc>
        <w:tc>
          <w:tcPr>
            <w:tcW w:w="3205" w:type="dxa"/>
            <w:vAlign w:val="center"/>
          </w:tcPr>
          <w:p w14:paraId="2880C2E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支持手动刷新指标统计数据。</w:t>
            </w:r>
          </w:p>
        </w:tc>
        <w:tc>
          <w:tcPr>
            <w:tcW w:w="1099" w:type="dxa"/>
            <w:vAlign w:val="center"/>
          </w:tcPr>
          <w:p w14:paraId="7B69AA3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2CBFB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AF0AD7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37C2B0C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35AF00B8">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6B66F83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71</w:t>
            </w:r>
          </w:p>
        </w:tc>
        <w:tc>
          <w:tcPr>
            <w:tcW w:w="3205" w:type="dxa"/>
            <w:vAlign w:val="center"/>
          </w:tcPr>
          <w:p w14:paraId="3362EE8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支持指标按科室汇总统计查询。</w:t>
            </w:r>
          </w:p>
        </w:tc>
        <w:tc>
          <w:tcPr>
            <w:tcW w:w="1099" w:type="dxa"/>
            <w:vAlign w:val="center"/>
          </w:tcPr>
          <w:p w14:paraId="3066CD0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0A4A5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12D3825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6820C9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595D1F7C">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7DD4211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72</w:t>
            </w:r>
          </w:p>
        </w:tc>
        <w:tc>
          <w:tcPr>
            <w:tcW w:w="3205" w:type="dxa"/>
            <w:vAlign w:val="center"/>
          </w:tcPr>
          <w:p w14:paraId="5818045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支持指标追溯下探查询患者明细数据，方便医院详细核实。</w:t>
            </w:r>
          </w:p>
        </w:tc>
        <w:tc>
          <w:tcPr>
            <w:tcW w:w="1099" w:type="dxa"/>
            <w:vAlign w:val="center"/>
          </w:tcPr>
          <w:p w14:paraId="74DBB4D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w:t>
            </w:r>
          </w:p>
        </w:tc>
      </w:tr>
      <w:tr w14:paraId="66DCA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3208747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restart"/>
            <w:vAlign w:val="center"/>
          </w:tcPr>
          <w:p w14:paraId="78B751C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院长看板</w:t>
            </w:r>
          </w:p>
        </w:tc>
        <w:tc>
          <w:tcPr>
            <w:tcW w:w="2384" w:type="dxa"/>
            <w:vAlign w:val="center"/>
          </w:tcPr>
          <w:p w14:paraId="6991ADB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指标情况汇总</w:t>
            </w:r>
          </w:p>
        </w:tc>
        <w:tc>
          <w:tcPr>
            <w:tcW w:w="656" w:type="dxa"/>
            <w:vAlign w:val="center"/>
          </w:tcPr>
          <w:p w14:paraId="479209B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73</w:t>
            </w:r>
          </w:p>
        </w:tc>
        <w:tc>
          <w:tcPr>
            <w:tcW w:w="3205" w:type="dxa"/>
            <w:vAlign w:val="center"/>
          </w:tcPr>
          <w:p w14:paraId="7EEB5C9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支持汇总统计指标情况</w:t>
            </w:r>
          </w:p>
        </w:tc>
        <w:tc>
          <w:tcPr>
            <w:tcW w:w="1099" w:type="dxa"/>
            <w:vAlign w:val="center"/>
          </w:tcPr>
          <w:p w14:paraId="0926277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w:t>
            </w:r>
          </w:p>
        </w:tc>
      </w:tr>
      <w:tr w14:paraId="636DD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6EF900D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4B34859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restart"/>
            <w:vAlign w:val="center"/>
          </w:tcPr>
          <w:p w14:paraId="27B1E04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科室指标情况分析</w:t>
            </w:r>
          </w:p>
        </w:tc>
        <w:tc>
          <w:tcPr>
            <w:tcW w:w="656" w:type="dxa"/>
            <w:vAlign w:val="center"/>
          </w:tcPr>
          <w:p w14:paraId="2A7D65A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74</w:t>
            </w:r>
          </w:p>
        </w:tc>
        <w:tc>
          <w:tcPr>
            <w:tcW w:w="3205" w:type="dxa"/>
            <w:vAlign w:val="center"/>
          </w:tcPr>
          <w:p w14:paraId="0FD43CA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支持按科室汇总统计各个指标的情况。</w:t>
            </w:r>
          </w:p>
        </w:tc>
        <w:tc>
          <w:tcPr>
            <w:tcW w:w="1099" w:type="dxa"/>
            <w:vAlign w:val="center"/>
          </w:tcPr>
          <w:p w14:paraId="2185B29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137288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6E71FC8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0337B61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464ECAF1">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65CEBF3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75</w:t>
            </w:r>
          </w:p>
        </w:tc>
        <w:tc>
          <w:tcPr>
            <w:tcW w:w="3205" w:type="dxa"/>
            <w:vAlign w:val="center"/>
          </w:tcPr>
          <w:p w14:paraId="0BADEA9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支持按科室下探查看对应科室指标明细情况。</w:t>
            </w:r>
          </w:p>
        </w:tc>
        <w:tc>
          <w:tcPr>
            <w:tcW w:w="1099" w:type="dxa"/>
            <w:vAlign w:val="center"/>
          </w:tcPr>
          <w:p w14:paraId="5B6D662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0C1B2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3B05923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371B20C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restart"/>
            <w:vAlign w:val="center"/>
          </w:tcPr>
          <w:p w14:paraId="45E5296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指标维度</w:t>
            </w:r>
          </w:p>
        </w:tc>
        <w:tc>
          <w:tcPr>
            <w:tcW w:w="656" w:type="dxa"/>
            <w:vAlign w:val="center"/>
          </w:tcPr>
          <w:p w14:paraId="042D6BE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76</w:t>
            </w:r>
          </w:p>
        </w:tc>
        <w:tc>
          <w:tcPr>
            <w:tcW w:w="3205" w:type="dxa"/>
            <w:vAlign w:val="center"/>
          </w:tcPr>
          <w:p w14:paraId="2A49CE11">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支持按实时指标统计汇总数据。</w:t>
            </w:r>
          </w:p>
        </w:tc>
        <w:tc>
          <w:tcPr>
            <w:tcW w:w="1099" w:type="dxa"/>
            <w:vAlign w:val="center"/>
          </w:tcPr>
          <w:p w14:paraId="153C635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6FF047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3C86785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0056BE0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5C9133F0">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6A17992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77</w:t>
            </w:r>
          </w:p>
        </w:tc>
        <w:tc>
          <w:tcPr>
            <w:tcW w:w="3205" w:type="dxa"/>
            <w:vAlign w:val="center"/>
          </w:tcPr>
          <w:p w14:paraId="7DC92D4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支持按国考上报指标统计汇总数据。</w:t>
            </w:r>
          </w:p>
        </w:tc>
        <w:tc>
          <w:tcPr>
            <w:tcW w:w="1099" w:type="dxa"/>
            <w:vAlign w:val="center"/>
          </w:tcPr>
          <w:p w14:paraId="556A20D1">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w:t>
            </w:r>
          </w:p>
        </w:tc>
      </w:tr>
      <w:tr w14:paraId="5D675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367F017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restart"/>
            <w:vAlign w:val="center"/>
          </w:tcPr>
          <w:p w14:paraId="1CD24FA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科主任工作台</w:t>
            </w:r>
          </w:p>
        </w:tc>
        <w:tc>
          <w:tcPr>
            <w:tcW w:w="2384" w:type="dxa"/>
            <w:vMerge w:val="restart"/>
            <w:vAlign w:val="center"/>
          </w:tcPr>
          <w:p w14:paraId="00A3B32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诊疗情况</w:t>
            </w:r>
          </w:p>
        </w:tc>
        <w:tc>
          <w:tcPr>
            <w:tcW w:w="656" w:type="dxa"/>
            <w:vAlign w:val="center"/>
          </w:tcPr>
          <w:p w14:paraId="02583AA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78</w:t>
            </w:r>
          </w:p>
        </w:tc>
        <w:tc>
          <w:tcPr>
            <w:tcW w:w="3205" w:type="dxa"/>
            <w:vAlign w:val="center"/>
          </w:tcPr>
          <w:p w14:paraId="290A262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支持按科室汇总统计展示出院患者、微创手术、四级手术，及相对全院占比。</w:t>
            </w:r>
          </w:p>
        </w:tc>
        <w:tc>
          <w:tcPr>
            <w:tcW w:w="1099" w:type="dxa"/>
            <w:vAlign w:val="center"/>
          </w:tcPr>
          <w:p w14:paraId="4521EA3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53807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871E77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804D70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2DD3A3A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2F29E97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79</w:t>
            </w:r>
          </w:p>
        </w:tc>
        <w:tc>
          <w:tcPr>
            <w:tcW w:w="3205" w:type="dxa"/>
            <w:vAlign w:val="center"/>
          </w:tcPr>
          <w:p w14:paraId="6EA00D0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支持汇总统计住院人次及展示月度住院人次趋势。</w:t>
            </w:r>
          </w:p>
        </w:tc>
        <w:tc>
          <w:tcPr>
            <w:tcW w:w="1099" w:type="dxa"/>
            <w:vAlign w:val="center"/>
          </w:tcPr>
          <w:p w14:paraId="5E3BB9A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7BF98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2776C9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3EACDF0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78D9135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15738ED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80</w:t>
            </w:r>
          </w:p>
        </w:tc>
        <w:tc>
          <w:tcPr>
            <w:tcW w:w="3205" w:type="dxa"/>
            <w:vAlign w:val="center"/>
          </w:tcPr>
          <w:p w14:paraId="33B457D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支持汇总统计门诊人次及展示月度门诊人次趋势。</w:t>
            </w:r>
          </w:p>
        </w:tc>
        <w:tc>
          <w:tcPr>
            <w:tcW w:w="1099" w:type="dxa"/>
            <w:vAlign w:val="center"/>
          </w:tcPr>
          <w:p w14:paraId="4364FC7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7AAFF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6481DC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641B97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restart"/>
            <w:vAlign w:val="center"/>
          </w:tcPr>
          <w:p w14:paraId="0363FF8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手术情况</w:t>
            </w:r>
          </w:p>
        </w:tc>
        <w:tc>
          <w:tcPr>
            <w:tcW w:w="656" w:type="dxa"/>
            <w:vAlign w:val="center"/>
          </w:tcPr>
          <w:p w14:paraId="480088F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81</w:t>
            </w:r>
          </w:p>
        </w:tc>
        <w:tc>
          <w:tcPr>
            <w:tcW w:w="3205" w:type="dxa"/>
            <w:vAlign w:val="center"/>
          </w:tcPr>
          <w:p w14:paraId="1E53ED4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支持按国考手术、四级手术、微创手术、四级微创手术的维度，进行手术例数排序。</w:t>
            </w:r>
          </w:p>
        </w:tc>
        <w:tc>
          <w:tcPr>
            <w:tcW w:w="1099" w:type="dxa"/>
            <w:vAlign w:val="center"/>
          </w:tcPr>
          <w:p w14:paraId="585D36C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316CC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3E6B854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226644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01DC376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11DFFEA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82</w:t>
            </w:r>
          </w:p>
        </w:tc>
        <w:tc>
          <w:tcPr>
            <w:tcW w:w="3205" w:type="dxa"/>
            <w:vAlign w:val="center"/>
          </w:tcPr>
          <w:p w14:paraId="6D581A2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支持对比国考标准统计科室待开展目录术种、统计已开展目录事中、以及统计目录术种开展率。</w:t>
            </w:r>
          </w:p>
        </w:tc>
        <w:tc>
          <w:tcPr>
            <w:tcW w:w="1099" w:type="dxa"/>
            <w:vAlign w:val="center"/>
          </w:tcPr>
          <w:p w14:paraId="3E0B0C0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0ECE3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01807BD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3CCE3C1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629CA3B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12F01476">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83</w:t>
            </w:r>
          </w:p>
        </w:tc>
        <w:tc>
          <w:tcPr>
            <w:tcW w:w="3205" w:type="dxa"/>
            <w:vAlign w:val="center"/>
          </w:tcPr>
          <w:p w14:paraId="5C1E42A6">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支持下探手术统计例数的明细数据。</w:t>
            </w:r>
          </w:p>
        </w:tc>
        <w:tc>
          <w:tcPr>
            <w:tcW w:w="1099" w:type="dxa"/>
            <w:vAlign w:val="center"/>
          </w:tcPr>
          <w:p w14:paraId="0236A09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2B9B2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6FFB9ED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6016B7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restart"/>
            <w:vAlign w:val="center"/>
          </w:tcPr>
          <w:p w14:paraId="628BFF1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医生手术情况</w:t>
            </w:r>
          </w:p>
        </w:tc>
        <w:tc>
          <w:tcPr>
            <w:tcW w:w="656" w:type="dxa"/>
            <w:vAlign w:val="center"/>
          </w:tcPr>
          <w:p w14:paraId="0BF2A85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84</w:t>
            </w:r>
          </w:p>
        </w:tc>
        <w:tc>
          <w:tcPr>
            <w:tcW w:w="3205" w:type="dxa"/>
            <w:vAlign w:val="center"/>
          </w:tcPr>
          <w:p w14:paraId="5A6E854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支持按科室医生汇总统计出院患者、微创手术、四级手术等数量，并进行数据排序。</w:t>
            </w:r>
          </w:p>
        </w:tc>
        <w:tc>
          <w:tcPr>
            <w:tcW w:w="1099" w:type="dxa"/>
            <w:vAlign w:val="center"/>
          </w:tcPr>
          <w:p w14:paraId="6842A45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31300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3490CF8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EA6961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0F17524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497DDAB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85</w:t>
            </w:r>
          </w:p>
        </w:tc>
        <w:tc>
          <w:tcPr>
            <w:tcW w:w="3205" w:type="dxa"/>
            <w:vAlign w:val="center"/>
          </w:tcPr>
          <w:p w14:paraId="77CF85C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支持下探查看对应医生数据的明细数据记录。</w:t>
            </w:r>
          </w:p>
        </w:tc>
        <w:tc>
          <w:tcPr>
            <w:tcW w:w="1099" w:type="dxa"/>
            <w:vAlign w:val="center"/>
          </w:tcPr>
          <w:p w14:paraId="1EE8632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w:t>
            </w:r>
          </w:p>
        </w:tc>
      </w:tr>
      <w:tr w14:paraId="21DCA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6EDA9F0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98D0DC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restart"/>
            <w:vAlign w:val="center"/>
          </w:tcPr>
          <w:p w14:paraId="7F6CF9B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医疗手术</w:t>
            </w:r>
          </w:p>
        </w:tc>
        <w:tc>
          <w:tcPr>
            <w:tcW w:w="656" w:type="dxa"/>
            <w:vAlign w:val="center"/>
          </w:tcPr>
          <w:p w14:paraId="44FFF2A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86</w:t>
            </w:r>
          </w:p>
        </w:tc>
        <w:tc>
          <w:tcPr>
            <w:tcW w:w="3205" w:type="dxa"/>
            <w:vAlign w:val="center"/>
          </w:tcPr>
          <w:p w14:paraId="409C29A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支持统计科室的医疗手术，及计算同比。</w:t>
            </w:r>
          </w:p>
        </w:tc>
        <w:tc>
          <w:tcPr>
            <w:tcW w:w="1099" w:type="dxa"/>
            <w:vAlign w:val="center"/>
          </w:tcPr>
          <w:p w14:paraId="524D1CD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00375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505E8C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43FC372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0D5AB67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6141D64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87</w:t>
            </w:r>
          </w:p>
        </w:tc>
        <w:tc>
          <w:tcPr>
            <w:tcW w:w="3205" w:type="dxa"/>
            <w:vAlign w:val="center"/>
          </w:tcPr>
          <w:p w14:paraId="0CC9D8B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支持统计科室的门急诊医疗收入。</w:t>
            </w:r>
          </w:p>
        </w:tc>
        <w:tc>
          <w:tcPr>
            <w:tcW w:w="1099" w:type="dxa"/>
            <w:vAlign w:val="center"/>
          </w:tcPr>
          <w:p w14:paraId="09DA74F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0A065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CCBBE7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94BED2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3E599B5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36B8AA51">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88</w:t>
            </w:r>
          </w:p>
        </w:tc>
        <w:tc>
          <w:tcPr>
            <w:tcW w:w="3205" w:type="dxa"/>
            <w:vAlign w:val="center"/>
          </w:tcPr>
          <w:p w14:paraId="72F9133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支持统计科室的住院医疗收入。</w:t>
            </w:r>
          </w:p>
        </w:tc>
        <w:tc>
          <w:tcPr>
            <w:tcW w:w="1099" w:type="dxa"/>
            <w:vAlign w:val="center"/>
          </w:tcPr>
          <w:p w14:paraId="12C486E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0B4EE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FE3259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518523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restart"/>
            <w:vAlign w:val="center"/>
          </w:tcPr>
          <w:p w14:paraId="4F71A454">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患者情况</w:t>
            </w:r>
          </w:p>
        </w:tc>
        <w:tc>
          <w:tcPr>
            <w:tcW w:w="656" w:type="dxa"/>
            <w:vAlign w:val="center"/>
          </w:tcPr>
          <w:p w14:paraId="7FA6C2A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89</w:t>
            </w:r>
          </w:p>
        </w:tc>
        <w:tc>
          <w:tcPr>
            <w:tcW w:w="3205" w:type="dxa"/>
            <w:vAlign w:val="center"/>
          </w:tcPr>
          <w:p w14:paraId="4902E2A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支持分析科室患者的来源分布情况。</w:t>
            </w:r>
          </w:p>
        </w:tc>
        <w:tc>
          <w:tcPr>
            <w:tcW w:w="1099" w:type="dxa"/>
            <w:vAlign w:val="center"/>
          </w:tcPr>
          <w:p w14:paraId="0EB67EF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216025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06331AD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4CB557F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26DB80E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4BAEB4C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90</w:t>
            </w:r>
          </w:p>
        </w:tc>
        <w:tc>
          <w:tcPr>
            <w:tcW w:w="3205" w:type="dxa"/>
            <w:vAlign w:val="center"/>
          </w:tcPr>
          <w:p w14:paraId="3D7BC9C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支持分析科室患者的年龄分布情况。</w:t>
            </w:r>
          </w:p>
        </w:tc>
        <w:tc>
          <w:tcPr>
            <w:tcW w:w="1099" w:type="dxa"/>
            <w:vAlign w:val="center"/>
          </w:tcPr>
          <w:p w14:paraId="3329F75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24040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0214794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38FB43B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1DA4425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3902B8F4">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91</w:t>
            </w:r>
          </w:p>
        </w:tc>
        <w:tc>
          <w:tcPr>
            <w:tcW w:w="3205" w:type="dxa"/>
            <w:vAlign w:val="center"/>
          </w:tcPr>
          <w:p w14:paraId="3849903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支持分析科室患者的性别分布情况。</w:t>
            </w:r>
          </w:p>
        </w:tc>
        <w:tc>
          <w:tcPr>
            <w:tcW w:w="1099" w:type="dxa"/>
            <w:vAlign w:val="center"/>
          </w:tcPr>
          <w:p w14:paraId="4A25165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7ED91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7EEDE9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restart"/>
            <w:vAlign w:val="center"/>
          </w:tcPr>
          <w:p w14:paraId="73C4EA5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系统管理</w:t>
            </w:r>
          </w:p>
        </w:tc>
        <w:tc>
          <w:tcPr>
            <w:tcW w:w="2384" w:type="dxa"/>
            <w:vAlign w:val="center"/>
          </w:tcPr>
          <w:p w14:paraId="3F245881">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医院信息</w:t>
            </w:r>
          </w:p>
        </w:tc>
        <w:tc>
          <w:tcPr>
            <w:tcW w:w="656" w:type="dxa"/>
            <w:vAlign w:val="center"/>
          </w:tcPr>
          <w:p w14:paraId="387290A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92</w:t>
            </w:r>
          </w:p>
        </w:tc>
        <w:tc>
          <w:tcPr>
            <w:tcW w:w="3205" w:type="dxa"/>
            <w:vAlign w:val="center"/>
          </w:tcPr>
          <w:p w14:paraId="30951116">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支持维护医院名称、级别、类型等基础数据。</w:t>
            </w:r>
          </w:p>
        </w:tc>
        <w:tc>
          <w:tcPr>
            <w:tcW w:w="1099" w:type="dxa"/>
            <w:vAlign w:val="center"/>
          </w:tcPr>
          <w:p w14:paraId="2E96ED4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20895E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3913D22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3B7CD05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restart"/>
            <w:vAlign w:val="center"/>
          </w:tcPr>
          <w:p w14:paraId="2507313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科室管理</w:t>
            </w:r>
          </w:p>
        </w:tc>
        <w:tc>
          <w:tcPr>
            <w:tcW w:w="656" w:type="dxa"/>
            <w:vAlign w:val="center"/>
          </w:tcPr>
          <w:p w14:paraId="75755C2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93</w:t>
            </w:r>
          </w:p>
        </w:tc>
        <w:tc>
          <w:tcPr>
            <w:tcW w:w="3205" w:type="dxa"/>
            <w:vAlign w:val="center"/>
          </w:tcPr>
          <w:p w14:paraId="453393A4">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支持维护院内各个科室相关数据。</w:t>
            </w:r>
          </w:p>
        </w:tc>
        <w:tc>
          <w:tcPr>
            <w:tcW w:w="1099" w:type="dxa"/>
            <w:vAlign w:val="center"/>
          </w:tcPr>
          <w:p w14:paraId="55CC2A5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1D547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0FC70B9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3395CB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5606325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2E65D16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94</w:t>
            </w:r>
          </w:p>
        </w:tc>
        <w:tc>
          <w:tcPr>
            <w:tcW w:w="3205" w:type="dxa"/>
            <w:vAlign w:val="center"/>
          </w:tcPr>
          <w:p w14:paraId="091EA9C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支持同步院内 HIS 的科室信息。</w:t>
            </w:r>
          </w:p>
        </w:tc>
        <w:tc>
          <w:tcPr>
            <w:tcW w:w="1099" w:type="dxa"/>
            <w:vAlign w:val="center"/>
          </w:tcPr>
          <w:p w14:paraId="434319C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19B04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6479FE2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4CDE67F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Align w:val="center"/>
          </w:tcPr>
          <w:p w14:paraId="5AC1E93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角色权限管理</w:t>
            </w:r>
          </w:p>
        </w:tc>
        <w:tc>
          <w:tcPr>
            <w:tcW w:w="656" w:type="dxa"/>
            <w:vAlign w:val="center"/>
          </w:tcPr>
          <w:p w14:paraId="2F933DD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95</w:t>
            </w:r>
          </w:p>
        </w:tc>
        <w:tc>
          <w:tcPr>
            <w:tcW w:w="3205" w:type="dxa"/>
            <w:vAlign w:val="center"/>
          </w:tcPr>
          <w:p w14:paraId="3E8ACAD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支持创建系统角色，维护页面权限。</w:t>
            </w:r>
          </w:p>
        </w:tc>
        <w:tc>
          <w:tcPr>
            <w:tcW w:w="1099" w:type="dxa"/>
            <w:vAlign w:val="center"/>
          </w:tcPr>
          <w:p w14:paraId="337D442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07316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082846D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301A94D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restart"/>
            <w:vAlign w:val="center"/>
          </w:tcPr>
          <w:p w14:paraId="0C632D2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用户管理</w:t>
            </w:r>
          </w:p>
        </w:tc>
        <w:tc>
          <w:tcPr>
            <w:tcW w:w="656" w:type="dxa"/>
            <w:vAlign w:val="center"/>
          </w:tcPr>
          <w:p w14:paraId="20665A8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96</w:t>
            </w:r>
          </w:p>
        </w:tc>
        <w:tc>
          <w:tcPr>
            <w:tcW w:w="3205" w:type="dxa"/>
            <w:vAlign w:val="center"/>
          </w:tcPr>
          <w:p w14:paraId="56F9841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支持创建系统用户，维护用户相关数据。</w:t>
            </w:r>
          </w:p>
        </w:tc>
        <w:tc>
          <w:tcPr>
            <w:tcW w:w="1099" w:type="dxa"/>
            <w:vAlign w:val="center"/>
          </w:tcPr>
          <w:p w14:paraId="68AD793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19E11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1D2803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3E82F7D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7CBA233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34EC63E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97</w:t>
            </w:r>
          </w:p>
        </w:tc>
        <w:tc>
          <w:tcPr>
            <w:tcW w:w="3205" w:type="dxa"/>
            <w:vAlign w:val="center"/>
          </w:tcPr>
          <w:p w14:paraId="0DE4DFA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支持同步院内 HIS 的科室信息。</w:t>
            </w:r>
          </w:p>
        </w:tc>
        <w:tc>
          <w:tcPr>
            <w:tcW w:w="1099" w:type="dxa"/>
            <w:vAlign w:val="center"/>
          </w:tcPr>
          <w:p w14:paraId="5462B75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17327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559F97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1FB7163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0B2AF20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52CF872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98</w:t>
            </w:r>
          </w:p>
        </w:tc>
        <w:tc>
          <w:tcPr>
            <w:tcW w:w="3205" w:type="dxa"/>
            <w:vAlign w:val="center"/>
          </w:tcPr>
          <w:p w14:paraId="15CB52E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支持管理员重置密码。</w:t>
            </w:r>
          </w:p>
        </w:tc>
        <w:tc>
          <w:tcPr>
            <w:tcW w:w="1099" w:type="dxa"/>
            <w:vAlign w:val="center"/>
          </w:tcPr>
          <w:p w14:paraId="551AD3F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02984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11C182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3884B3B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restart"/>
            <w:vAlign w:val="center"/>
          </w:tcPr>
          <w:p w14:paraId="5D20722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用户中心</w:t>
            </w:r>
          </w:p>
        </w:tc>
        <w:tc>
          <w:tcPr>
            <w:tcW w:w="656" w:type="dxa"/>
            <w:vAlign w:val="center"/>
          </w:tcPr>
          <w:p w14:paraId="400F7DB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99</w:t>
            </w:r>
          </w:p>
        </w:tc>
        <w:tc>
          <w:tcPr>
            <w:tcW w:w="3205" w:type="dxa"/>
            <w:vAlign w:val="center"/>
          </w:tcPr>
          <w:p w14:paraId="3CA78E5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支持修改当前用户登录密码。</w:t>
            </w:r>
          </w:p>
        </w:tc>
        <w:tc>
          <w:tcPr>
            <w:tcW w:w="1099" w:type="dxa"/>
            <w:vAlign w:val="center"/>
          </w:tcPr>
          <w:p w14:paraId="2A2DA26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183ED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56C6BE3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4A1CC8C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0A83DD4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6BA69B6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100</w:t>
            </w:r>
          </w:p>
        </w:tc>
        <w:tc>
          <w:tcPr>
            <w:tcW w:w="3205" w:type="dxa"/>
            <w:vAlign w:val="center"/>
          </w:tcPr>
          <w:p w14:paraId="17C133B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支持限制当前账号的登录数量。</w:t>
            </w:r>
          </w:p>
        </w:tc>
        <w:tc>
          <w:tcPr>
            <w:tcW w:w="1099" w:type="dxa"/>
            <w:vAlign w:val="center"/>
          </w:tcPr>
          <w:p w14:paraId="6901DBD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0662C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5294B49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E63678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Align w:val="center"/>
          </w:tcPr>
          <w:p w14:paraId="71062EF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日志管理</w:t>
            </w:r>
          </w:p>
        </w:tc>
        <w:tc>
          <w:tcPr>
            <w:tcW w:w="656" w:type="dxa"/>
            <w:vAlign w:val="center"/>
          </w:tcPr>
          <w:p w14:paraId="48AF004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101</w:t>
            </w:r>
          </w:p>
        </w:tc>
        <w:tc>
          <w:tcPr>
            <w:tcW w:w="3205" w:type="dxa"/>
            <w:vAlign w:val="center"/>
          </w:tcPr>
          <w:p w14:paraId="48A0782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支持查询系统登陆日志。</w:t>
            </w:r>
          </w:p>
        </w:tc>
        <w:tc>
          <w:tcPr>
            <w:tcW w:w="1099" w:type="dxa"/>
            <w:vAlign w:val="center"/>
          </w:tcPr>
          <w:p w14:paraId="58D4928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1459F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9EE388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restart"/>
            <w:vAlign w:val="center"/>
          </w:tcPr>
          <w:p w14:paraId="243C8B14">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数据采集</w:t>
            </w:r>
          </w:p>
        </w:tc>
        <w:tc>
          <w:tcPr>
            <w:tcW w:w="2384" w:type="dxa"/>
            <w:vMerge w:val="restart"/>
            <w:vAlign w:val="center"/>
          </w:tcPr>
          <w:p w14:paraId="4CBD4DF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数据采集</w:t>
            </w:r>
          </w:p>
        </w:tc>
        <w:tc>
          <w:tcPr>
            <w:tcW w:w="656" w:type="dxa"/>
            <w:vAlign w:val="center"/>
          </w:tcPr>
          <w:p w14:paraId="3F94829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102</w:t>
            </w:r>
          </w:p>
        </w:tc>
        <w:tc>
          <w:tcPr>
            <w:tcW w:w="3205" w:type="dxa"/>
            <w:vAlign w:val="center"/>
          </w:tcPr>
          <w:p w14:paraId="7C52FEA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支持数据库直连和本地数据两种取数方式，并能支持各种主流数据库：SQL Server、ORACLE、MySql 等；能够自动获取数据。</w:t>
            </w:r>
          </w:p>
        </w:tc>
        <w:tc>
          <w:tcPr>
            <w:tcW w:w="1099" w:type="dxa"/>
            <w:vAlign w:val="center"/>
          </w:tcPr>
          <w:p w14:paraId="31D4225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58CBF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94A687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C0FEC9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0B7EE4A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0D7C987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103</w:t>
            </w:r>
          </w:p>
        </w:tc>
        <w:tc>
          <w:tcPr>
            <w:tcW w:w="3205" w:type="dxa"/>
            <w:vAlign w:val="center"/>
          </w:tcPr>
          <w:p w14:paraId="1BA97FD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支持查询数据采集日志。</w:t>
            </w:r>
          </w:p>
        </w:tc>
        <w:tc>
          <w:tcPr>
            <w:tcW w:w="1099" w:type="dxa"/>
            <w:vAlign w:val="center"/>
          </w:tcPr>
          <w:p w14:paraId="7D375B3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1F739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B9F857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709B32E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4EFE13F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5E60EBA6">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104</w:t>
            </w:r>
          </w:p>
        </w:tc>
        <w:tc>
          <w:tcPr>
            <w:tcW w:w="3205" w:type="dxa"/>
            <w:vAlign w:val="center"/>
          </w:tcPr>
          <w:p w14:paraId="6C86654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支持跟踪数据采集异常问题。</w:t>
            </w:r>
          </w:p>
        </w:tc>
        <w:tc>
          <w:tcPr>
            <w:tcW w:w="1099" w:type="dxa"/>
            <w:vAlign w:val="center"/>
          </w:tcPr>
          <w:p w14:paraId="19F4759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209D3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FCAE37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restart"/>
            <w:vAlign w:val="center"/>
          </w:tcPr>
          <w:p w14:paraId="4E22E8F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数据上报</w:t>
            </w:r>
          </w:p>
        </w:tc>
        <w:tc>
          <w:tcPr>
            <w:tcW w:w="2384" w:type="dxa"/>
            <w:vAlign w:val="center"/>
          </w:tcPr>
          <w:p w14:paraId="00FE4ED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数据导出</w:t>
            </w:r>
          </w:p>
        </w:tc>
        <w:tc>
          <w:tcPr>
            <w:tcW w:w="656" w:type="dxa"/>
            <w:vAlign w:val="center"/>
          </w:tcPr>
          <w:p w14:paraId="31769976">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105</w:t>
            </w:r>
          </w:p>
        </w:tc>
        <w:tc>
          <w:tcPr>
            <w:tcW w:w="3205" w:type="dxa"/>
            <w:vAlign w:val="center"/>
          </w:tcPr>
          <w:p w14:paraId="1DBF9DF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支持按照国家三级公立医院绩效考核上报要求，进行数据自动汇总生成数据模版导出上报。</w:t>
            </w:r>
          </w:p>
        </w:tc>
        <w:tc>
          <w:tcPr>
            <w:tcW w:w="1099" w:type="dxa"/>
            <w:vAlign w:val="center"/>
          </w:tcPr>
          <w:p w14:paraId="40620874">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w:t>
            </w:r>
          </w:p>
        </w:tc>
      </w:tr>
      <w:tr w14:paraId="46668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11A7565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53A145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Align w:val="center"/>
          </w:tcPr>
          <w:p w14:paraId="725D1D0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数据填报</w:t>
            </w:r>
          </w:p>
        </w:tc>
        <w:tc>
          <w:tcPr>
            <w:tcW w:w="656" w:type="dxa"/>
            <w:vAlign w:val="center"/>
          </w:tcPr>
          <w:p w14:paraId="2A25A81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106</w:t>
            </w:r>
          </w:p>
        </w:tc>
        <w:tc>
          <w:tcPr>
            <w:tcW w:w="3205" w:type="dxa"/>
            <w:vAlign w:val="center"/>
          </w:tcPr>
          <w:p w14:paraId="0EA593B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支持分科室、分角色、分权限填报数据。</w:t>
            </w:r>
          </w:p>
        </w:tc>
        <w:tc>
          <w:tcPr>
            <w:tcW w:w="1099" w:type="dxa"/>
            <w:vAlign w:val="center"/>
          </w:tcPr>
          <w:p w14:paraId="6BCE66E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48E87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8EEA19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42BDEDA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Align w:val="center"/>
          </w:tcPr>
          <w:p w14:paraId="49B0C9B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数据生成</w:t>
            </w:r>
          </w:p>
        </w:tc>
        <w:tc>
          <w:tcPr>
            <w:tcW w:w="656" w:type="dxa"/>
            <w:vAlign w:val="center"/>
          </w:tcPr>
          <w:p w14:paraId="078B85D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107</w:t>
            </w:r>
          </w:p>
        </w:tc>
        <w:tc>
          <w:tcPr>
            <w:tcW w:w="3205" w:type="dxa"/>
            <w:vAlign w:val="center"/>
          </w:tcPr>
          <w:p w14:paraId="684BE121">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支持定时生成汇总统计指标数据。</w:t>
            </w:r>
          </w:p>
        </w:tc>
        <w:tc>
          <w:tcPr>
            <w:tcW w:w="1099" w:type="dxa"/>
            <w:vAlign w:val="center"/>
          </w:tcPr>
          <w:p w14:paraId="5F7EA32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513EA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restart"/>
            <w:vAlign w:val="center"/>
          </w:tcPr>
          <w:p w14:paraId="1547B33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DRG绩效评价管理</w:t>
            </w:r>
          </w:p>
        </w:tc>
        <w:tc>
          <w:tcPr>
            <w:tcW w:w="880" w:type="dxa"/>
            <w:vMerge w:val="restart"/>
            <w:vAlign w:val="center"/>
          </w:tcPr>
          <w:p w14:paraId="29F68E1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DRG分组器</w:t>
            </w:r>
          </w:p>
        </w:tc>
        <w:tc>
          <w:tcPr>
            <w:tcW w:w="2384" w:type="dxa"/>
            <w:vMerge w:val="restart"/>
            <w:vAlign w:val="center"/>
          </w:tcPr>
          <w:p w14:paraId="62BF4EC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 DRG 入组、展示权重、CMI、标杆费用等，支持版本维护、多方案保存。</w:t>
            </w:r>
          </w:p>
        </w:tc>
        <w:tc>
          <w:tcPr>
            <w:tcW w:w="656" w:type="dxa"/>
            <w:vAlign w:val="center"/>
          </w:tcPr>
          <w:p w14:paraId="210C85B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108</w:t>
            </w:r>
          </w:p>
        </w:tc>
        <w:tc>
          <w:tcPr>
            <w:tcW w:w="3205" w:type="dxa"/>
            <w:vAlign w:val="center"/>
          </w:tcPr>
          <w:p w14:paraId="1D5FD6B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支持病例DRG入组</w:t>
            </w:r>
          </w:p>
        </w:tc>
        <w:tc>
          <w:tcPr>
            <w:tcW w:w="1099" w:type="dxa"/>
            <w:vAlign w:val="center"/>
          </w:tcPr>
          <w:p w14:paraId="5A950B8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49ED3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13FEB3B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96FD1C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460D695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57EBD14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109</w:t>
            </w:r>
          </w:p>
        </w:tc>
        <w:tc>
          <w:tcPr>
            <w:tcW w:w="3205" w:type="dxa"/>
            <w:vAlign w:val="center"/>
          </w:tcPr>
          <w:p w14:paraId="7881462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DRG版本管理</w:t>
            </w:r>
          </w:p>
        </w:tc>
        <w:tc>
          <w:tcPr>
            <w:tcW w:w="1099" w:type="dxa"/>
            <w:vAlign w:val="center"/>
          </w:tcPr>
          <w:p w14:paraId="4DBB6E0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15976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1FD123D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1D9819D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702A433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193AD7E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110</w:t>
            </w:r>
          </w:p>
        </w:tc>
        <w:tc>
          <w:tcPr>
            <w:tcW w:w="3205" w:type="dxa"/>
            <w:vAlign w:val="center"/>
          </w:tcPr>
          <w:p w14:paraId="62D15364">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DRG组目录维护</w:t>
            </w:r>
          </w:p>
        </w:tc>
        <w:tc>
          <w:tcPr>
            <w:tcW w:w="1099" w:type="dxa"/>
            <w:vAlign w:val="center"/>
          </w:tcPr>
          <w:p w14:paraId="7D01617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2584C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9EE5C9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4608BDA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290ED62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5BFD226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111</w:t>
            </w:r>
          </w:p>
        </w:tc>
        <w:tc>
          <w:tcPr>
            <w:tcW w:w="3205" w:type="dxa"/>
            <w:vAlign w:val="center"/>
          </w:tcPr>
          <w:p w14:paraId="6EEBD13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国家临床版ICD库维护</w:t>
            </w:r>
          </w:p>
        </w:tc>
        <w:tc>
          <w:tcPr>
            <w:tcW w:w="1099" w:type="dxa"/>
            <w:vAlign w:val="center"/>
          </w:tcPr>
          <w:p w14:paraId="399E8CE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149B9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2B6D5F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93C76C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30C3AD7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1F32996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112</w:t>
            </w:r>
          </w:p>
        </w:tc>
        <w:tc>
          <w:tcPr>
            <w:tcW w:w="3205" w:type="dxa"/>
            <w:vAlign w:val="center"/>
          </w:tcPr>
          <w:p w14:paraId="2311BB4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DRG组合查询</w:t>
            </w:r>
          </w:p>
        </w:tc>
        <w:tc>
          <w:tcPr>
            <w:tcW w:w="1099" w:type="dxa"/>
            <w:vAlign w:val="center"/>
          </w:tcPr>
          <w:p w14:paraId="3265C0B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0910D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DD48C2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40A9BF8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0C47298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45AA4314">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113</w:t>
            </w:r>
          </w:p>
        </w:tc>
        <w:tc>
          <w:tcPr>
            <w:tcW w:w="3205" w:type="dxa"/>
            <w:vAlign w:val="center"/>
          </w:tcPr>
          <w:p w14:paraId="31F080A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在院患者DRG入组测算</w:t>
            </w:r>
          </w:p>
        </w:tc>
        <w:tc>
          <w:tcPr>
            <w:tcW w:w="1099" w:type="dxa"/>
            <w:vAlign w:val="center"/>
          </w:tcPr>
          <w:p w14:paraId="1C44D74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w:t>
            </w:r>
          </w:p>
        </w:tc>
      </w:tr>
      <w:tr w14:paraId="1390B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6C821CF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404034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04BAE1F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60CA9E5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114</w:t>
            </w:r>
          </w:p>
        </w:tc>
        <w:tc>
          <w:tcPr>
            <w:tcW w:w="3205" w:type="dxa"/>
            <w:vAlign w:val="center"/>
          </w:tcPr>
          <w:p w14:paraId="7D8490F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标杆值平均费用、平均住院日、药占比、耗材比指标对比</w:t>
            </w:r>
          </w:p>
        </w:tc>
        <w:tc>
          <w:tcPr>
            <w:tcW w:w="1099" w:type="dxa"/>
            <w:vAlign w:val="center"/>
          </w:tcPr>
          <w:p w14:paraId="343CEC4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25C29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109F3A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39740C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58CAD4F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23C603C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115</w:t>
            </w:r>
          </w:p>
        </w:tc>
        <w:tc>
          <w:tcPr>
            <w:tcW w:w="3205" w:type="dxa"/>
            <w:vAlign w:val="center"/>
          </w:tcPr>
          <w:p w14:paraId="7237920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风险等级提醒</w:t>
            </w:r>
          </w:p>
        </w:tc>
        <w:tc>
          <w:tcPr>
            <w:tcW w:w="1099" w:type="dxa"/>
            <w:vAlign w:val="center"/>
          </w:tcPr>
          <w:p w14:paraId="3CFF135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184EE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5351B0D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714DB56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7C5BF98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25F6B41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116</w:t>
            </w:r>
          </w:p>
        </w:tc>
        <w:tc>
          <w:tcPr>
            <w:tcW w:w="3205" w:type="dxa"/>
            <w:vAlign w:val="center"/>
          </w:tcPr>
          <w:p w14:paraId="3CE4EC0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支持保存多个入组方案</w:t>
            </w:r>
          </w:p>
        </w:tc>
        <w:tc>
          <w:tcPr>
            <w:tcW w:w="1099" w:type="dxa"/>
            <w:vAlign w:val="center"/>
          </w:tcPr>
          <w:p w14:paraId="52BB9B1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0FE2E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02C8EDF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0E3520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54A20B6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493EC726">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117</w:t>
            </w:r>
          </w:p>
        </w:tc>
        <w:tc>
          <w:tcPr>
            <w:tcW w:w="3205" w:type="dxa"/>
            <w:vAlign w:val="center"/>
          </w:tcPr>
          <w:p w14:paraId="4F607BA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患者费用结构占比</w:t>
            </w:r>
          </w:p>
        </w:tc>
        <w:tc>
          <w:tcPr>
            <w:tcW w:w="1099" w:type="dxa"/>
            <w:vAlign w:val="center"/>
          </w:tcPr>
          <w:p w14:paraId="41B33C5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27374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81B34C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16AF683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29ECCAF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382BED9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118</w:t>
            </w:r>
          </w:p>
        </w:tc>
        <w:tc>
          <w:tcPr>
            <w:tcW w:w="3205" w:type="dxa"/>
            <w:vAlign w:val="center"/>
          </w:tcPr>
          <w:p w14:paraId="6C804FB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患者住院费用分科展示，支持下探明细。</w:t>
            </w:r>
          </w:p>
        </w:tc>
        <w:tc>
          <w:tcPr>
            <w:tcW w:w="1099" w:type="dxa"/>
            <w:vAlign w:val="center"/>
          </w:tcPr>
          <w:p w14:paraId="0C7C7ED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1102F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1D16844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restart"/>
            <w:vAlign w:val="center"/>
          </w:tcPr>
          <w:p w14:paraId="52F1ABC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DRG绩效评价</w:t>
            </w:r>
          </w:p>
        </w:tc>
        <w:tc>
          <w:tcPr>
            <w:tcW w:w="2384" w:type="dxa"/>
            <w:vMerge w:val="restart"/>
            <w:vAlign w:val="center"/>
          </w:tcPr>
          <w:p w14:paraId="29ED669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对全院/科室/医生/DRG组数据进行绩效评价，支持同比、环比、标杆比等多种比较维度。</w:t>
            </w:r>
          </w:p>
        </w:tc>
        <w:tc>
          <w:tcPr>
            <w:tcW w:w="656" w:type="dxa"/>
            <w:vAlign w:val="center"/>
          </w:tcPr>
          <w:p w14:paraId="16223A8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119</w:t>
            </w:r>
          </w:p>
        </w:tc>
        <w:tc>
          <w:tcPr>
            <w:tcW w:w="3205" w:type="dxa"/>
            <w:vAlign w:val="center"/>
          </w:tcPr>
          <w:p w14:paraId="7FCD7474">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支持按科室医生分析：出院人数、收治病种数量、住院术种数量、DRG组数、总权重、CMI、例均费用、平均住院日、时间消耗指数、费用消耗指数、低风险死亡率、异地疑难病例占比、CD型占比、三四级手术占比</w:t>
            </w:r>
          </w:p>
        </w:tc>
        <w:tc>
          <w:tcPr>
            <w:tcW w:w="1099" w:type="dxa"/>
            <w:vAlign w:val="center"/>
          </w:tcPr>
          <w:p w14:paraId="7B96BBF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w:t>
            </w:r>
          </w:p>
        </w:tc>
      </w:tr>
      <w:tr w14:paraId="0141D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50E70A0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4F0A17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6FE1A6D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4FAAB91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120</w:t>
            </w:r>
          </w:p>
        </w:tc>
        <w:tc>
          <w:tcPr>
            <w:tcW w:w="3205" w:type="dxa"/>
            <w:vAlign w:val="center"/>
          </w:tcPr>
          <w:p w14:paraId="6280C8C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支持按科室医生分析平均住院日/例均费用、/药占比、/耗材占比等指标，DRG组标杆、医院、差额</w:t>
            </w:r>
          </w:p>
        </w:tc>
        <w:tc>
          <w:tcPr>
            <w:tcW w:w="1099" w:type="dxa"/>
            <w:vAlign w:val="center"/>
          </w:tcPr>
          <w:p w14:paraId="734F31A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33179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33A2980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392D81E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260ACA9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166CE79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121</w:t>
            </w:r>
          </w:p>
        </w:tc>
        <w:tc>
          <w:tcPr>
            <w:tcW w:w="3205" w:type="dxa"/>
            <w:vAlign w:val="center"/>
          </w:tcPr>
          <w:p w14:paraId="0244687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支持RW（0~1.5）、RW（1.5~5）、RW（5~10）、RW（10+）、统计</w:t>
            </w:r>
          </w:p>
        </w:tc>
        <w:tc>
          <w:tcPr>
            <w:tcW w:w="1099" w:type="dxa"/>
            <w:vAlign w:val="center"/>
          </w:tcPr>
          <w:p w14:paraId="25BB1D2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6E9899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00FE6C2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29761E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1583A1E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0D0D89A1">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122</w:t>
            </w:r>
          </w:p>
        </w:tc>
        <w:tc>
          <w:tcPr>
            <w:tcW w:w="3205" w:type="dxa"/>
            <w:vAlign w:val="center"/>
          </w:tcPr>
          <w:p w14:paraId="6B754BE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支持统计无风险组、低风险组、中低风险组、中高风险组、高风险组的病例、例数占比、死亡、死亡率</w:t>
            </w:r>
          </w:p>
        </w:tc>
        <w:tc>
          <w:tcPr>
            <w:tcW w:w="1099" w:type="dxa"/>
            <w:vAlign w:val="center"/>
          </w:tcPr>
          <w:p w14:paraId="2C2A2B0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37785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5C59933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40FF12E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37C79EF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52F3BC1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123</w:t>
            </w:r>
          </w:p>
        </w:tc>
        <w:tc>
          <w:tcPr>
            <w:tcW w:w="3205" w:type="dxa"/>
            <w:vAlign w:val="center"/>
          </w:tcPr>
          <w:p w14:paraId="59FA1C5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支持统计DRG病组风险值、权重系数、出院人数、死亡病例数、病死率、例均费用（元）、平均住院日、抗菌药物使用人数占比、重返人数占比</w:t>
            </w:r>
          </w:p>
        </w:tc>
        <w:tc>
          <w:tcPr>
            <w:tcW w:w="1099" w:type="dxa"/>
            <w:vAlign w:val="center"/>
          </w:tcPr>
          <w:p w14:paraId="374C72F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0E1B3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6BD7694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DDD9B1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2E89E82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6A6C87F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124</w:t>
            </w:r>
          </w:p>
        </w:tc>
        <w:tc>
          <w:tcPr>
            <w:tcW w:w="3205" w:type="dxa"/>
            <w:vAlign w:val="center"/>
          </w:tcPr>
          <w:p w14:paraId="7239FC6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支持统计主要诊断大类（MDC）的入組病例数、入组率%.、DRG总组数、源盖DRG、组数、覆盖占比、总权重、CMI、例均费用、平均住院日、低风险组死亡率、死亡率</w:t>
            </w:r>
          </w:p>
        </w:tc>
        <w:tc>
          <w:tcPr>
            <w:tcW w:w="1099" w:type="dxa"/>
            <w:vAlign w:val="center"/>
          </w:tcPr>
          <w:p w14:paraId="55B7630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w:t>
            </w:r>
          </w:p>
        </w:tc>
      </w:tr>
      <w:tr w14:paraId="70D75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02E1BD0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057D482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6089DA0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6FF97C1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125</w:t>
            </w:r>
          </w:p>
        </w:tc>
        <w:tc>
          <w:tcPr>
            <w:tcW w:w="3205" w:type="dxa"/>
            <w:vAlign w:val="center"/>
          </w:tcPr>
          <w:p w14:paraId="109477E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支持统计内科组、外科组、非手术操作组的DRG组数占比、入组人数占比</w:t>
            </w:r>
          </w:p>
        </w:tc>
        <w:tc>
          <w:tcPr>
            <w:tcW w:w="1099" w:type="dxa"/>
            <w:vAlign w:val="center"/>
          </w:tcPr>
          <w:p w14:paraId="2F5E065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4EA0C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0FD9283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restart"/>
            <w:vAlign w:val="center"/>
          </w:tcPr>
          <w:p w14:paraId="398EA1B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分析报告</w:t>
            </w:r>
          </w:p>
        </w:tc>
        <w:tc>
          <w:tcPr>
            <w:tcW w:w="2384" w:type="dxa"/>
            <w:vMerge w:val="restart"/>
            <w:vAlign w:val="center"/>
          </w:tcPr>
          <w:p w14:paraId="318D0BE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含绩效排名，自动生成全院/科室/病组等多维度分析报告。</w:t>
            </w:r>
          </w:p>
        </w:tc>
        <w:tc>
          <w:tcPr>
            <w:tcW w:w="656" w:type="dxa"/>
            <w:vAlign w:val="center"/>
          </w:tcPr>
          <w:p w14:paraId="1D0A630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126</w:t>
            </w:r>
          </w:p>
        </w:tc>
        <w:tc>
          <w:tcPr>
            <w:tcW w:w="3205" w:type="dxa"/>
            <w:vAlign w:val="center"/>
          </w:tcPr>
          <w:p w14:paraId="621750A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全院维度DRG分析报告：核心指标汇总、病组分布、费用分析、效率分析等</w:t>
            </w:r>
          </w:p>
        </w:tc>
        <w:tc>
          <w:tcPr>
            <w:tcW w:w="1099" w:type="dxa"/>
            <w:vAlign w:val="center"/>
          </w:tcPr>
          <w:p w14:paraId="5D5CCA0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w:t>
            </w:r>
          </w:p>
        </w:tc>
      </w:tr>
      <w:tr w14:paraId="76CAB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09280B1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9A3193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46CCDC8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6F1F855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127</w:t>
            </w:r>
          </w:p>
        </w:tc>
        <w:tc>
          <w:tcPr>
            <w:tcW w:w="3205" w:type="dxa"/>
            <w:vAlign w:val="center"/>
          </w:tcPr>
          <w:p w14:paraId="228F8CC6">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科室维度DRG分析报告：优势/劣势科室、科室医生效率、转科情况、科室指标等</w:t>
            </w:r>
          </w:p>
        </w:tc>
        <w:tc>
          <w:tcPr>
            <w:tcW w:w="1099" w:type="dxa"/>
            <w:vAlign w:val="center"/>
          </w:tcPr>
          <w:p w14:paraId="5439CF3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70F084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519D7F4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35CD16A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4C94DF9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4D5568A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128</w:t>
            </w:r>
          </w:p>
        </w:tc>
        <w:tc>
          <w:tcPr>
            <w:tcW w:w="3205" w:type="dxa"/>
            <w:vAlign w:val="center"/>
          </w:tcPr>
          <w:p w14:paraId="51441C1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支持分析报告模板调整，支持月/季/年报告数据自动导出。</w:t>
            </w:r>
          </w:p>
        </w:tc>
        <w:tc>
          <w:tcPr>
            <w:tcW w:w="1099" w:type="dxa"/>
            <w:vAlign w:val="center"/>
          </w:tcPr>
          <w:p w14:paraId="45C1D03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611AF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restart"/>
            <w:vAlign w:val="center"/>
          </w:tcPr>
          <w:p w14:paraId="02E661A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DIP付费管理</w:t>
            </w:r>
          </w:p>
        </w:tc>
        <w:tc>
          <w:tcPr>
            <w:tcW w:w="880" w:type="dxa"/>
            <w:vMerge w:val="restart"/>
            <w:vAlign w:val="center"/>
          </w:tcPr>
          <w:p w14:paraId="7CAE9E8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DIP分组器</w:t>
            </w:r>
          </w:p>
        </w:tc>
        <w:tc>
          <w:tcPr>
            <w:tcW w:w="2384" w:type="dxa"/>
            <w:vMerge w:val="restart"/>
            <w:vAlign w:val="center"/>
          </w:tcPr>
          <w:p w14:paraId="567E8F2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分值规则管理，医保年度参数管理、医保支付规则维护与修改、市社保病组分值库维护、医保目录，医院系数等；</w:t>
            </w:r>
          </w:p>
        </w:tc>
        <w:tc>
          <w:tcPr>
            <w:tcW w:w="656" w:type="dxa"/>
            <w:vAlign w:val="center"/>
          </w:tcPr>
          <w:p w14:paraId="4745984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129</w:t>
            </w:r>
          </w:p>
        </w:tc>
        <w:tc>
          <w:tcPr>
            <w:tcW w:w="3205" w:type="dxa"/>
            <w:vAlign w:val="center"/>
          </w:tcPr>
          <w:p w14:paraId="1F9613D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支持病例DIP入组</w:t>
            </w:r>
          </w:p>
        </w:tc>
        <w:tc>
          <w:tcPr>
            <w:tcW w:w="1099" w:type="dxa"/>
            <w:vAlign w:val="center"/>
          </w:tcPr>
          <w:p w14:paraId="6BB1E05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5ED66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5D5E4F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CFDBB2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53DBC7C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0280EA1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130</w:t>
            </w:r>
          </w:p>
        </w:tc>
        <w:tc>
          <w:tcPr>
            <w:tcW w:w="3205" w:type="dxa"/>
            <w:vAlign w:val="center"/>
          </w:tcPr>
          <w:p w14:paraId="4FC4790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市医保付费分值库</w:t>
            </w:r>
          </w:p>
        </w:tc>
        <w:tc>
          <w:tcPr>
            <w:tcW w:w="1099" w:type="dxa"/>
            <w:vAlign w:val="center"/>
          </w:tcPr>
          <w:p w14:paraId="7BEA9F9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2235B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29363B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17F83E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242BF96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435F01B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131</w:t>
            </w:r>
          </w:p>
        </w:tc>
        <w:tc>
          <w:tcPr>
            <w:tcW w:w="3205" w:type="dxa"/>
            <w:vAlign w:val="center"/>
          </w:tcPr>
          <w:p w14:paraId="26FE604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医保年度参数管理</w:t>
            </w:r>
          </w:p>
        </w:tc>
        <w:tc>
          <w:tcPr>
            <w:tcW w:w="1099" w:type="dxa"/>
            <w:vAlign w:val="center"/>
          </w:tcPr>
          <w:p w14:paraId="2437904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305ED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5D20D81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1771B6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0A72069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7F6771A1">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132</w:t>
            </w:r>
          </w:p>
        </w:tc>
        <w:tc>
          <w:tcPr>
            <w:tcW w:w="3205" w:type="dxa"/>
            <w:vAlign w:val="center"/>
          </w:tcPr>
          <w:p w14:paraId="3735193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国家临床版ICD库维护</w:t>
            </w:r>
          </w:p>
        </w:tc>
        <w:tc>
          <w:tcPr>
            <w:tcW w:w="1099" w:type="dxa"/>
            <w:vAlign w:val="center"/>
          </w:tcPr>
          <w:p w14:paraId="506E74F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06371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0FFAE05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102EC43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349F026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52F8048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133</w:t>
            </w:r>
          </w:p>
        </w:tc>
        <w:tc>
          <w:tcPr>
            <w:tcW w:w="3205" w:type="dxa"/>
            <w:vAlign w:val="center"/>
          </w:tcPr>
          <w:p w14:paraId="76F4327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国家医保版ICD库维护</w:t>
            </w:r>
          </w:p>
        </w:tc>
        <w:tc>
          <w:tcPr>
            <w:tcW w:w="1099" w:type="dxa"/>
            <w:vAlign w:val="center"/>
          </w:tcPr>
          <w:p w14:paraId="12445AD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216E4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8C0CC2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250F6F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5CF4AC7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66B498E4">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134</w:t>
            </w:r>
          </w:p>
        </w:tc>
        <w:tc>
          <w:tcPr>
            <w:tcW w:w="3205" w:type="dxa"/>
            <w:vAlign w:val="center"/>
          </w:tcPr>
          <w:p w14:paraId="1738AB5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医保三大目录导入维护</w:t>
            </w:r>
          </w:p>
        </w:tc>
        <w:tc>
          <w:tcPr>
            <w:tcW w:w="1099" w:type="dxa"/>
            <w:vAlign w:val="center"/>
          </w:tcPr>
          <w:p w14:paraId="4863872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6654A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43BABC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restart"/>
            <w:vAlign w:val="center"/>
          </w:tcPr>
          <w:p w14:paraId="36A02F31">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医保工作台</w:t>
            </w:r>
          </w:p>
        </w:tc>
        <w:tc>
          <w:tcPr>
            <w:tcW w:w="2384" w:type="dxa"/>
            <w:vMerge w:val="restart"/>
            <w:vAlign w:val="center"/>
          </w:tcPr>
          <w:p w14:paraId="1552FE5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支持呈现医院医保关键数据展示、指标监控、付费结余、异常预警等。</w:t>
            </w:r>
          </w:p>
        </w:tc>
        <w:tc>
          <w:tcPr>
            <w:tcW w:w="656" w:type="dxa"/>
            <w:vAlign w:val="center"/>
          </w:tcPr>
          <w:p w14:paraId="02B0828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135</w:t>
            </w:r>
          </w:p>
        </w:tc>
        <w:tc>
          <w:tcPr>
            <w:tcW w:w="3205" w:type="dxa"/>
            <w:vAlign w:val="center"/>
          </w:tcPr>
          <w:p w14:paraId="15547D5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总医保结余/人均医保结余</w:t>
            </w:r>
          </w:p>
        </w:tc>
        <w:tc>
          <w:tcPr>
            <w:tcW w:w="1099" w:type="dxa"/>
            <w:vAlign w:val="center"/>
          </w:tcPr>
          <w:p w14:paraId="072EEB1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1E9A1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03EDBA0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4474BAD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574B04E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54A85CC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136</w:t>
            </w:r>
          </w:p>
        </w:tc>
        <w:tc>
          <w:tcPr>
            <w:tcW w:w="3205" w:type="dxa"/>
            <w:vAlign w:val="center"/>
          </w:tcPr>
          <w:p w14:paraId="2B831E6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总分值/人均分值</w:t>
            </w:r>
          </w:p>
        </w:tc>
        <w:tc>
          <w:tcPr>
            <w:tcW w:w="1099" w:type="dxa"/>
            <w:vAlign w:val="center"/>
          </w:tcPr>
          <w:p w14:paraId="013B2BD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0038F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C69447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4BA782C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5787773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284A883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137</w:t>
            </w:r>
          </w:p>
        </w:tc>
        <w:tc>
          <w:tcPr>
            <w:tcW w:w="3205" w:type="dxa"/>
            <w:vAlign w:val="center"/>
          </w:tcPr>
          <w:p w14:paraId="1FBAA29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医保总收入/医保费用/人均住院日</w:t>
            </w:r>
          </w:p>
        </w:tc>
        <w:tc>
          <w:tcPr>
            <w:tcW w:w="1099" w:type="dxa"/>
            <w:vAlign w:val="center"/>
          </w:tcPr>
          <w:p w14:paraId="1418171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b/>
                <w:bCs/>
                <w:i w:val="0"/>
                <w:iCs w:val="0"/>
                <w:color w:val="000000"/>
                <w:kern w:val="0"/>
                <w:sz w:val="21"/>
                <w:szCs w:val="21"/>
                <w:u w:val="none"/>
                <w:lang w:val="en-US" w:eastAsia="zh-CN" w:bidi="ar"/>
              </w:rPr>
              <w:t>▲</w:t>
            </w:r>
          </w:p>
        </w:tc>
      </w:tr>
      <w:tr w14:paraId="65FFF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722472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92A442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524F42C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076CE856">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138</w:t>
            </w:r>
          </w:p>
        </w:tc>
        <w:tc>
          <w:tcPr>
            <w:tcW w:w="3205" w:type="dxa"/>
            <w:vAlign w:val="center"/>
          </w:tcPr>
          <w:p w14:paraId="204F2EE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医保结算人次趋势</w:t>
            </w:r>
          </w:p>
        </w:tc>
        <w:tc>
          <w:tcPr>
            <w:tcW w:w="1099" w:type="dxa"/>
            <w:vAlign w:val="center"/>
          </w:tcPr>
          <w:p w14:paraId="7D3237D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3C1A1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26D78B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46C9955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354AB69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5592A1C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139</w:t>
            </w:r>
          </w:p>
        </w:tc>
        <w:tc>
          <w:tcPr>
            <w:tcW w:w="3205" w:type="dxa"/>
            <w:vAlign w:val="center"/>
          </w:tcPr>
          <w:p w14:paraId="0FE4F5B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盈利亏损病种趋势</w:t>
            </w:r>
          </w:p>
        </w:tc>
        <w:tc>
          <w:tcPr>
            <w:tcW w:w="1099" w:type="dxa"/>
            <w:vAlign w:val="center"/>
          </w:tcPr>
          <w:p w14:paraId="6458B88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34DC3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5D81392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780F69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10D0F81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187941F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140</w:t>
            </w:r>
          </w:p>
        </w:tc>
        <w:tc>
          <w:tcPr>
            <w:tcW w:w="3205" w:type="dxa"/>
            <w:vAlign w:val="center"/>
          </w:tcPr>
          <w:p w14:paraId="1D3C28C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盈利/亏损Top20</w:t>
            </w:r>
          </w:p>
        </w:tc>
        <w:tc>
          <w:tcPr>
            <w:tcW w:w="1099" w:type="dxa"/>
            <w:vAlign w:val="center"/>
          </w:tcPr>
          <w:p w14:paraId="68E640A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b/>
                <w:bCs/>
                <w:i w:val="0"/>
                <w:iCs w:val="0"/>
                <w:color w:val="000000"/>
                <w:kern w:val="0"/>
                <w:sz w:val="21"/>
                <w:szCs w:val="21"/>
                <w:u w:val="none"/>
                <w:lang w:val="en-US" w:eastAsia="zh-CN" w:bidi="ar"/>
              </w:rPr>
              <w:t>▲</w:t>
            </w:r>
          </w:p>
        </w:tc>
      </w:tr>
      <w:tr w14:paraId="6E839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5BFB4A7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4AE0523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48F3156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4C2B8AB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141</w:t>
            </w:r>
          </w:p>
        </w:tc>
        <w:tc>
          <w:tcPr>
            <w:tcW w:w="3205" w:type="dxa"/>
            <w:vAlign w:val="center"/>
          </w:tcPr>
          <w:p w14:paraId="6DBF8C16">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智能预警-医保目录</w:t>
            </w:r>
          </w:p>
        </w:tc>
        <w:tc>
          <w:tcPr>
            <w:tcW w:w="1099" w:type="dxa"/>
            <w:vAlign w:val="center"/>
          </w:tcPr>
          <w:p w14:paraId="2EFE72F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3D28B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0B3FCB1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1F585F9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14C055A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3E0110E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142</w:t>
            </w:r>
          </w:p>
        </w:tc>
        <w:tc>
          <w:tcPr>
            <w:tcW w:w="3205" w:type="dxa"/>
            <w:vAlign w:val="center"/>
          </w:tcPr>
          <w:p w14:paraId="6D15BF1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智能预警-收费监控</w:t>
            </w:r>
          </w:p>
        </w:tc>
        <w:tc>
          <w:tcPr>
            <w:tcW w:w="1099" w:type="dxa"/>
            <w:vAlign w:val="center"/>
          </w:tcPr>
          <w:p w14:paraId="7EF7D11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6606E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B3302B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34C49B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19E4592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7CB0C47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143</w:t>
            </w:r>
          </w:p>
        </w:tc>
        <w:tc>
          <w:tcPr>
            <w:tcW w:w="3205" w:type="dxa"/>
            <w:vAlign w:val="center"/>
          </w:tcPr>
          <w:p w14:paraId="19340CD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智能预警-医保指标</w:t>
            </w:r>
          </w:p>
        </w:tc>
        <w:tc>
          <w:tcPr>
            <w:tcW w:w="1099" w:type="dxa"/>
            <w:vAlign w:val="center"/>
          </w:tcPr>
          <w:p w14:paraId="23A2031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1DB91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190BFD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restart"/>
            <w:vAlign w:val="center"/>
          </w:tcPr>
          <w:p w14:paraId="472E176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宣教阅读</w:t>
            </w:r>
          </w:p>
        </w:tc>
        <w:tc>
          <w:tcPr>
            <w:tcW w:w="2384" w:type="dxa"/>
            <w:vMerge w:val="restart"/>
            <w:vAlign w:val="center"/>
          </w:tcPr>
          <w:p w14:paraId="53DB11E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发布医保管理公告给各部门、各科室、各医生医保管理建议消息的推送；建立医保信息资讯互动；各类关于医保文件学习资料下载；支持上传政策文件，可按科室/医生设置阅读权限，可汇总阅读记录；</w:t>
            </w:r>
          </w:p>
        </w:tc>
        <w:tc>
          <w:tcPr>
            <w:tcW w:w="656" w:type="dxa"/>
            <w:vAlign w:val="center"/>
          </w:tcPr>
          <w:p w14:paraId="13AC59F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144</w:t>
            </w:r>
          </w:p>
        </w:tc>
        <w:tc>
          <w:tcPr>
            <w:tcW w:w="3205" w:type="dxa"/>
            <w:vAlign w:val="center"/>
          </w:tcPr>
          <w:p w14:paraId="19AFBF34">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图文上传管理</w:t>
            </w:r>
          </w:p>
        </w:tc>
        <w:tc>
          <w:tcPr>
            <w:tcW w:w="1099" w:type="dxa"/>
            <w:vAlign w:val="center"/>
          </w:tcPr>
          <w:p w14:paraId="0030891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12194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08EFF50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6E4065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367D39C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78D1118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145</w:t>
            </w:r>
          </w:p>
        </w:tc>
        <w:tc>
          <w:tcPr>
            <w:tcW w:w="3205" w:type="dxa"/>
            <w:vAlign w:val="center"/>
          </w:tcPr>
          <w:p w14:paraId="7718055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阅读权限设置</w:t>
            </w:r>
          </w:p>
        </w:tc>
        <w:tc>
          <w:tcPr>
            <w:tcW w:w="1099" w:type="dxa"/>
            <w:vAlign w:val="center"/>
          </w:tcPr>
          <w:p w14:paraId="5B61DA0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705E0A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3DDFD3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704B679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2583F99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322B053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146</w:t>
            </w:r>
          </w:p>
        </w:tc>
        <w:tc>
          <w:tcPr>
            <w:tcW w:w="3205" w:type="dxa"/>
            <w:vAlign w:val="center"/>
          </w:tcPr>
          <w:p w14:paraId="0097015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阅读记录查看</w:t>
            </w:r>
          </w:p>
        </w:tc>
        <w:tc>
          <w:tcPr>
            <w:tcW w:w="1099" w:type="dxa"/>
            <w:vAlign w:val="center"/>
          </w:tcPr>
          <w:p w14:paraId="7530694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2D738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77B301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restart"/>
            <w:vAlign w:val="center"/>
          </w:tcPr>
          <w:p w14:paraId="6EB9EC0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在院患者</w:t>
            </w:r>
          </w:p>
        </w:tc>
        <w:tc>
          <w:tcPr>
            <w:tcW w:w="2384" w:type="dxa"/>
            <w:vMerge w:val="restart"/>
            <w:vAlign w:val="center"/>
          </w:tcPr>
          <w:p w14:paraId="56499E6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临床科室/医生在院医保患者病组匹配、结余进度条；按科室、按医生、按病组付费用使用情况；</w:t>
            </w:r>
          </w:p>
        </w:tc>
        <w:tc>
          <w:tcPr>
            <w:tcW w:w="656" w:type="dxa"/>
            <w:vAlign w:val="center"/>
          </w:tcPr>
          <w:p w14:paraId="19ABBE5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147</w:t>
            </w:r>
          </w:p>
        </w:tc>
        <w:tc>
          <w:tcPr>
            <w:tcW w:w="3205" w:type="dxa"/>
            <w:vAlign w:val="center"/>
          </w:tcPr>
          <w:p w14:paraId="4C41F5B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工作站嵌入功能（HIS/EMR)</w:t>
            </w:r>
          </w:p>
        </w:tc>
        <w:tc>
          <w:tcPr>
            <w:tcW w:w="1099" w:type="dxa"/>
            <w:vAlign w:val="center"/>
          </w:tcPr>
          <w:p w14:paraId="6D75E85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b/>
                <w:bCs/>
                <w:i w:val="0"/>
                <w:iCs w:val="0"/>
                <w:color w:val="000000"/>
                <w:kern w:val="0"/>
                <w:sz w:val="21"/>
                <w:szCs w:val="21"/>
                <w:u w:val="none"/>
                <w:lang w:val="en-US" w:eastAsia="zh-CN" w:bidi="ar"/>
              </w:rPr>
              <w:t>▲</w:t>
            </w:r>
          </w:p>
        </w:tc>
      </w:tr>
      <w:tr w14:paraId="7DBD3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63A38FB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0F1815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64AB627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37D7FC9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148</w:t>
            </w:r>
          </w:p>
        </w:tc>
        <w:tc>
          <w:tcPr>
            <w:tcW w:w="3205" w:type="dxa"/>
            <w:vAlign w:val="center"/>
          </w:tcPr>
          <w:p w14:paraId="650F149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DIP组合查询</w:t>
            </w:r>
          </w:p>
        </w:tc>
        <w:tc>
          <w:tcPr>
            <w:tcW w:w="1099" w:type="dxa"/>
            <w:vAlign w:val="center"/>
          </w:tcPr>
          <w:p w14:paraId="182CC7A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08747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D5AC0E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0991800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1A7CE64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6C4F63D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149</w:t>
            </w:r>
          </w:p>
        </w:tc>
        <w:tc>
          <w:tcPr>
            <w:tcW w:w="3205" w:type="dxa"/>
            <w:vAlign w:val="center"/>
          </w:tcPr>
          <w:p w14:paraId="6E04CAD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患者医保费用测算</w:t>
            </w:r>
          </w:p>
        </w:tc>
        <w:tc>
          <w:tcPr>
            <w:tcW w:w="1099" w:type="dxa"/>
            <w:vAlign w:val="center"/>
          </w:tcPr>
          <w:p w14:paraId="43D23DA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2BD44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9AA9D8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3514F81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64D1850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18C31041">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150</w:t>
            </w:r>
          </w:p>
        </w:tc>
        <w:tc>
          <w:tcPr>
            <w:tcW w:w="3205" w:type="dxa"/>
            <w:vAlign w:val="center"/>
          </w:tcPr>
          <w:p w14:paraId="36C71B2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患者DIP入组测算</w:t>
            </w:r>
          </w:p>
        </w:tc>
        <w:tc>
          <w:tcPr>
            <w:tcW w:w="1099" w:type="dxa"/>
            <w:vAlign w:val="center"/>
          </w:tcPr>
          <w:p w14:paraId="524D7034">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b/>
                <w:bCs/>
                <w:i w:val="0"/>
                <w:iCs w:val="0"/>
                <w:color w:val="000000"/>
                <w:kern w:val="0"/>
                <w:sz w:val="21"/>
                <w:szCs w:val="21"/>
                <w:u w:val="none"/>
                <w:lang w:val="en-US" w:eastAsia="zh-CN" w:bidi="ar"/>
              </w:rPr>
              <w:t>▲</w:t>
            </w:r>
          </w:p>
        </w:tc>
      </w:tr>
      <w:tr w14:paraId="1D4913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3C05A05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05E2758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2BD560B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1CE62E5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151</w:t>
            </w:r>
          </w:p>
        </w:tc>
        <w:tc>
          <w:tcPr>
            <w:tcW w:w="3205" w:type="dxa"/>
            <w:vAlign w:val="center"/>
          </w:tcPr>
          <w:p w14:paraId="4A9D832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医保结余进度条，展示基准率区间对比</w:t>
            </w:r>
          </w:p>
        </w:tc>
        <w:tc>
          <w:tcPr>
            <w:tcW w:w="1099" w:type="dxa"/>
            <w:vAlign w:val="center"/>
          </w:tcPr>
          <w:p w14:paraId="5F13A0E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b/>
                <w:bCs/>
                <w:i w:val="0"/>
                <w:iCs w:val="0"/>
                <w:color w:val="000000"/>
                <w:kern w:val="0"/>
                <w:sz w:val="21"/>
                <w:szCs w:val="21"/>
                <w:u w:val="none"/>
                <w:lang w:val="en-US" w:eastAsia="zh-CN" w:bidi="ar"/>
              </w:rPr>
              <w:t>▲</w:t>
            </w:r>
          </w:p>
        </w:tc>
      </w:tr>
      <w:tr w14:paraId="6459A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13F1BD8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47AAB5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6188D0B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09EDEA8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152</w:t>
            </w:r>
          </w:p>
        </w:tc>
        <w:tc>
          <w:tcPr>
            <w:tcW w:w="3205" w:type="dxa"/>
            <w:vAlign w:val="center"/>
          </w:tcPr>
          <w:p w14:paraId="01087F7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病组类型提醒：如核心组、综合组、基础组</w:t>
            </w:r>
          </w:p>
        </w:tc>
        <w:tc>
          <w:tcPr>
            <w:tcW w:w="1099" w:type="dxa"/>
            <w:vAlign w:val="center"/>
          </w:tcPr>
          <w:p w14:paraId="3F04D2B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09A35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5408828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71BECFA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637A5C1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25AB1D6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153</w:t>
            </w:r>
          </w:p>
        </w:tc>
        <w:tc>
          <w:tcPr>
            <w:tcW w:w="3205" w:type="dxa"/>
            <w:vAlign w:val="center"/>
          </w:tcPr>
          <w:p w14:paraId="566EA0C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支持保存多个入组方案</w:t>
            </w:r>
          </w:p>
        </w:tc>
        <w:tc>
          <w:tcPr>
            <w:tcW w:w="1099" w:type="dxa"/>
            <w:vAlign w:val="center"/>
          </w:tcPr>
          <w:p w14:paraId="7667F46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5FE8B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0F5CA73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FAC2AC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6E765F6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563982D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154</w:t>
            </w:r>
          </w:p>
        </w:tc>
        <w:tc>
          <w:tcPr>
            <w:tcW w:w="3205" w:type="dxa"/>
            <w:vAlign w:val="center"/>
          </w:tcPr>
          <w:p w14:paraId="2AC9B61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患者费用结构占比</w:t>
            </w:r>
          </w:p>
        </w:tc>
        <w:tc>
          <w:tcPr>
            <w:tcW w:w="1099" w:type="dxa"/>
            <w:vAlign w:val="center"/>
          </w:tcPr>
          <w:p w14:paraId="5EF8A96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4B89F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5482692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216215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45194D5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6966A0C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155</w:t>
            </w:r>
          </w:p>
        </w:tc>
        <w:tc>
          <w:tcPr>
            <w:tcW w:w="3205" w:type="dxa"/>
            <w:vAlign w:val="center"/>
          </w:tcPr>
          <w:p w14:paraId="08560AF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患者住院费用分科展示，支持下探明细</w:t>
            </w:r>
          </w:p>
        </w:tc>
        <w:tc>
          <w:tcPr>
            <w:tcW w:w="1099" w:type="dxa"/>
            <w:vAlign w:val="center"/>
          </w:tcPr>
          <w:p w14:paraId="74790C9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b/>
                <w:bCs/>
                <w:i w:val="0"/>
                <w:iCs w:val="0"/>
                <w:color w:val="000000"/>
                <w:kern w:val="0"/>
                <w:sz w:val="21"/>
                <w:szCs w:val="21"/>
                <w:u w:val="none"/>
                <w:lang w:val="en-US" w:eastAsia="zh-CN" w:bidi="ar"/>
              </w:rPr>
              <w:t>▲</w:t>
            </w:r>
          </w:p>
        </w:tc>
      </w:tr>
      <w:tr w14:paraId="42B91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0EB4EA0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restart"/>
            <w:vAlign w:val="center"/>
          </w:tcPr>
          <w:p w14:paraId="2E67EE3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医保运营</w:t>
            </w:r>
          </w:p>
        </w:tc>
        <w:tc>
          <w:tcPr>
            <w:tcW w:w="2384" w:type="dxa"/>
            <w:vMerge w:val="restart"/>
            <w:vAlign w:val="center"/>
          </w:tcPr>
          <w:p w14:paraId="329D7FC1">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本院所有已结算病人费用按科室/医生及月度/季度/年度或自定义期间医保结余情况、人均得分、执行基金的统计、医保人均费用、定额费用、自费率、超定额费用、耗材比、药占比、自费率、平均住院日等等；全院、科室医保指标情况，转科患者费用分科等。</w:t>
            </w:r>
          </w:p>
        </w:tc>
        <w:tc>
          <w:tcPr>
            <w:tcW w:w="656" w:type="dxa"/>
            <w:vAlign w:val="center"/>
          </w:tcPr>
          <w:p w14:paraId="78F9E01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156</w:t>
            </w:r>
          </w:p>
        </w:tc>
        <w:tc>
          <w:tcPr>
            <w:tcW w:w="3205" w:type="dxa"/>
            <w:vAlign w:val="center"/>
          </w:tcPr>
          <w:p w14:paraId="27B39DE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出院患者盈亏一览表</w:t>
            </w:r>
          </w:p>
        </w:tc>
        <w:tc>
          <w:tcPr>
            <w:tcW w:w="1099" w:type="dxa"/>
            <w:vAlign w:val="center"/>
          </w:tcPr>
          <w:p w14:paraId="78B09A1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62BD5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2C86E0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53AF65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4EACEF1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5DEC6D4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157</w:t>
            </w:r>
          </w:p>
        </w:tc>
        <w:tc>
          <w:tcPr>
            <w:tcW w:w="3205" w:type="dxa"/>
            <w:vAlign w:val="center"/>
          </w:tcPr>
          <w:p w14:paraId="73F8CDA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医保总览统计</w:t>
            </w:r>
          </w:p>
        </w:tc>
        <w:tc>
          <w:tcPr>
            <w:tcW w:w="1099" w:type="dxa"/>
            <w:vAlign w:val="center"/>
          </w:tcPr>
          <w:p w14:paraId="60648A6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3D0BBC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61A3E4E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4F944A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0D1E80C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6B829DF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158</w:t>
            </w:r>
          </w:p>
        </w:tc>
        <w:tc>
          <w:tcPr>
            <w:tcW w:w="3205" w:type="dxa"/>
            <w:vAlign w:val="center"/>
          </w:tcPr>
          <w:p w14:paraId="033E753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医保患者明细表</w:t>
            </w:r>
          </w:p>
        </w:tc>
        <w:tc>
          <w:tcPr>
            <w:tcW w:w="1099" w:type="dxa"/>
            <w:vAlign w:val="center"/>
          </w:tcPr>
          <w:p w14:paraId="37739E9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b/>
                <w:bCs/>
                <w:i w:val="0"/>
                <w:iCs w:val="0"/>
                <w:color w:val="000000"/>
                <w:kern w:val="0"/>
                <w:sz w:val="21"/>
                <w:szCs w:val="21"/>
                <w:u w:val="none"/>
                <w:lang w:val="en-US" w:eastAsia="zh-CN" w:bidi="ar"/>
              </w:rPr>
              <w:t>▲</w:t>
            </w:r>
          </w:p>
        </w:tc>
      </w:tr>
      <w:tr w14:paraId="43E48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B4C3D0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37DEC40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3F4220D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702D650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159</w:t>
            </w:r>
          </w:p>
        </w:tc>
        <w:tc>
          <w:tcPr>
            <w:tcW w:w="3205" w:type="dxa"/>
            <w:vAlign w:val="center"/>
          </w:tcPr>
          <w:p w14:paraId="05739BC6">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科室/医生盈亏统计表</w:t>
            </w:r>
          </w:p>
        </w:tc>
        <w:tc>
          <w:tcPr>
            <w:tcW w:w="1099" w:type="dxa"/>
            <w:vAlign w:val="center"/>
          </w:tcPr>
          <w:p w14:paraId="3B29EA3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3902E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3D1A2A4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EDCAA9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0D43AA1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0B7FBC2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160</w:t>
            </w:r>
          </w:p>
        </w:tc>
        <w:tc>
          <w:tcPr>
            <w:tcW w:w="3205" w:type="dxa"/>
            <w:vAlign w:val="center"/>
          </w:tcPr>
          <w:p w14:paraId="3D0C73A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科室/医生费用情况统计表</w:t>
            </w:r>
          </w:p>
        </w:tc>
        <w:tc>
          <w:tcPr>
            <w:tcW w:w="1099" w:type="dxa"/>
            <w:vAlign w:val="center"/>
          </w:tcPr>
          <w:p w14:paraId="2CC08D8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6758A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3AC48D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C7693C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501000B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77FE782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161</w:t>
            </w:r>
          </w:p>
        </w:tc>
        <w:tc>
          <w:tcPr>
            <w:tcW w:w="3205" w:type="dxa"/>
            <w:vAlign w:val="center"/>
          </w:tcPr>
          <w:p w14:paraId="18A2EA1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科室/医生费用占比统计表</w:t>
            </w:r>
          </w:p>
        </w:tc>
        <w:tc>
          <w:tcPr>
            <w:tcW w:w="1099" w:type="dxa"/>
            <w:vAlign w:val="center"/>
          </w:tcPr>
          <w:p w14:paraId="751DD5D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3D33B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60F4BC4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C973F6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413EFCA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1D4E6EF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162</w:t>
            </w:r>
          </w:p>
        </w:tc>
        <w:tc>
          <w:tcPr>
            <w:tcW w:w="3205" w:type="dxa"/>
            <w:vAlign w:val="center"/>
          </w:tcPr>
          <w:p w14:paraId="6CB56A8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科室/医生转科统计表</w:t>
            </w:r>
          </w:p>
        </w:tc>
        <w:tc>
          <w:tcPr>
            <w:tcW w:w="1099" w:type="dxa"/>
            <w:vAlign w:val="center"/>
          </w:tcPr>
          <w:p w14:paraId="05C1AA6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1CBE2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C5DCAE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B63317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2E26608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61A47D3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163</w:t>
            </w:r>
          </w:p>
        </w:tc>
        <w:tc>
          <w:tcPr>
            <w:tcW w:w="3205" w:type="dxa"/>
            <w:vAlign w:val="center"/>
          </w:tcPr>
          <w:p w14:paraId="7515CB4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科室/医生医保结算表</w:t>
            </w:r>
          </w:p>
        </w:tc>
        <w:tc>
          <w:tcPr>
            <w:tcW w:w="1099" w:type="dxa"/>
            <w:vAlign w:val="center"/>
          </w:tcPr>
          <w:p w14:paraId="012C257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2D2EE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418906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173134E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0B03959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266A2C6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164</w:t>
            </w:r>
          </w:p>
        </w:tc>
        <w:tc>
          <w:tcPr>
            <w:tcW w:w="3205" w:type="dxa"/>
            <w:vAlign w:val="center"/>
          </w:tcPr>
          <w:p w14:paraId="1700A17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科室/医生同比分析统计表</w:t>
            </w:r>
          </w:p>
        </w:tc>
        <w:tc>
          <w:tcPr>
            <w:tcW w:w="1099" w:type="dxa"/>
            <w:vAlign w:val="center"/>
          </w:tcPr>
          <w:p w14:paraId="0A902B3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6D674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61058C6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77A4B33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5DACB66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3DE962E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165</w:t>
            </w:r>
          </w:p>
        </w:tc>
        <w:tc>
          <w:tcPr>
            <w:tcW w:w="3205" w:type="dxa"/>
            <w:vAlign w:val="center"/>
          </w:tcPr>
          <w:p w14:paraId="4ADB0351">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科室/医生DIP入组统计表</w:t>
            </w:r>
          </w:p>
        </w:tc>
        <w:tc>
          <w:tcPr>
            <w:tcW w:w="1099" w:type="dxa"/>
            <w:vAlign w:val="center"/>
          </w:tcPr>
          <w:p w14:paraId="2E56068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40718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7E639F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3C8E589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206C16D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6F21286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166</w:t>
            </w:r>
          </w:p>
        </w:tc>
        <w:tc>
          <w:tcPr>
            <w:tcW w:w="3205" w:type="dxa"/>
            <w:vAlign w:val="center"/>
          </w:tcPr>
          <w:p w14:paraId="23BE6E14">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科室指标管理设置</w:t>
            </w:r>
          </w:p>
        </w:tc>
        <w:tc>
          <w:tcPr>
            <w:tcW w:w="1099" w:type="dxa"/>
            <w:vAlign w:val="center"/>
          </w:tcPr>
          <w:p w14:paraId="024CA5B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44FF4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3E98E5E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restart"/>
            <w:vAlign w:val="center"/>
          </w:tcPr>
          <w:p w14:paraId="1CAD3B9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病组精细化</w:t>
            </w:r>
          </w:p>
        </w:tc>
        <w:tc>
          <w:tcPr>
            <w:tcW w:w="2384" w:type="dxa"/>
            <w:vMerge w:val="restart"/>
            <w:vAlign w:val="center"/>
          </w:tcPr>
          <w:p w14:paraId="1AE2665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在分值付费制下对全院病组结构进行统计，支持病组盈亏统计、基准统计、入组统计、费用结构统计、同环比统计、手术组合统计等。</w:t>
            </w:r>
          </w:p>
        </w:tc>
        <w:tc>
          <w:tcPr>
            <w:tcW w:w="656" w:type="dxa"/>
            <w:vAlign w:val="center"/>
          </w:tcPr>
          <w:p w14:paraId="2D3E967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167</w:t>
            </w:r>
          </w:p>
        </w:tc>
        <w:tc>
          <w:tcPr>
            <w:tcW w:w="3205" w:type="dxa"/>
            <w:vAlign w:val="center"/>
          </w:tcPr>
          <w:p w14:paraId="0EA7F43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DIP病组-总览表</w:t>
            </w:r>
          </w:p>
        </w:tc>
        <w:tc>
          <w:tcPr>
            <w:tcW w:w="1099" w:type="dxa"/>
            <w:vAlign w:val="center"/>
          </w:tcPr>
          <w:p w14:paraId="2551201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w:t>
            </w:r>
          </w:p>
        </w:tc>
      </w:tr>
      <w:tr w14:paraId="3BEEE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A3A948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3ADC69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1D0CE2E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368BD011">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168</w:t>
            </w:r>
          </w:p>
        </w:tc>
        <w:tc>
          <w:tcPr>
            <w:tcW w:w="3205" w:type="dxa"/>
            <w:vAlign w:val="center"/>
          </w:tcPr>
          <w:p w14:paraId="740A0E31">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DIP病组-费用结构统计表</w:t>
            </w:r>
          </w:p>
        </w:tc>
        <w:tc>
          <w:tcPr>
            <w:tcW w:w="1099" w:type="dxa"/>
            <w:vAlign w:val="center"/>
          </w:tcPr>
          <w:p w14:paraId="6E439DF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09645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6738B49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76BB9B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5BC658E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3BFF1EB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169</w:t>
            </w:r>
          </w:p>
        </w:tc>
        <w:tc>
          <w:tcPr>
            <w:tcW w:w="3205" w:type="dxa"/>
            <w:vAlign w:val="center"/>
          </w:tcPr>
          <w:p w14:paraId="24A0B534">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DIP病组-费用占比统计表</w:t>
            </w:r>
          </w:p>
        </w:tc>
        <w:tc>
          <w:tcPr>
            <w:tcW w:w="1099" w:type="dxa"/>
            <w:vAlign w:val="center"/>
          </w:tcPr>
          <w:p w14:paraId="4DB91FC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53DB0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27BE2D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4312726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53051F9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200DAA7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170</w:t>
            </w:r>
          </w:p>
        </w:tc>
        <w:tc>
          <w:tcPr>
            <w:tcW w:w="3205" w:type="dxa"/>
            <w:vAlign w:val="center"/>
          </w:tcPr>
          <w:p w14:paraId="3A9F0E21">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DIP病组-科室统计表</w:t>
            </w:r>
          </w:p>
        </w:tc>
        <w:tc>
          <w:tcPr>
            <w:tcW w:w="1099" w:type="dxa"/>
            <w:vAlign w:val="center"/>
          </w:tcPr>
          <w:p w14:paraId="45F1B7B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38A7B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5D87943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09CDED8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7B72E4A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27E30EB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171</w:t>
            </w:r>
          </w:p>
        </w:tc>
        <w:tc>
          <w:tcPr>
            <w:tcW w:w="3205" w:type="dxa"/>
            <w:vAlign w:val="center"/>
          </w:tcPr>
          <w:p w14:paraId="2E37049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DIP病组-医生统计表</w:t>
            </w:r>
          </w:p>
        </w:tc>
        <w:tc>
          <w:tcPr>
            <w:tcW w:w="1099" w:type="dxa"/>
            <w:vAlign w:val="center"/>
          </w:tcPr>
          <w:p w14:paraId="16BE6BB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1BBCF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0A4AD4E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183A535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1DEC5B0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4026E8D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172</w:t>
            </w:r>
          </w:p>
        </w:tc>
        <w:tc>
          <w:tcPr>
            <w:tcW w:w="3205" w:type="dxa"/>
            <w:vAlign w:val="center"/>
          </w:tcPr>
          <w:p w14:paraId="16844DD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DIP病组-手术统计表</w:t>
            </w:r>
          </w:p>
        </w:tc>
        <w:tc>
          <w:tcPr>
            <w:tcW w:w="1099" w:type="dxa"/>
            <w:vAlign w:val="center"/>
          </w:tcPr>
          <w:p w14:paraId="14F076A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5AE5A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1EA44B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A0A42C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25A883F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78DD7B24">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173</w:t>
            </w:r>
          </w:p>
        </w:tc>
        <w:tc>
          <w:tcPr>
            <w:tcW w:w="3205" w:type="dxa"/>
            <w:vAlign w:val="center"/>
          </w:tcPr>
          <w:p w14:paraId="399BA08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病种同比分析统计表</w:t>
            </w:r>
          </w:p>
        </w:tc>
        <w:tc>
          <w:tcPr>
            <w:tcW w:w="1099" w:type="dxa"/>
            <w:vAlign w:val="center"/>
          </w:tcPr>
          <w:p w14:paraId="3832015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1A23E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757352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C60C0F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278BFE1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0C20811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174</w:t>
            </w:r>
          </w:p>
        </w:tc>
        <w:tc>
          <w:tcPr>
            <w:tcW w:w="3205" w:type="dxa"/>
            <w:vAlign w:val="center"/>
          </w:tcPr>
          <w:p w14:paraId="680B1BF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DIP入组统计表</w:t>
            </w:r>
          </w:p>
        </w:tc>
        <w:tc>
          <w:tcPr>
            <w:tcW w:w="1099" w:type="dxa"/>
            <w:vAlign w:val="center"/>
          </w:tcPr>
          <w:p w14:paraId="34A60FD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519B95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55955D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restart"/>
            <w:vAlign w:val="center"/>
          </w:tcPr>
          <w:p w14:paraId="77F69A3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医保分析</w:t>
            </w:r>
          </w:p>
        </w:tc>
        <w:tc>
          <w:tcPr>
            <w:tcW w:w="2384" w:type="dxa"/>
            <w:vMerge w:val="restart"/>
            <w:vAlign w:val="center"/>
          </w:tcPr>
          <w:p w14:paraId="1E9CE4D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基于全院医保结算及医保诊疗资源消耗分析；支持汇总对比全院总收入、医保收入、统筹差额、人均分值、分值结余等；医保费用、自费费用、人均住院费用趋势；按分值、按项目、按床日等结算方式占比分析；医保费用与分值费用差额对比、人均基准率趋势；各患者性质就医人次、费用占比；医保日均与全院日均收入差额、有效收入与医保有效收入趋势；本期病床使用率及同期病床使用率趋势对比；</w:t>
            </w:r>
          </w:p>
        </w:tc>
        <w:tc>
          <w:tcPr>
            <w:tcW w:w="656" w:type="dxa"/>
            <w:vAlign w:val="center"/>
          </w:tcPr>
          <w:p w14:paraId="443320D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175</w:t>
            </w:r>
          </w:p>
        </w:tc>
        <w:tc>
          <w:tcPr>
            <w:tcW w:w="3205" w:type="dxa"/>
            <w:vAlign w:val="center"/>
          </w:tcPr>
          <w:p w14:paraId="256A8E5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医保总览统计</w:t>
            </w:r>
          </w:p>
        </w:tc>
        <w:tc>
          <w:tcPr>
            <w:tcW w:w="1099" w:type="dxa"/>
            <w:vAlign w:val="center"/>
          </w:tcPr>
          <w:p w14:paraId="700AD7F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b/>
                <w:bCs/>
                <w:i w:val="0"/>
                <w:iCs w:val="0"/>
                <w:color w:val="000000"/>
                <w:kern w:val="0"/>
                <w:sz w:val="21"/>
                <w:szCs w:val="21"/>
                <w:u w:val="none"/>
                <w:lang w:val="en-US" w:eastAsia="zh-CN" w:bidi="ar"/>
              </w:rPr>
              <w:t>▲</w:t>
            </w:r>
          </w:p>
        </w:tc>
      </w:tr>
      <w:tr w14:paraId="1F12F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3FB0EB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351DC30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022D619E">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0B9C4E5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176</w:t>
            </w:r>
          </w:p>
        </w:tc>
        <w:tc>
          <w:tcPr>
            <w:tcW w:w="3205" w:type="dxa"/>
            <w:vAlign w:val="center"/>
          </w:tcPr>
          <w:p w14:paraId="20913A0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住院医保费用占比趋势</w:t>
            </w:r>
          </w:p>
        </w:tc>
        <w:tc>
          <w:tcPr>
            <w:tcW w:w="1099" w:type="dxa"/>
            <w:vAlign w:val="center"/>
          </w:tcPr>
          <w:p w14:paraId="4FBF168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5E44A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6CB935A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1406F2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21BB5216">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30548F1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177</w:t>
            </w:r>
          </w:p>
        </w:tc>
        <w:tc>
          <w:tcPr>
            <w:tcW w:w="3205" w:type="dxa"/>
            <w:vAlign w:val="center"/>
          </w:tcPr>
          <w:p w14:paraId="4AC84B9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医保统筹结算方式</w:t>
            </w:r>
          </w:p>
        </w:tc>
        <w:tc>
          <w:tcPr>
            <w:tcW w:w="1099" w:type="dxa"/>
            <w:vAlign w:val="center"/>
          </w:tcPr>
          <w:p w14:paraId="577404C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2EA2A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6BD28B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14C768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4034C6C5">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43716E4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178</w:t>
            </w:r>
          </w:p>
        </w:tc>
        <w:tc>
          <w:tcPr>
            <w:tcW w:w="3205" w:type="dxa"/>
            <w:vAlign w:val="center"/>
          </w:tcPr>
          <w:p w14:paraId="442CA9F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分值结余趋势</w:t>
            </w:r>
          </w:p>
        </w:tc>
        <w:tc>
          <w:tcPr>
            <w:tcW w:w="1099" w:type="dxa"/>
            <w:vAlign w:val="center"/>
          </w:tcPr>
          <w:p w14:paraId="4A8A2AB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6FAEC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C12411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1C2EB7C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0150F984">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7D290CC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179</w:t>
            </w:r>
          </w:p>
        </w:tc>
        <w:tc>
          <w:tcPr>
            <w:tcW w:w="3205" w:type="dxa"/>
            <w:vAlign w:val="center"/>
          </w:tcPr>
          <w:p w14:paraId="7814FDE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医保患者性质</w:t>
            </w:r>
          </w:p>
        </w:tc>
        <w:tc>
          <w:tcPr>
            <w:tcW w:w="1099" w:type="dxa"/>
            <w:vAlign w:val="center"/>
          </w:tcPr>
          <w:p w14:paraId="2590C54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36C79A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3EA6510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DF870D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7DAF7B83">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77DC605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180</w:t>
            </w:r>
          </w:p>
        </w:tc>
        <w:tc>
          <w:tcPr>
            <w:tcW w:w="3205" w:type="dxa"/>
            <w:vAlign w:val="center"/>
          </w:tcPr>
          <w:p w14:paraId="61AC352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医保日均收入趋势</w:t>
            </w:r>
          </w:p>
        </w:tc>
        <w:tc>
          <w:tcPr>
            <w:tcW w:w="1099" w:type="dxa"/>
            <w:vAlign w:val="center"/>
          </w:tcPr>
          <w:p w14:paraId="262DAB2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5F029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6F78BB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3ED508D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30602F10">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3AFCEB9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181</w:t>
            </w:r>
          </w:p>
        </w:tc>
        <w:tc>
          <w:tcPr>
            <w:tcW w:w="3205" w:type="dxa"/>
            <w:vAlign w:val="center"/>
          </w:tcPr>
          <w:p w14:paraId="04035FE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医保病床效率</w:t>
            </w:r>
          </w:p>
        </w:tc>
        <w:tc>
          <w:tcPr>
            <w:tcW w:w="1099" w:type="dxa"/>
            <w:vAlign w:val="center"/>
          </w:tcPr>
          <w:p w14:paraId="626E68E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35CDAD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59C16EA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079813D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48F8851B">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4A842E0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182</w:t>
            </w:r>
          </w:p>
        </w:tc>
        <w:tc>
          <w:tcPr>
            <w:tcW w:w="3205" w:type="dxa"/>
            <w:vAlign w:val="center"/>
          </w:tcPr>
          <w:p w14:paraId="6FC4F3B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住院日趋势</w:t>
            </w:r>
          </w:p>
        </w:tc>
        <w:tc>
          <w:tcPr>
            <w:tcW w:w="1099" w:type="dxa"/>
            <w:vAlign w:val="center"/>
          </w:tcPr>
          <w:p w14:paraId="5914556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42B06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66E99C6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94BF0F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43CAB12E">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1BDD5D9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183</w:t>
            </w:r>
          </w:p>
        </w:tc>
        <w:tc>
          <w:tcPr>
            <w:tcW w:w="3205" w:type="dxa"/>
            <w:vAlign w:val="center"/>
          </w:tcPr>
          <w:p w14:paraId="4A012444">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Top50医保病种手术统计</w:t>
            </w:r>
          </w:p>
        </w:tc>
        <w:tc>
          <w:tcPr>
            <w:tcW w:w="1099" w:type="dxa"/>
            <w:vAlign w:val="center"/>
          </w:tcPr>
          <w:p w14:paraId="12F94AB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2D87C4BB">
        <w:tblPrEx>
          <w:tblCellMar>
            <w:top w:w="0" w:type="dxa"/>
            <w:left w:w="108" w:type="dxa"/>
            <w:bottom w:w="0" w:type="dxa"/>
            <w:right w:w="108" w:type="dxa"/>
          </w:tblCellMar>
        </w:tblPrEx>
        <w:tc>
          <w:tcPr>
            <w:tcW w:w="893" w:type="dxa"/>
            <w:vMerge w:val="continue"/>
            <w:vAlign w:val="center"/>
          </w:tcPr>
          <w:p w14:paraId="124C741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2FF2D0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0B0CB71E">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34353B2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184</w:t>
            </w:r>
          </w:p>
        </w:tc>
        <w:tc>
          <w:tcPr>
            <w:tcW w:w="3205" w:type="dxa"/>
            <w:vAlign w:val="center"/>
          </w:tcPr>
          <w:p w14:paraId="08A25D3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非医嘱离院统计</w:t>
            </w:r>
          </w:p>
        </w:tc>
        <w:tc>
          <w:tcPr>
            <w:tcW w:w="1099" w:type="dxa"/>
            <w:vAlign w:val="center"/>
          </w:tcPr>
          <w:p w14:paraId="32A53F3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04AC2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57BFA65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285555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50A561A1">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7636F1B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185</w:t>
            </w:r>
          </w:p>
        </w:tc>
        <w:tc>
          <w:tcPr>
            <w:tcW w:w="3205" w:type="dxa"/>
            <w:vAlign w:val="center"/>
          </w:tcPr>
          <w:p w14:paraId="581E543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药品耗材收入趋势</w:t>
            </w:r>
          </w:p>
        </w:tc>
        <w:tc>
          <w:tcPr>
            <w:tcW w:w="1099" w:type="dxa"/>
            <w:vAlign w:val="center"/>
          </w:tcPr>
          <w:p w14:paraId="592F6E6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35750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3C29D6D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7B37251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5AA28D11">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290896C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186</w:t>
            </w:r>
          </w:p>
        </w:tc>
        <w:tc>
          <w:tcPr>
            <w:tcW w:w="3205" w:type="dxa"/>
            <w:vAlign w:val="center"/>
          </w:tcPr>
          <w:p w14:paraId="035F9021">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住院费用结构趋势</w:t>
            </w:r>
          </w:p>
        </w:tc>
        <w:tc>
          <w:tcPr>
            <w:tcW w:w="1099" w:type="dxa"/>
            <w:vAlign w:val="center"/>
          </w:tcPr>
          <w:p w14:paraId="5079922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77DE2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67C6DC5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restart"/>
            <w:vAlign w:val="center"/>
          </w:tcPr>
          <w:p w14:paraId="7D29B92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系统管理</w:t>
            </w:r>
          </w:p>
        </w:tc>
        <w:tc>
          <w:tcPr>
            <w:tcW w:w="2384" w:type="dxa"/>
            <w:vMerge w:val="restart"/>
            <w:vAlign w:val="center"/>
          </w:tcPr>
          <w:p w14:paraId="30EC97B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支持用户、角色、权限管理；支持对病案相关字典、数据采集维护管理；支持对首页评分项维护。支持系统日志查看。</w:t>
            </w:r>
          </w:p>
        </w:tc>
        <w:tc>
          <w:tcPr>
            <w:tcW w:w="656" w:type="dxa"/>
            <w:vAlign w:val="center"/>
          </w:tcPr>
          <w:p w14:paraId="1184756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187</w:t>
            </w:r>
          </w:p>
        </w:tc>
        <w:tc>
          <w:tcPr>
            <w:tcW w:w="3205" w:type="dxa"/>
            <w:vAlign w:val="center"/>
          </w:tcPr>
          <w:p w14:paraId="01C71C8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角色权限管理</w:t>
            </w:r>
          </w:p>
        </w:tc>
        <w:tc>
          <w:tcPr>
            <w:tcW w:w="1099" w:type="dxa"/>
            <w:vAlign w:val="center"/>
          </w:tcPr>
          <w:p w14:paraId="5C951BB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6119F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7987A1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72522A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0D66DA95">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3EEC9CD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188</w:t>
            </w:r>
          </w:p>
        </w:tc>
        <w:tc>
          <w:tcPr>
            <w:tcW w:w="3205" w:type="dxa"/>
            <w:vAlign w:val="center"/>
          </w:tcPr>
          <w:p w14:paraId="63B06404">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ICD字典版本维护</w:t>
            </w:r>
          </w:p>
        </w:tc>
        <w:tc>
          <w:tcPr>
            <w:tcW w:w="1099" w:type="dxa"/>
            <w:vAlign w:val="center"/>
          </w:tcPr>
          <w:p w14:paraId="511CF13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58C29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5819762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6ED280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64AF00A6">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75609BF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189</w:t>
            </w:r>
          </w:p>
        </w:tc>
        <w:tc>
          <w:tcPr>
            <w:tcW w:w="3205" w:type="dxa"/>
            <w:vAlign w:val="center"/>
          </w:tcPr>
          <w:p w14:paraId="3F61DB1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科室医生字典维护</w:t>
            </w:r>
          </w:p>
        </w:tc>
        <w:tc>
          <w:tcPr>
            <w:tcW w:w="1099" w:type="dxa"/>
            <w:vAlign w:val="center"/>
          </w:tcPr>
          <w:p w14:paraId="70FC5C5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4B7BE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174FD3B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7EF4FF2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1DA73C1A">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2F94D0C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190</w:t>
            </w:r>
          </w:p>
        </w:tc>
        <w:tc>
          <w:tcPr>
            <w:tcW w:w="3205" w:type="dxa"/>
            <w:vAlign w:val="center"/>
          </w:tcPr>
          <w:p w14:paraId="05BA7BB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系统登录日志</w:t>
            </w:r>
          </w:p>
        </w:tc>
        <w:tc>
          <w:tcPr>
            <w:tcW w:w="1099" w:type="dxa"/>
            <w:vAlign w:val="center"/>
          </w:tcPr>
          <w:p w14:paraId="593E20B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70CB0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567DF49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13304D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204D00D7">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31FF20D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191</w:t>
            </w:r>
          </w:p>
        </w:tc>
        <w:tc>
          <w:tcPr>
            <w:tcW w:w="3205" w:type="dxa"/>
            <w:vAlign w:val="center"/>
          </w:tcPr>
          <w:p w14:paraId="2B4FF3C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系统编码日志</w:t>
            </w:r>
          </w:p>
        </w:tc>
        <w:tc>
          <w:tcPr>
            <w:tcW w:w="1099" w:type="dxa"/>
            <w:vAlign w:val="center"/>
          </w:tcPr>
          <w:p w14:paraId="176761C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1294AB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3AD60F9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0284D2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2E73F8C8">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10B1946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192</w:t>
            </w:r>
          </w:p>
        </w:tc>
        <w:tc>
          <w:tcPr>
            <w:tcW w:w="3205" w:type="dxa"/>
            <w:vAlign w:val="center"/>
          </w:tcPr>
          <w:p w14:paraId="34AD0F7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系统错误日志</w:t>
            </w:r>
          </w:p>
        </w:tc>
        <w:tc>
          <w:tcPr>
            <w:tcW w:w="1099" w:type="dxa"/>
            <w:vAlign w:val="center"/>
          </w:tcPr>
          <w:p w14:paraId="485CF42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52CCF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00D32D3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6181E5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0F352445">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5B7B647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193</w:t>
            </w:r>
          </w:p>
        </w:tc>
        <w:tc>
          <w:tcPr>
            <w:tcW w:w="3205" w:type="dxa"/>
            <w:vAlign w:val="center"/>
          </w:tcPr>
          <w:p w14:paraId="74E1089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数据库任务执行管理</w:t>
            </w:r>
          </w:p>
        </w:tc>
        <w:tc>
          <w:tcPr>
            <w:tcW w:w="1099" w:type="dxa"/>
            <w:vAlign w:val="center"/>
          </w:tcPr>
          <w:p w14:paraId="0415261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2BC91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restart"/>
            <w:vAlign w:val="center"/>
          </w:tcPr>
          <w:p w14:paraId="70B79CF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医保智能审核（含门诊审核）</w:t>
            </w:r>
          </w:p>
        </w:tc>
        <w:tc>
          <w:tcPr>
            <w:tcW w:w="880" w:type="dxa"/>
            <w:vMerge w:val="restart"/>
            <w:vAlign w:val="center"/>
          </w:tcPr>
          <w:p w14:paraId="40BEEBD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门诊审核</w:t>
            </w:r>
          </w:p>
        </w:tc>
        <w:tc>
          <w:tcPr>
            <w:tcW w:w="2384" w:type="dxa"/>
            <w:vMerge w:val="restart"/>
            <w:vAlign w:val="center"/>
          </w:tcPr>
          <w:p w14:paraId="19D5B24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用于门诊医保患者在医师保存门诊处方后对处方进行医保规则审核，筛查出可疑违规项目后及时提醒医师进行处理。医师开具特殊门诊处方时，系统自动对处方进行医保规则审核，筛查出可疑违规项目后及时提醒医师进行处理。</w:t>
            </w:r>
          </w:p>
        </w:tc>
        <w:tc>
          <w:tcPr>
            <w:tcW w:w="656" w:type="dxa"/>
            <w:vAlign w:val="center"/>
          </w:tcPr>
          <w:p w14:paraId="3A3731E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194</w:t>
            </w:r>
          </w:p>
        </w:tc>
        <w:tc>
          <w:tcPr>
            <w:tcW w:w="3205" w:type="dxa"/>
            <w:vAlign w:val="center"/>
          </w:tcPr>
          <w:p w14:paraId="4225392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门诊医保审核：系统提供门诊处方审核功能</w:t>
            </w:r>
          </w:p>
        </w:tc>
        <w:tc>
          <w:tcPr>
            <w:tcW w:w="1099" w:type="dxa"/>
            <w:vAlign w:val="center"/>
          </w:tcPr>
          <w:p w14:paraId="6E6CE51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583CA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6EC2ED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4DE7821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69FB3912">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04CA4B9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195</w:t>
            </w:r>
          </w:p>
        </w:tc>
        <w:tc>
          <w:tcPr>
            <w:tcW w:w="3205" w:type="dxa"/>
            <w:vAlign w:val="center"/>
          </w:tcPr>
          <w:p w14:paraId="66D5805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门诊预警拦截处置：系统针对门诊提醒的违规结果，支持医生反馈操作</w:t>
            </w:r>
          </w:p>
        </w:tc>
        <w:tc>
          <w:tcPr>
            <w:tcW w:w="1099" w:type="dxa"/>
            <w:vAlign w:val="center"/>
          </w:tcPr>
          <w:p w14:paraId="1E1F76C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35B52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0564617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48A952E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6F63C9EA">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2EC14BB6">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196</w:t>
            </w:r>
          </w:p>
        </w:tc>
        <w:tc>
          <w:tcPr>
            <w:tcW w:w="3205" w:type="dxa"/>
            <w:vAlign w:val="center"/>
          </w:tcPr>
          <w:p w14:paraId="227A5CE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门诊可疑违规汇总：支持按时间/按科室/按医生范围查看各类门诊违规病例分析</w:t>
            </w:r>
          </w:p>
        </w:tc>
        <w:tc>
          <w:tcPr>
            <w:tcW w:w="1099" w:type="dxa"/>
            <w:vAlign w:val="center"/>
          </w:tcPr>
          <w:p w14:paraId="304FF5E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b/>
                <w:bCs/>
                <w:i w:val="0"/>
                <w:iCs w:val="0"/>
                <w:color w:val="000000"/>
                <w:kern w:val="0"/>
                <w:sz w:val="21"/>
                <w:szCs w:val="21"/>
                <w:u w:val="none"/>
                <w:lang w:val="en-US" w:eastAsia="zh-CN" w:bidi="ar"/>
              </w:rPr>
              <w:t>▲</w:t>
            </w:r>
          </w:p>
        </w:tc>
      </w:tr>
      <w:tr w14:paraId="1B257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427D55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restart"/>
            <w:vAlign w:val="center"/>
          </w:tcPr>
          <w:p w14:paraId="2069256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在院审核助手</w:t>
            </w:r>
          </w:p>
        </w:tc>
        <w:tc>
          <w:tcPr>
            <w:tcW w:w="2384" w:type="dxa"/>
            <w:vMerge w:val="restart"/>
            <w:vAlign w:val="center"/>
          </w:tcPr>
          <w:p w14:paraId="053C6654">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both"/>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用于医生工作站、护士工作站场景，智能审核系统将根据医嘱收费内容对其合理性、合规性给出实时判断，并进行消息反馈。对科室出科/入科患者进行收费审核，关注当天收费异常并预警。对住院病人即将出院前的全费用信息进行最后一次审查，以了解其已发生的费用信息的合理性。</w:t>
            </w:r>
          </w:p>
        </w:tc>
        <w:tc>
          <w:tcPr>
            <w:tcW w:w="656" w:type="dxa"/>
            <w:vAlign w:val="center"/>
          </w:tcPr>
          <w:p w14:paraId="6939491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197</w:t>
            </w:r>
          </w:p>
        </w:tc>
        <w:tc>
          <w:tcPr>
            <w:tcW w:w="3205" w:type="dxa"/>
            <w:vAlign w:val="center"/>
          </w:tcPr>
          <w:p w14:paraId="582AE6E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支持工作站嵌入功能（HIS/EMR）</w:t>
            </w:r>
          </w:p>
        </w:tc>
        <w:tc>
          <w:tcPr>
            <w:tcW w:w="1099" w:type="dxa"/>
            <w:vAlign w:val="center"/>
          </w:tcPr>
          <w:p w14:paraId="1E6B5FA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42F27F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0C2BE6E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F2566F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280CFF5B">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4FD8A6D4">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198</w:t>
            </w:r>
          </w:p>
        </w:tc>
        <w:tc>
          <w:tcPr>
            <w:tcW w:w="3205" w:type="dxa"/>
            <w:vAlign w:val="center"/>
          </w:tcPr>
          <w:p w14:paraId="0FEA633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在院患者每日全院医保审核</w:t>
            </w:r>
          </w:p>
        </w:tc>
        <w:tc>
          <w:tcPr>
            <w:tcW w:w="1099" w:type="dxa"/>
            <w:vAlign w:val="center"/>
          </w:tcPr>
          <w:p w14:paraId="3B33A89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2AA1D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3D352D3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3AAF60E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3B304270">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4E5BCD9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199</w:t>
            </w:r>
          </w:p>
        </w:tc>
        <w:tc>
          <w:tcPr>
            <w:tcW w:w="3205" w:type="dxa"/>
            <w:vAlign w:val="center"/>
          </w:tcPr>
          <w:p w14:paraId="7B632F4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在院患者转科当天费用医保审核</w:t>
            </w:r>
          </w:p>
        </w:tc>
        <w:tc>
          <w:tcPr>
            <w:tcW w:w="1099" w:type="dxa"/>
            <w:vAlign w:val="center"/>
          </w:tcPr>
          <w:p w14:paraId="1F2B4C3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38425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1F7DB22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69A742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7BA23E45">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68C8A4B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200</w:t>
            </w:r>
          </w:p>
        </w:tc>
        <w:tc>
          <w:tcPr>
            <w:tcW w:w="3205" w:type="dxa"/>
            <w:vAlign w:val="center"/>
          </w:tcPr>
          <w:p w14:paraId="4C214B2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在院患者出院医保审核</w:t>
            </w:r>
          </w:p>
        </w:tc>
        <w:tc>
          <w:tcPr>
            <w:tcW w:w="1099" w:type="dxa"/>
            <w:vAlign w:val="center"/>
          </w:tcPr>
          <w:p w14:paraId="1A442DD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333CC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AEF223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restart"/>
            <w:vAlign w:val="center"/>
          </w:tcPr>
          <w:p w14:paraId="0580530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违规预警</w:t>
            </w:r>
          </w:p>
        </w:tc>
        <w:tc>
          <w:tcPr>
            <w:tcW w:w="2384" w:type="dxa"/>
            <w:vMerge w:val="restart"/>
            <w:vAlign w:val="center"/>
          </w:tcPr>
          <w:p w14:paraId="556B076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收费合理性审核，可设置临床工作站费用审核、护理工作站费用审核、出院结算费用审核，避免多收费、少收费、错收费行为。</w:t>
            </w:r>
          </w:p>
        </w:tc>
        <w:tc>
          <w:tcPr>
            <w:tcW w:w="656" w:type="dxa"/>
            <w:vAlign w:val="center"/>
          </w:tcPr>
          <w:p w14:paraId="5A15C64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201</w:t>
            </w:r>
          </w:p>
        </w:tc>
        <w:tc>
          <w:tcPr>
            <w:tcW w:w="3205" w:type="dxa"/>
            <w:vAlign w:val="center"/>
          </w:tcPr>
          <w:p w14:paraId="50E2B984">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按科室汇总</w:t>
            </w:r>
          </w:p>
        </w:tc>
        <w:tc>
          <w:tcPr>
            <w:tcW w:w="1099" w:type="dxa"/>
            <w:vAlign w:val="center"/>
          </w:tcPr>
          <w:p w14:paraId="53D945E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b/>
                <w:bCs/>
                <w:i w:val="0"/>
                <w:iCs w:val="0"/>
                <w:color w:val="000000"/>
                <w:kern w:val="0"/>
                <w:sz w:val="21"/>
                <w:szCs w:val="21"/>
                <w:u w:val="none"/>
                <w:lang w:val="en-US" w:eastAsia="zh-CN" w:bidi="ar"/>
              </w:rPr>
              <w:t>▲</w:t>
            </w:r>
          </w:p>
        </w:tc>
      </w:tr>
      <w:tr w14:paraId="6F5A8D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3BD5295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511814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5E8C0AD7">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0B3E6AD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202</w:t>
            </w:r>
          </w:p>
        </w:tc>
        <w:tc>
          <w:tcPr>
            <w:tcW w:w="3205" w:type="dxa"/>
            <w:vAlign w:val="center"/>
          </w:tcPr>
          <w:p w14:paraId="46AC435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按项目汇总</w:t>
            </w:r>
          </w:p>
        </w:tc>
        <w:tc>
          <w:tcPr>
            <w:tcW w:w="1099" w:type="dxa"/>
            <w:vAlign w:val="center"/>
          </w:tcPr>
          <w:p w14:paraId="6948169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49610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83DBE8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A03BC8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6EE4896C">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0945DAC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203</w:t>
            </w:r>
          </w:p>
        </w:tc>
        <w:tc>
          <w:tcPr>
            <w:tcW w:w="3205" w:type="dxa"/>
            <w:vAlign w:val="center"/>
          </w:tcPr>
          <w:p w14:paraId="668F408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按患者明细汇总</w:t>
            </w:r>
          </w:p>
        </w:tc>
        <w:tc>
          <w:tcPr>
            <w:tcW w:w="1099" w:type="dxa"/>
            <w:vAlign w:val="center"/>
          </w:tcPr>
          <w:p w14:paraId="1550FB1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2C031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350528C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303C3E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1D2A4394">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77EF5794">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204</w:t>
            </w:r>
          </w:p>
        </w:tc>
        <w:tc>
          <w:tcPr>
            <w:tcW w:w="3205" w:type="dxa"/>
            <w:vAlign w:val="center"/>
          </w:tcPr>
          <w:p w14:paraId="6EB14F7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支持按出院、按结算、按在院查询</w:t>
            </w:r>
          </w:p>
        </w:tc>
        <w:tc>
          <w:tcPr>
            <w:tcW w:w="1099" w:type="dxa"/>
            <w:vAlign w:val="center"/>
          </w:tcPr>
          <w:p w14:paraId="0D37A0D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139EC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55E5C7A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418C2E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76F0FA3E">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4805F1D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205</w:t>
            </w:r>
          </w:p>
        </w:tc>
        <w:tc>
          <w:tcPr>
            <w:tcW w:w="3205" w:type="dxa"/>
            <w:vAlign w:val="center"/>
          </w:tcPr>
          <w:p w14:paraId="740BC51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支持按日、按月、按季度、按年查询</w:t>
            </w:r>
          </w:p>
        </w:tc>
        <w:tc>
          <w:tcPr>
            <w:tcW w:w="1099" w:type="dxa"/>
            <w:vAlign w:val="center"/>
          </w:tcPr>
          <w:p w14:paraId="7B767BF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019E9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C234C2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45BA5E6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32FC3DA1">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0B62535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206</w:t>
            </w:r>
          </w:p>
        </w:tc>
        <w:tc>
          <w:tcPr>
            <w:tcW w:w="3205" w:type="dxa"/>
            <w:vAlign w:val="center"/>
          </w:tcPr>
          <w:p w14:paraId="66E8F08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支持按部门筛查</w:t>
            </w:r>
          </w:p>
        </w:tc>
        <w:tc>
          <w:tcPr>
            <w:tcW w:w="1099" w:type="dxa"/>
            <w:vAlign w:val="center"/>
          </w:tcPr>
          <w:p w14:paraId="56EDD5B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55B87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037269E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restart"/>
            <w:vAlign w:val="center"/>
          </w:tcPr>
          <w:p w14:paraId="2AC6736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审核规则库</w:t>
            </w:r>
          </w:p>
        </w:tc>
        <w:tc>
          <w:tcPr>
            <w:tcW w:w="2384" w:type="dxa"/>
            <w:vMerge w:val="restart"/>
            <w:vAlign w:val="center"/>
          </w:tcPr>
          <w:p w14:paraId="7A2CD8E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both"/>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收费合理性审核，可设置临床工作站费用审核、护理工作站费用审核、出院结算费用审核，避免多收费、少收费、错收费行为。医保限定类收费异常数据汇总；医保医疗行为怀疑异常数据汇总；支持按科室、按项目、按患者展示违规数、忽略数，支持下探查看收费明细。</w:t>
            </w:r>
          </w:p>
        </w:tc>
        <w:tc>
          <w:tcPr>
            <w:tcW w:w="656" w:type="dxa"/>
            <w:vAlign w:val="center"/>
          </w:tcPr>
          <w:p w14:paraId="5E4651D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207</w:t>
            </w:r>
          </w:p>
        </w:tc>
        <w:tc>
          <w:tcPr>
            <w:tcW w:w="3205" w:type="dxa"/>
            <w:vAlign w:val="center"/>
          </w:tcPr>
          <w:p w14:paraId="075966B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限定性别</w:t>
            </w:r>
          </w:p>
        </w:tc>
        <w:tc>
          <w:tcPr>
            <w:tcW w:w="1099" w:type="dxa"/>
            <w:vAlign w:val="center"/>
          </w:tcPr>
          <w:p w14:paraId="5ABEBE2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647DA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6FDEE2F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9EF43A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01F7E68F">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52BCC63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208</w:t>
            </w:r>
          </w:p>
        </w:tc>
        <w:tc>
          <w:tcPr>
            <w:tcW w:w="3205" w:type="dxa"/>
            <w:vAlign w:val="center"/>
          </w:tcPr>
          <w:p w14:paraId="2A61C92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限定医疗类别</w:t>
            </w:r>
          </w:p>
        </w:tc>
        <w:tc>
          <w:tcPr>
            <w:tcW w:w="1099" w:type="dxa"/>
            <w:vAlign w:val="center"/>
          </w:tcPr>
          <w:p w14:paraId="24E838E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597B8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15063E8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714C81C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0F9E53CF">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50EC344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209</w:t>
            </w:r>
          </w:p>
        </w:tc>
        <w:tc>
          <w:tcPr>
            <w:tcW w:w="3205" w:type="dxa"/>
            <w:vAlign w:val="center"/>
          </w:tcPr>
          <w:p w14:paraId="5FD4666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限定医院级别</w:t>
            </w:r>
          </w:p>
        </w:tc>
        <w:tc>
          <w:tcPr>
            <w:tcW w:w="1099" w:type="dxa"/>
            <w:vAlign w:val="center"/>
          </w:tcPr>
          <w:p w14:paraId="04783DC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4B098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F72795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C57254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687940D8">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1DAEE5C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210</w:t>
            </w:r>
          </w:p>
        </w:tc>
        <w:tc>
          <w:tcPr>
            <w:tcW w:w="3205" w:type="dxa"/>
            <w:vAlign w:val="center"/>
          </w:tcPr>
          <w:p w14:paraId="5434E931">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限定频次收费</w:t>
            </w:r>
          </w:p>
        </w:tc>
        <w:tc>
          <w:tcPr>
            <w:tcW w:w="1099" w:type="dxa"/>
            <w:vAlign w:val="center"/>
          </w:tcPr>
          <w:p w14:paraId="565AE02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74249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9206FB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197AD54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08FCFBBA">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5D9FB33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211</w:t>
            </w:r>
          </w:p>
        </w:tc>
        <w:tc>
          <w:tcPr>
            <w:tcW w:w="3205" w:type="dxa"/>
            <w:vAlign w:val="center"/>
          </w:tcPr>
          <w:p w14:paraId="70ADC29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限定总量收费</w:t>
            </w:r>
          </w:p>
        </w:tc>
        <w:tc>
          <w:tcPr>
            <w:tcW w:w="1099" w:type="dxa"/>
            <w:vAlign w:val="center"/>
          </w:tcPr>
          <w:p w14:paraId="73AB5D3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2665A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15E9EF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1EA4D17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65FCDAAB">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1F9BBD5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212</w:t>
            </w:r>
          </w:p>
        </w:tc>
        <w:tc>
          <w:tcPr>
            <w:tcW w:w="3205" w:type="dxa"/>
            <w:vAlign w:val="center"/>
          </w:tcPr>
          <w:p w14:paraId="6A3ACEF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限定总额收费</w:t>
            </w:r>
          </w:p>
        </w:tc>
        <w:tc>
          <w:tcPr>
            <w:tcW w:w="1099" w:type="dxa"/>
            <w:vAlign w:val="center"/>
          </w:tcPr>
          <w:p w14:paraId="677AF0D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3F65C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513967B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354A026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0B4088C4">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016CDF3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213</w:t>
            </w:r>
          </w:p>
        </w:tc>
        <w:tc>
          <w:tcPr>
            <w:tcW w:w="3205" w:type="dxa"/>
            <w:vAlign w:val="center"/>
          </w:tcPr>
          <w:p w14:paraId="4DA27CD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限定科室使用</w:t>
            </w:r>
          </w:p>
        </w:tc>
        <w:tc>
          <w:tcPr>
            <w:tcW w:w="1099" w:type="dxa"/>
            <w:vAlign w:val="center"/>
          </w:tcPr>
          <w:p w14:paraId="30EB4E4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b/>
                <w:bCs/>
                <w:i w:val="0"/>
                <w:iCs w:val="0"/>
                <w:color w:val="000000"/>
                <w:kern w:val="0"/>
                <w:sz w:val="21"/>
                <w:szCs w:val="21"/>
                <w:u w:val="none"/>
                <w:lang w:val="en-US" w:eastAsia="zh-CN" w:bidi="ar"/>
              </w:rPr>
              <w:t>▲</w:t>
            </w:r>
          </w:p>
        </w:tc>
      </w:tr>
      <w:tr w14:paraId="67AE5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B2ADBD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A1FF78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23EFF879">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2DB87CC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214</w:t>
            </w:r>
          </w:p>
        </w:tc>
        <w:tc>
          <w:tcPr>
            <w:tcW w:w="3205" w:type="dxa"/>
            <w:vAlign w:val="center"/>
          </w:tcPr>
          <w:p w14:paraId="0454100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重复收费限定</w:t>
            </w:r>
          </w:p>
        </w:tc>
        <w:tc>
          <w:tcPr>
            <w:tcW w:w="1099" w:type="dxa"/>
            <w:vAlign w:val="center"/>
          </w:tcPr>
          <w:p w14:paraId="4364E03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b/>
                <w:bCs/>
                <w:i w:val="0"/>
                <w:iCs w:val="0"/>
                <w:color w:val="000000"/>
                <w:kern w:val="0"/>
                <w:sz w:val="21"/>
                <w:szCs w:val="21"/>
                <w:u w:val="none"/>
                <w:lang w:val="en-US" w:eastAsia="zh-CN" w:bidi="ar"/>
              </w:rPr>
              <w:t>▲</w:t>
            </w:r>
          </w:p>
        </w:tc>
      </w:tr>
      <w:tr w14:paraId="4F0F8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182BE13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1DE8C9B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3CED2F69">
            <w:pPr>
              <w:keepNext w:val="0"/>
              <w:keepLines w:val="0"/>
              <w:pageBreakBefore w:val="0"/>
              <w:widowControl/>
              <w:kinsoku/>
              <w:wordWrap/>
              <w:overflowPunct/>
              <w:topLinePunct w:val="0"/>
              <w:autoSpaceDE/>
              <w:autoSpaceDN/>
              <w:bidi w:val="0"/>
              <w:adjustRightInd/>
              <w:snapToGrid/>
              <w:spacing w:line="400" w:lineRule="exact"/>
              <w:ind w:firstLine="0" w:firstLineChars="0"/>
              <w:jc w:val="both"/>
              <w:rPr>
                <w:rFonts w:hint="eastAsia"/>
                <w:sz w:val="21"/>
                <w:szCs w:val="21"/>
                <w:vertAlign w:val="baseline"/>
                <w:lang w:val="en-US" w:eastAsia="zh-CN"/>
              </w:rPr>
            </w:pPr>
          </w:p>
        </w:tc>
        <w:tc>
          <w:tcPr>
            <w:tcW w:w="656" w:type="dxa"/>
            <w:vAlign w:val="center"/>
          </w:tcPr>
          <w:p w14:paraId="7C37C34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215</w:t>
            </w:r>
          </w:p>
        </w:tc>
        <w:tc>
          <w:tcPr>
            <w:tcW w:w="3205" w:type="dxa"/>
            <w:vAlign w:val="center"/>
          </w:tcPr>
          <w:p w14:paraId="2B104826">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对应收费限定</w:t>
            </w:r>
          </w:p>
        </w:tc>
        <w:tc>
          <w:tcPr>
            <w:tcW w:w="1099" w:type="dxa"/>
            <w:vAlign w:val="center"/>
          </w:tcPr>
          <w:p w14:paraId="653676E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6690B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1B8B6CF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restart"/>
            <w:vAlign w:val="center"/>
          </w:tcPr>
          <w:p w14:paraId="353CA82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审核规则管理</w:t>
            </w:r>
          </w:p>
        </w:tc>
        <w:tc>
          <w:tcPr>
            <w:tcW w:w="2384" w:type="dxa"/>
            <w:vMerge w:val="restart"/>
            <w:vAlign w:val="center"/>
          </w:tcPr>
          <w:p w14:paraId="6818E16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审核规则一览表，并且支持按照医院要求对审核规则进行开启关闭操作，维护审核规则收费项目等。</w:t>
            </w:r>
          </w:p>
        </w:tc>
        <w:tc>
          <w:tcPr>
            <w:tcW w:w="656" w:type="dxa"/>
            <w:vAlign w:val="center"/>
          </w:tcPr>
          <w:p w14:paraId="3DDAAE4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216</w:t>
            </w:r>
          </w:p>
        </w:tc>
        <w:tc>
          <w:tcPr>
            <w:tcW w:w="3205" w:type="dxa"/>
            <w:vAlign w:val="center"/>
          </w:tcPr>
          <w:p w14:paraId="7144E56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开启关闭预警规则</w:t>
            </w:r>
          </w:p>
        </w:tc>
        <w:tc>
          <w:tcPr>
            <w:tcW w:w="1099" w:type="dxa"/>
            <w:vAlign w:val="center"/>
          </w:tcPr>
          <w:p w14:paraId="41EB777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b/>
                <w:bCs/>
                <w:i w:val="0"/>
                <w:iCs w:val="0"/>
                <w:color w:val="000000"/>
                <w:kern w:val="0"/>
                <w:sz w:val="21"/>
                <w:szCs w:val="21"/>
                <w:u w:val="none"/>
                <w:lang w:val="en-US" w:eastAsia="zh-CN" w:bidi="ar"/>
              </w:rPr>
              <w:t>▲</w:t>
            </w:r>
          </w:p>
        </w:tc>
      </w:tr>
      <w:tr w14:paraId="65A6E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0959D01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4A46A48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70E56B51">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0A032A3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217</w:t>
            </w:r>
          </w:p>
        </w:tc>
        <w:tc>
          <w:tcPr>
            <w:tcW w:w="3205" w:type="dxa"/>
            <w:vAlign w:val="center"/>
          </w:tcPr>
          <w:p w14:paraId="418875D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单条规则实时查询校验收费数据</w:t>
            </w:r>
          </w:p>
        </w:tc>
        <w:tc>
          <w:tcPr>
            <w:tcW w:w="1099" w:type="dxa"/>
            <w:vAlign w:val="center"/>
          </w:tcPr>
          <w:p w14:paraId="39DB9A6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763C7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6C90FD4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69488A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7A8EC13D">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7A909C5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218</w:t>
            </w:r>
          </w:p>
        </w:tc>
        <w:tc>
          <w:tcPr>
            <w:tcW w:w="3205" w:type="dxa"/>
            <w:vAlign w:val="center"/>
          </w:tcPr>
          <w:p w14:paraId="2D9CC80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新增预警规则</w:t>
            </w:r>
          </w:p>
        </w:tc>
        <w:tc>
          <w:tcPr>
            <w:tcW w:w="1099" w:type="dxa"/>
            <w:vAlign w:val="center"/>
          </w:tcPr>
          <w:p w14:paraId="19D4974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60993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BFC84A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066DC0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2A54DA9B">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7443882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219</w:t>
            </w:r>
          </w:p>
        </w:tc>
        <w:tc>
          <w:tcPr>
            <w:tcW w:w="3205" w:type="dxa"/>
            <w:vAlign w:val="center"/>
          </w:tcPr>
          <w:p w14:paraId="3D3C8EA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编辑预警规则</w:t>
            </w:r>
          </w:p>
        </w:tc>
        <w:tc>
          <w:tcPr>
            <w:tcW w:w="1099" w:type="dxa"/>
            <w:vAlign w:val="center"/>
          </w:tcPr>
          <w:p w14:paraId="7F7D273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29FFE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FE71F8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restart"/>
            <w:vAlign w:val="center"/>
          </w:tcPr>
          <w:p w14:paraId="63283E6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大数据查询</w:t>
            </w:r>
          </w:p>
        </w:tc>
        <w:tc>
          <w:tcPr>
            <w:tcW w:w="2384" w:type="dxa"/>
            <w:vMerge w:val="restart"/>
            <w:vAlign w:val="center"/>
          </w:tcPr>
          <w:p w14:paraId="11BB8CD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医院数据自检自查，根据筛选条件自行筛查、导出院内收费明细数据。</w:t>
            </w:r>
          </w:p>
        </w:tc>
        <w:tc>
          <w:tcPr>
            <w:tcW w:w="656" w:type="dxa"/>
            <w:vAlign w:val="center"/>
          </w:tcPr>
          <w:p w14:paraId="15C9DFA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220</w:t>
            </w:r>
          </w:p>
        </w:tc>
        <w:tc>
          <w:tcPr>
            <w:tcW w:w="3205" w:type="dxa"/>
            <w:vAlign w:val="center"/>
          </w:tcPr>
          <w:p w14:paraId="6C4BFFC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主要诊断条件查询</w:t>
            </w:r>
          </w:p>
        </w:tc>
        <w:tc>
          <w:tcPr>
            <w:tcW w:w="1099" w:type="dxa"/>
            <w:vAlign w:val="center"/>
          </w:tcPr>
          <w:p w14:paraId="031CFBD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692E49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30B50A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755A6A2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5906388F">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461EB8A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221</w:t>
            </w:r>
          </w:p>
        </w:tc>
        <w:tc>
          <w:tcPr>
            <w:tcW w:w="3205" w:type="dxa"/>
            <w:vAlign w:val="center"/>
          </w:tcPr>
          <w:p w14:paraId="4404683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主要手术条件查询</w:t>
            </w:r>
          </w:p>
        </w:tc>
        <w:tc>
          <w:tcPr>
            <w:tcW w:w="1099" w:type="dxa"/>
            <w:vAlign w:val="center"/>
          </w:tcPr>
          <w:p w14:paraId="78070DF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0C1A69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55AF3F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34B7540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7ECEB929">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4E0D46B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222</w:t>
            </w:r>
          </w:p>
        </w:tc>
        <w:tc>
          <w:tcPr>
            <w:tcW w:w="3205" w:type="dxa"/>
            <w:vAlign w:val="center"/>
          </w:tcPr>
          <w:p w14:paraId="0711F86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患者性别条件查询</w:t>
            </w:r>
          </w:p>
        </w:tc>
        <w:tc>
          <w:tcPr>
            <w:tcW w:w="1099" w:type="dxa"/>
            <w:vAlign w:val="center"/>
          </w:tcPr>
          <w:p w14:paraId="47D5DCE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69849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34869C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CA8761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2BDFB32C">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0BD63C9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223</w:t>
            </w:r>
          </w:p>
        </w:tc>
        <w:tc>
          <w:tcPr>
            <w:tcW w:w="3205" w:type="dxa"/>
            <w:vAlign w:val="center"/>
          </w:tcPr>
          <w:p w14:paraId="6EDE751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患者年龄条件查询</w:t>
            </w:r>
          </w:p>
        </w:tc>
        <w:tc>
          <w:tcPr>
            <w:tcW w:w="1099" w:type="dxa"/>
            <w:vAlign w:val="center"/>
          </w:tcPr>
          <w:p w14:paraId="10976E3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5CECB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1C39756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3D389ED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6774C2FE">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57BA44E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224</w:t>
            </w:r>
          </w:p>
        </w:tc>
        <w:tc>
          <w:tcPr>
            <w:tcW w:w="3205" w:type="dxa"/>
            <w:vAlign w:val="center"/>
          </w:tcPr>
          <w:p w14:paraId="5F3A348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时间维度条件查询</w:t>
            </w:r>
          </w:p>
        </w:tc>
        <w:tc>
          <w:tcPr>
            <w:tcW w:w="1099" w:type="dxa"/>
            <w:vAlign w:val="center"/>
          </w:tcPr>
          <w:p w14:paraId="2C29212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332299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D7D391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0EFCD42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739487E7">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3772D9B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225</w:t>
            </w:r>
          </w:p>
        </w:tc>
        <w:tc>
          <w:tcPr>
            <w:tcW w:w="3205" w:type="dxa"/>
            <w:vAlign w:val="center"/>
          </w:tcPr>
          <w:p w14:paraId="6407984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收费项目条件查询</w:t>
            </w:r>
          </w:p>
        </w:tc>
        <w:tc>
          <w:tcPr>
            <w:tcW w:w="1099" w:type="dxa"/>
            <w:vAlign w:val="center"/>
          </w:tcPr>
          <w:p w14:paraId="1E40343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113ED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6EDA7E9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restart"/>
            <w:vAlign w:val="center"/>
          </w:tcPr>
          <w:p w14:paraId="68ECD12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医保字典管理</w:t>
            </w:r>
          </w:p>
        </w:tc>
        <w:tc>
          <w:tcPr>
            <w:tcW w:w="2384" w:type="dxa"/>
            <w:vMerge w:val="restart"/>
            <w:vAlign w:val="center"/>
          </w:tcPr>
          <w:p w14:paraId="7B5B968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对收费模块进行维护更新。</w:t>
            </w:r>
          </w:p>
        </w:tc>
        <w:tc>
          <w:tcPr>
            <w:tcW w:w="656" w:type="dxa"/>
            <w:vAlign w:val="center"/>
          </w:tcPr>
          <w:p w14:paraId="2E3BD9D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226</w:t>
            </w:r>
          </w:p>
        </w:tc>
        <w:tc>
          <w:tcPr>
            <w:tcW w:w="3205" w:type="dxa"/>
            <w:vAlign w:val="center"/>
          </w:tcPr>
          <w:p w14:paraId="7CE15026">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药品目录维护（国家）</w:t>
            </w:r>
          </w:p>
        </w:tc>
        <w:tc>
          <w:tcPr>
            <w:tcW w:w="1099" w:type="dxa"/>
            <w:vAlign w:val="center"/>
          </w:tcPr>
          <w:p w14:paraId="7C9C5EA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77C3E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B62F17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1A31C20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0528E772">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1737374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227</w:t>
            </w:r>
          </w:p>
        </w:tc>
        <w:tc>
          <w:tcPr>
            <w:tcW w:w="3205" w:type="dxa"/>
            <w:vAlign w:val="center"/>
          </w:tcPr>
          <w:p w14:paraId="7287C474">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诊疗目录维护（国家）</w:t>
            </w:r>
          </w:p>
        </w:tc>
        <w:tc>
          <w:tcPr>
            <w:tcW w:w="1099" w:type="dxa"/>
            <w:vAlign w:val="center"/>
          </w:tcPr>
          <w:p w14:paraId="5125571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44CFC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1DB4CA0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79FEEF6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781EC38B">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4D0E21F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228</w:t>
            </w:r>
          </w:p>
        </w:tc>
        <w:tc>
          <w:tcPr>
            <w:tcW w:w="3205" w:type="dxa"/>
            <w:vAlign w:val="center"/>
          </w:tcPr>
          <w:p w14:paraId="0D1E0DF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耗材目录维护（国家）</w:t>
            </w:r>
          </w:p>
        </w:tc>
        <w:tc>
          <w:tcPr>
            <w:tcW w:w="1099" w:type="dxa"/>
            <w:vAlign w:val="center"/>
          </w:tcPr>
          <w:p w14:paraId="09AF903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0C62F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2A6D31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restart"/>
            <w:vAlign w:val="center"/>
          </w:tcPr>
          <w:p w14:paraId="3A2DFDC4">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系统管理</w:t>
            </w:r>
          </w:p>
        </w:tc>
        <w:tc>
          <w:tcPr>
            <w:tcW w:w="2384" w:type="dxa"/>
            <w:vMerge w:val="restart"/>
            <w:vAlign w:val="center"/>
          </w:tcPr>
          <w:p w14:paraId="77C67EC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支持用户、角色、权限管理；支持对病案相关字典、数据采集维护管理；支持系统日志查看。</w:t>
            </w:r>
          </w:p>
        </w:tc>
        <w:tc>
          <w:tcPr>
            <w:tcW w:w="656" w:type="dxa"/>
            <w:vAlign w:val="center"/>
          </w:tcPr>
          <w:p w14:paraId="53B445B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229</w:t>
            </w:r>
          </w:p>
        </w:tc>
        <w:tc>
          <w:tcPr>
            <w:tcW w:w="3205" w:type="dxa"/>
            <w:vAlign w:val="center"/>
          </w:tcPr>
          <w:p w14:paraId="4A03D0F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角色权限管理</w:t>
            </w:r>
          </w:p>
        </w:tc>
        <w:tc>
          <w:tcPr>
            <w:tcW w:w="1099" w:type="dxa"/>
            <w:vAlign w:val="center"/>
          </w:tcPr>
          <w:p w14:paraId="47488DE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6B2E5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BE45DE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CDC00E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6E6E5C85">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4DD8C901">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230</w:t>
            </w:r>
          </w:p>
        </w:tc>
        <w:tc>
          <w:tcPr>
            <w:tcW w:w="3205" w:type="dxa"/>
            <w:vAlign w:val="center"/>
          </w:tcPr>
          <w:p w14:paraId="6D6B35B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ICD字典版本维护</w:t>
            </w:r>
          </w:p>
        </w:tc>
        <w:tc>
          <w:tcPr>
            <w:tcW w:w="1099" w:type="dxa"/>
            <w:vAlign w:val="center"/>
          </w:tcPr>
          <w:p w14:paraId="47B0784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6C0D5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6E92134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DAD150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0DE11F1E">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33BF268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231</w:t>
            </w:r>
          </w:p>
        </w:tc>
        <w:tc>
          <w:tcPr>
            <w:tcW w:w="3205" w:type="dxa"/>
            <w:vAlign w:val="center"/>
          </w:tcPr>
          <w:p w14:paraId="11627A41">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科室医生字典维护</w:t>
            </w:r>
          </w:p>
        </w:tc>
        <w:tc>
          <w:tcPr>
            <w:tcW w:w="1099" w:type="dxa"/>
            <w:vAlign w:val="center"/>
          </w:tcPr>
          <w:p w14:paraId="2886165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2F8B8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35F888D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5B60FD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7B3D3E8B">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1206D8C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232</w:t>
            </w:r>
          </w:p>
        </w:tc>
        <w:tc>
          <w:tcPr>
            <w:tcW w:w="3205" w:type="dxa"/>
            <w:vAlign w:val="center"/>
          </w:tcPr>
          <w:p w14:paraId="6280B6B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数据采集管理</w:t>
            </w:r>
          </w:p>
        </w:tc>
        <w:tc>
          <w:tcPr>
            <w:tcW w:w="1099" w:type="dxa"/>
            <w:vAlign w:val="center"/>
          </w:tcPr>
          <w:p w14:paraId="0705C62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014B1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6BEBADF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0054D3F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224A3F82">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5BE6ADE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233</w:t>
            </w:r>
          </w:p>
        </w:tc>
        <w:tc>
          <w:tcPr>
            <w:tcW w:w="3205" w:type="dxa"/>
            <w:vAlign w:val="center"/>
          </w:tcPr>
          <w:p w14:paraId="2B665CB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数据同步日志</w:t>
            </w:r>
          </w:p>
        </w:tc>
        <w:tc>
          <w:tcPr>
            <w:tcW w:w="1099" w:type="dxa"/>
            <w:vAlign w:val="center"/>
          </w:tcPr>
          <w:p w14:paraId="6912020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001B5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866148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15586A0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78B1D7E9">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7CAABB0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234</w:t>
            </w:r>
          </w:p>
        </w:tc>
        <w:tc>
          <w:tcPr>
            <w:tcW w:w="3205" w:type="dxa"/>
            <w:vAlign w:val="center"/>
          </w:tcPr>
          <w:p w14:paraId="58984BA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数据回写日志</w:t>
            </w:r>
          </w:p>
        </w:tc>
        <w:tc>
          <w:tcPr>
            <w:tcW w:w="1099" w:type="dxa"/>
            <w:vAlign w:val="center"/>
          </w:tcPr>
          <w:p w14:paraId="6C8FA47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32A5B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D7D693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7494BB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14A90F4A">
            <w:pPr>
              <w:keepNext w:val="0"/>
              <w:keepLines w:val="0"/>
              <w:pageBreakBefore w:val="0"/>
              <w:widowControl/>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p>
        </w:tc>
        <w:tc>
          <w:tcPr>
            <w:tcW w:w="656" w:type="dxa"/>
            <w:vAlign w:val="center"/>
          </w:tcPr>
          <w:p w14:paraId="440EAA2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235</w:t>
            </w:r>
          </w:p>
        </w:tc>
        <w:tc>
          <w:tcPr>
            <w:tcW w:w="3205" w:type="dxa"/>
            <w:vAlign w:val="center"/>
          </w:tcPr>
          <w:p w14:paraId="22F97BE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系统使用日志</w:t>
            </w:r>
          </w:p>
        </w:tc>
        <w:tc>
          <w:tcPr>
            <w:tcW w:w="1099" w:type="dxa"/>
            <w:vAlign w:val="center"/>
          </w:tcPr>
          <w:p w14:paraId="1C89F63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0EAF8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restart"/>
            <w:vAlign w:val="center"/>
          </w:tcPr>
          <w:p w14:paraId="204BEC74">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医保结算清单</w:t>
            </w:r>
          </w:p>
        </w:tc>
        <w:tc>
          <w:tcPr>
            <w:tcW w:w="880" w:type="dxa"/>
            <w:vMerge w:val="restart"/>
            <w:vAlign w:val="center"/>
          </w:tcPr>
          <w:p w14:paraId="61F11F0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医保结算清单采集</w:t>
            </w:r>
          </w:p>
        </w:tc>
        <w:tc>
          <w:tcPr>
            <w:tcW w:w="2384" w:type="dxa"/>
            <w:vMerge w:val="restart"/>
            <w:vAlign w:val="center"/>
          </w:tcPr>
          <w:p w14:paraId="3CDC97A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系统支持根据值域配置自动对院内及病案值域进行转换变更为医保结算清单要求值域范围。</w:t>
            </w:r>
          </w:p>
        </w:tc>
        <w:tc>
          <w:tcPr>
            <w:tcW w:w="656" w:type="dxa"/>
            <w:vAlign w:val="center"/>
          </w:tcPr>
          <w:p w14:paraId="0BE3AA3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236</w:t>
            </w:r>
          </w:p>
        </w:tc>
        <w:tc>
          <w:tcPr>
            <w:tcW w:w="3205" w:type="dxa"/>
            <w:vAlign w:val="center"/>
          </w:tcPr>
          <w:p w14:paraId="523C249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医保结算清单版本维护</w:t>
            </w:r>
          </w:p>
        </w:tc>
        <w:tc>
          <w:tcPr>
            <w:tcW w:w="1099" w:type="dxa"/>
            <w:vAlign w:val="center"/>
          </w:tcPr>
          <w:p w14:paraId="549429FE">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1E581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6801BEC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CD54F6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6AF9026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4D519DE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237</w:t>
            </w:r>
          </w:p>
        </w:tc>
        <w:tc>
          <w:tcPr>
            <w:tcW w:w="3205" w:type="dxa"/>
            <w:vAlign w:val="center"/>
          </w:tcPr>
          <w:p w14:paraId="7AF44511">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医保版/临床版编码对照表</w:t>
            </w:r>
          </w:p>
        </w:tc>
        <w:tc>
          <w:tcPr>
            <w:tcW w:w="1099" w:type="dxa"/>
            <w:vAlign w:val="center"/>
          </w:tcPr>
          <w:p w14:paraId="2E86F4F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789CC4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3DA28E0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30CFB53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2AFB597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3780369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238</w:t>
            </w:r>
          </w:p>
        </w:tc>
        <w:tc>
          <w:tcPr>
            <w:tcW w:w="3205" w:type="dxa"/>
            <w:vAlign w:val="center"/>
          </w:tcPr>
          <w:p w14:paraId="1CB0AF0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清单上传值域字典</w:t>
            </w:r>
          </w:p>
        </w:tc>
        <w:tc>
          <w:tcPr>
            <w:tcW w:w="1099" w:type="dxa"/>
            <w:vAlign w:val="center"/>
          </w:tcPr>
          <w:p w14:paraId="0274B30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37CA4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515A27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32CF9B1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6FD7827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0B36C01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239</w:t>
            </w:r>
          </w:p>
        </w:tc>
        <w:tc>
          <w:tcPr>
            <w:tcW w:w="3205" w:type="dxa"/>
            <w:vAlign w:val="center"/>
          </w:tcPr>
          <w:p w14:paraId="00F4D8F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清单定时采集器</w:t>
            </w:r>
          </w:p>
        </w:tc>
        <w:tc>
          <w:tcPr>
            <w:tcW w:w="1099" w:type="dxa"/>
            <w:vAlign w:val="center"/>
          </w:tcPr>
          <w:p w14:paraId="6C5C600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77BDB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16F03DC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1EBCB5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6D38F99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022BABE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240</w:t>
            </w:r>
          </w:p>
        </w:tc>
        <w:tc>
          <w:tcPr>
            <w:tcW w:w="3205" w:type="dxa"/>
            <w:vAlign w:val="center"/>
          </w:tcPr>
          <w:p w14:paraId="64652E82">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采集日志</w:t>
            </w:r>
          </w:p>
        </w:tc>
        <w:tc>
          <w:tcPr>
            <w:tcW w:w="1099" w:type="dxa"/>
            <w:vAlign w:val="center"/>
          </w:tcPr>
          <w:p w14:paraId="0AB36BD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590F2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3860000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restart"/>
            <w:vAlign w:val="center"/>
          </w:tcPr>
          <w:p w14:paraId="4C05EB6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结算清单质控</w:t>
            </w:r>
          </w:p>
        </w:tc>
        <w:tc>
          <w:tcPr>
            <w:tcW w:w="2384" w:type="dxa"/>
            <w:vMerge w:val="restart"/>
            <w:vAlign w:val="center"/>
          </w:tcPr>
          <w:p w14:paraId="14E1DE0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系统支持医保结算清单的批量质控和单个病例的质控，并支持文件的导出。系统支持单个病例的质控查看和医保结算清单的编辑，修改完善和病例分析，问题列表展示。</w:t>
            </w:r>
          </w:p>
        </w:tc>
        <w:tc>
          <w:tcPr>
            <w:tcW w:w="656" w:type="dxa"/>
            <w:vAlign w:val="center"/>
          </w:tcPr>
          <w:p w14:paraId="6C02F3C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241</w:t>
            </w:r>
          </w:p>
        </w:tc>
        <w:tc>
          <w:tcPr>
            <w:tcW w:w="3205" w:type="dxa"/>
            <w:vAlign w:val="center"/>
          </w:tcPr>
          <w:p w14:paraId="443E51F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医保结算患者列表</w:t>
            </w:r>
          </w:p>
        </w:tc>
        <w:tc>
          <w:tcPr>
            <w:tcW w:w="1099" w:type="dxa"/>
            <w:vAlign w:val="center"/>
          </w:tcPr>
          <w:p w14:paraId="3C8FE99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6F26F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112F6C0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47776E7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5C4C0F0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317E29D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242</w:t>
            </w:r>
          </w:p>
        </w:tc>
        <w:tc>
          <w:tcPr>
            <w:tcW w:w="3205" w:type="dxa"/>
            <w:vAlign w:val="center"/>
          </w:tcPr>
          <w:p w14:paraId="22DB92A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患者结算清单详情</w:t>
            </w:r>
          </w:p>
        </w:tc>
        <w:tc>
          <w:tcPr>
            <w:tcW w:w="1099" w:type="dxa"/>
            <w:vAlign w:val="center"/>
          </w:tcPr>
          <w:p w14:paraId="0CB368A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b/>
                <w:bCs/>
                <w:i w:val="0"/>
                <w:iCs w:val="0"/>
                <w:color w:val="000000"/>
                <w:kern w:val="0"/>
                <w:sz w:val="21"/>
                <w:szCs w:val="21"/>
                <w:u w:val="none"/>
                <w:lang w:val="en-US" w:eastAsia="zh-CN" w:bidi="ar"/>
              </w:rPr>
              <w:t>▲</w:t>
            </w:r>
          </w:p>
        </w:tc>
      </w:tr>
      <w:tr w14:paraId="1E1BE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3BF27CA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19B3B53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08ED165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46DC2B8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243</w:t>
            </w:r>
          </w:p>
        </w:tc>
        <w:tc>
          <w:tcPr>
            <w:tcW w:w="3205" w:type="dxa"/>
            <w:vAlign w:val="center"/>
          </w:tcPr>
          <w:p w14:paraId="24E55C1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清单质控预警结果查看</w:t>
            </w:r>
          </w:p>
        </w:tc>
        <w:tc>
          <w:tcPr>
            <w:tcW w:w="1099" w:type="dxa"/>
            <w:vAlign w:val="center"/>
          </w:tcPr>
          <w:p w14:paraId="12BBF61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b/>
                <w:bCs/>
                <w:i w:val="0"/>
                <w:iCs w:val="0"/>
                <w:color w:val="000000"/>
                <w:kern w:val="0"/>
                <w:sz w:val="21"/>
                <w:szCs w:val="21"/>
                <w:u w:val="none"/>
                <w:lang w:val="en-US" w:eastAsia="zh-CN" w:bidi="ar"/>
              </w:rPr>
              <w:t>▲</w:t>
            </w:r>
          </w:p>
        </w:tc>
      </w:tr>
      <w:tr w14:paraId="30339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2257DA1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418A7D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384F34D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55FD6A9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244</w:t>
            </w:r>
          </w:p>
        </w:tc>
        <w:tc>
          <w:tcPr>
            <w:tcW w:w="3205" w:type="dxa"/>
            <w:vAlign w:val="center"/>
          </w:tcPr>
          <w:p w14:paraId="2B8333A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医保结算清单评分</w:t>
            </w:r>
          </w:p>
        </w:tc>
        <w:tc>
          <w:tcPr>
            <w:tcW w:w="1099" w:type="dxa"/>
            <w:vAlign w:val="center"/>
          </w:tcPr>
          <w:p w14:paraId="028375A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3BC4E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301D7CB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594A38C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148DC57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7359CD7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245</w:t>
            </w:r>
          </w:p>
        </w:tc>
        <w:tc>
          <w:tcPr>
            <w:tcW w:w="3205" w:type="dxa"/>
            <w:vAlign w:val="center"/>
          </w:tcPr>
          <w:p w14:paraId="22BFB28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清单完整性校验</w:t>
            </w:r>
          </w:p>
        </w:tc>
        <w:tc>
          <w:tcPr>
            <w:tcW w:w="1099" w:type="dxa"/>
            <w:vAlign w:val="center"/>
          </w:tcPr>
          <w:p w14:paraId="14B6F24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742BE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3916802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0B6E03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2B38D9E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3D7A094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246</w:t>
            </w:r>
          </w:p>
        </w:tc>
        <w:tc>
          <w:tcPr>
            <w:tcW w:w="3205" w:type="dxa"/>
            <w:vAlign w:val="center"/>
          </w:tcPr>
          <w:p w14:paraId="6F046FB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清单多字段联合逻辑校验</w:t>
            </w:r>
          </w:p>
        </w:tc>
        <w:tc>
          <w:tcPr>
            <w:tcW w:w="1099" w:type="dxa"/>
            <w:vAlign w:val="center"/>
          </w:tcPr>
          <w:p w14:paraId="400005A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2C13B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E11A7F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3AE625D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3F7FCE1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2E1C56E7">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247</w:t>
            </w:r>
          </w:p>
        </w:tc>
        <w:tc>
          <w:tcPr>
            <w:tcW w:w="3205" w:type="dxa"/>
            <w:vAlign w:val="center"/>
          </w:tcPr>
          <w:p w14:paraId="50206EFB">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清单费用监控，异常基准率预警</w:t>
            </w:r>
          </w:p>
        </w:tc>
        <w:tc>
          <w:tcPr>
            <w:tcW w:w="1099" w:type="dxa"/>
            <w:vAlign w:val="center"/>
          </w:tcPr>
          <w:p w14:paraId="4347653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3D9B3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EACBC94">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24DFAF3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7DC44B7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5C93255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248</w:t>
            </w:r>
          </w:p>
        </w:tc>
        <w:tc>
          <w:tcPr>
            <w:tcW w:w="3205" w:type="dxa"/>
            <w:vAlign w:val="center"/>
          </w:tcPr>
          <w:p w14:paraId="5060CFE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DIP预分组（未入组预警）</w:t>
            </w:r>
          </w:p>
        </w:tc>
        <w:tc>
          <w:tcPr>
            <w:tcW w:w="1099" w:type="dxa"/>
            <w:vAlign w:val="center"/>
          </w:tcPr>
          <w:p w14:paraId="002F8ACF">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2CCFC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FA236D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4C8646E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15B188F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5F5BAFB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249</w:t>
            </w:r>
          </w:p>
        </w:tc>
        <w:tc>
          <w:tcPr>
            <w:tcW w:w="3205" w:type="dxa"/>
            <w:vAlign w:val="center"/>
          </w:tcPr>
          <w:p w14:paraId="70C657A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支持医保编码调整、拖动排序</w:t>
            </w:r>
          </w:p>
        </w:tc>
        <w:tc>
          <w:tcPr>
            <w:tcW w:w="1099" w:type="dxa"/>
            <w:vAlign w:val="center"/>
          </w:tcPr>
          <w:p w14:paraId="3C313610">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b/>
                <w:bCs/>
                <w:i w:val="0"/>
                <w:iCs w:val="0"/>
                <w:color w:val="000000"/>
                <w:kern w:val="0"/>
                <w:sz w:val="21"/>
                <w:szCs w:val="21"/>
                <w:u w:val="none"/>
                <w:lang w:val="en-US" w:eastAsia="zh-CN" w:bidi="ar"/>
              </w:rPr>
              <w:t>▲</w:t>
            </w:r>
          </w:p>
        </w:tc>
      </w:tr>
      <w:tr w14:paraId="3FAF6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FFC1B66">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0D1674BD">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3C7057D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1CF7916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250</w:t>
            </w:r>
          </w:p>
        </w:tc>
        <w:tc>
          <w:tcPr>
            <w:tcW w:w="3205" w:type="dxa"/>
            <w:vAlign w:val="center"/>
          </w:tcPr>
          <w:p w14:paraId="33CDB3B6">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支持医保编码质控（基于国家编码规范）</w:t>
            </w:r>
          </w:p>
        </w:tc>
        <w:tc>
          <w:tcPr>
            <w:tcW w:w="1099" w:type="dxa"/>
            <w:vAlign w:val="center"/>
          </w:tcPr>
          <w:p w14:paraId="69F25F0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498FDD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A992F32">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0A7A608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3BAF284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2D9B169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251</w:t>
            </w:r>
          </w:p>
        </w:tc>
        <w:tc>
          <w:tcPr>
            <w:tcW w:w="3205" w:type="dxa"/>
            <w:vAlign w:val="center"/>
          </w:tcPr>
          <w:p w14:paraId="162A586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患者首页下探查询</w:t>
            </w:r>
          </w:p>
        </w:tc>
        <w:tc>
          <w:tcPr>
            <w:tcW w:w="1099" w:type="dxa"/>
            <w:vAlign w:val="center"/>
          </w:tcPr>
          <w:p w14:paraId="05FE7DBB">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1E169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893" w:type="dxa"/>
            <w:vMerge w:val="continue"/>
            <w:vAlign w:val="center"/>
          </w:tcPr>
          <w:p w14:paraId="124B96A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0D672AE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1D82DD4A">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306ECFE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252</w:t>
            </w:r>
          </w:p>
        </w:tc>
        <w:tc>
          <w:tcPr>
            <w:tcW w:w="3205" w:type="dxa"/>
            <w:vAlign w:val="center"/>
          </w:tcPr>
          <w:p w14:paraId="0ABDBB6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收费明细下探查询</w:t>
            </w:r>
          </w:p>
        </w:tc>
        <w:tc>
          <w:tcPr>
            <w:tcW w:w="1099" w:type="dxa"/>
            <w:vAlign w:val="center"/>
          </w:tcPr>
          <w:p w14:paraId="0274D0D7">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06390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79E49C7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restart"/>
            <w:vAlign w:val="center"/>
          </w:tcPr>
          <w:p w14:paraId="723D24C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医保清单回传</w:t>
            </w:r>
          </w:p>
        </w:tc>
        <w:tc>
          <w:tcPr>
            <w:tcW w:w="2384" w:type="dxa"/>
            <w:vMerge w:val="restart"/>
            <w:vAlign w:val="center"/>
          </w:tcPr>
          <w:p w14:paraId="05C4F6C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支持与HIS对接质控后的医保结算清单数据，审核后，由HIS上传医保局，减少其中清单问题。</w:t>
            </w:r>
          </w:p>
        </w:tc>
        <w:tc>
          <w:tcPr>
            <w:tcW w:w="656" w:type="dxa"/>
            <w:vAlign w:val="center"/>
          </w:tcPr>
          <w:p w14:paraId="57E1ADF8">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253</w:t>
            </w:r>
          </w:p>
        </w:tc>
        <w:tc>
          <w:tcPr>
            <w:tcW w:w="3205" w:type="dxa"/>
            <w:vAlign w:val="center"/>
          </w:tcPr>
          <w:p w14:paraId="208746E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清单质控后数据回传HIS，由HIS上报数据至医保接口</w:t>
            </w:r>
          </w:p>
        </w:tc>
        <w:tc>
          <w:tcPr>
            <w:tcW w:w="1099" w:type="dxa"/>
            <w:vAlign w:val="center"/>
          </w:tcPr>
          <w:p w14:paraId="1872C57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b/>
                <w:bCs/>
                <w:i w:val="0"/>
                <w:iCs w:val="0"/>
                <w:color w:val="000000"/>
                <w:kern w:val="0"/>
                <w:sz w:val="21"/>
                <w:szCs w:val="21"/>
                <w:u w:val="none"/>
                <w:lang w:val="en-US" w:eastAsia="zh-CN" w:bidi="ar"/>
              </w:rPr>
              <w:t>▲</w:t>
            </w:r>
          </w:p>
        </w:tc>
      </w:tr>
      <w:tr w14:paraId="65989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3" w:type="dxa"/>
            <w:vMerge w:val="continue"/>
            <w:vAlign w:val="center"/>
          </w:tcPr>
          <w:p w14:paraId="443D35A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74D8589C">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57214169">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78048F96">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254</w:t>
            </w:r>
          </w:p>
        </w:tc>
        <w:tc>
          <w:tcPr>
            <w:tcW w:w="3205" w:type="dxa"/>
            <w:vAlign w:val="center"/>
          </w:tcPr>
          <w:p w14:paraId="1BC244AA">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质控后清单一览表</w:t>
            </w:r>
          </w:p>
        </w:tc>
        <w:tc>
          <w:tcPr>
            <w:tcW w:w="1099" w:type="dxa"/>
            <w:vAlign w:val="center"/>
          </w:tcPr>
          <w:p w14:paraId="2975C8A0">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28D77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7" w:hRule="atLeast"/>
        </w:trPr>
        <w:tc>
          <w:tcPr>
            <w:tcW w:w="893" w:type="dxa"/>
            <w:vMerge w:val="continue"/>
            <w:vAlign w:val="center"/>
          </w:tcPr>
          <w:p w14:paraId="3073DD75">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880" w:type="dxa"/>
            <w:vMerge w:val="continue"/>
            <w:vAlign w:val="center"/>
          </w:tcPr>
          <w:p w14:paraId="6D6194F8">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2384" w:type="dxa"/>
            <w:vMerge w:val="continue"/>
            <w:vAlign w:val="center"/>
          </w:tcPr>
          <w:p w14:paraId="3B51FDA3">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c>
          <w:tcPr>
            <w:tcW w:w="656" w:type="dxa"/>
            <w:vAlign w:val="center"/>
          </w:tcPr>
          <w:p w14:paraId="3378A2C5">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center"/>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255</w:t>
            </w:r>
          </w:p>
        </w:tc>
        <w:tc>
          <w:tcPr>
            <w:tcW w:w="3205" w:type="dxa"/>
            <w:vAlign w:val="center"/>
          </w:tcPr>
          <w:p w14:paraId="1488BF81">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sz w:val="21"/>
                <w:szCs w:val="21"/>
                <w:vertAlign w:val="baseline"/>
                <w:lang w:val="en-US" w:eastAsia="zh-CN"/>
              </w:rPr>
            </w:pPr>
            <w:r>
              <w:rPr>
                <w:rFonts w:hint="eastAsia" w:ascii="宋体" w:hAnsi="宋体" w:eastAsia="宋体" w:cs="宋体"/>
                <w:i w:val="0"/>
                <w:iCs w:val="0"/>
                <w:color w:val="000000"/>
                <w:kern w:val="0"/>
                <w:sz w:val="21"/>
                <w:szCs w:val="21"/>
                <w:u w:val="none"/>
                <w:lang w:val="en-US" w:eastAsia="zh-CN" w:bidi="ar"/>
              </w:rPr>
              <w:t>上传记录及结果查询</w:t>
            </w:r>
          </w:p>
        </w:tc>
        <w:tc>
          <w:tcPr>
            <w:tcW w:w="1099" w:type="dxa"/>
            <w:vAlign w:val="center"/>
          </w:tcPr>
          <w:p w14:paraId="1FBE9661">
            <w:pPr>
              <w:keepNext w:val="0"/>
              <w:keepLines w:val="0"/>
              <w:pageBreakBefore w:val="0"/>
              <w:widowControl/>
              <w:kinsoku/>
              <w:wordWrap/>
              <w:overflowPunct/>
              <w:topLinePunct w:val="0"/>
              <w:autoSpaceDE/>
              <w:autoSpaceDN/>
              <w:bidi w:val="0"/>
              <w:adjustRightInd/>
              <w:snapToGrid/>
              <w:spacing w:line="400" w:lineRule="exact"/>
              <w:ind w:firstLine="0" w:firstLineChars="0"/>
              <w:jc w:val="center"/>
              <w:rPr>
                <w:rFonts w:hint="eastAsia"/>
                <w:sz w:val="21"/>
                <w:szCs w:val="21"/>
                <w:vertAlign w:val="baseline"/>
                <w:lang w:val="en-US" w:eastAsia="zh-CN"/>
              </w:rPr>
            </w:pPr>
          </w:p>
        </w:tc>
      </w:tr>
      <w:tr w14:paraId="209EE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17" w:type="dxa"/>
            <w:gridSpan w:val="6"/>
            <w:vAlign w:val="center"/>
          </w:tcPr>
          <w:p w14:paraId="7DEB7C26">
            <w:pPr>
              <w:keepNext w:val="0"/>
              <w:keepLines w:val="0"/>
              <w:pageBreakBefore w:val="0"/>
              <w:widowControl/>
              <w:tabs>
                <w:tab w:val="left" w:pos="767"/>
              </w:tabs>
              <w:kinsoku/>
              <w:wordWrap/>
              <w:overflowPunct/>
              <w:topLinePunct w:val="0"/>
              <w:autoSpaceDE/>
              <w:autoSpaceDN/>
              <w:bidi w:val="0"/>
              <w:adjustRightInd/>
              <w:snapToGrid/>
              <w:spacing w:line="400" w:lineRule="exact"/>
              <w:ind w:firstLine="0" w:firstLineChars="0"/>
              <w:jc w:val="left"/>
              <w:rPr>
                <w:rFonts w:hint="eastAsia"/>
                <w:sz w:val="21"/>
                <w:szCs w:val="21"/>
                <w:vertAlign w:val="baseline"/>
                <w:lang w:val="en-US" w:eastAsia="zh-CN"/>
              </w:rPr>
            </w:pPr>
            <w:r>
              <w:rPr>
                <w:rFonts w:hint="eastAsia"/>
                <w:sz w:val="21"/>
                <w:szCs w:val="21"/>
                <w:vertAlign w:val="baseline"/>
                <w:lang w:val="en-US" w:eastAsia="zh-CN"/>
              </w:rPr>
              <w:tab/>
            </w:r>
            <w:r>
              <w:rPr>
                <w:rFonts w:hint="eastAsia" w:ascii="宋体" w:hAnsi="宋体" w:eastAsia="宋体" w:cs="宋体"/>
                <w:kern w:val="0"/>
                <w:sz w:val="24"/>
                <w:szCs w:val="24"/>
                <w:lang w:val="en-US" w:eastAsia="zh-CN" w:bidi="ar"/>
              </w:rPr>
              <w:t>接口改造：成交供应商需负责医院第三方系统（HIS、电子病历、省病案管理系统等）第三方系统数据对接及系统改造费用。</w:t>
            </w:r>
          </w:p>
        </w:tc>
      </w:tr>
    </w:tbl>
    <w:p w14:paraId="2FF15880">
      <w:pPr>
        <w:numPr>
          <w:ilvl w:val="0"/>
          <w:numId w:val="0"/>
        </w:numPr>
        <w:adjustRightInd w:val="0"/>
        <w:spacing w:after="0" w:line="360" w:lineRule="auto"/>
        <w:ind w:firstLine="562" w:firstLineChars="200"/>
        <w:rPr>
          <w:rFonts w:hint="eastAsia" w:ascii="宋体" w:hAnsi="宋体" w:eastAsia="宋体"/>
          <w:b/>
          <w:bCs w:val="0"/>
          <w:sz w:val="28"/>
          <w:szCs w:val="28"/>
          <w:lang w:val="en-US" w:eastAsia="zh-CN"/>
        </w:rPr>
      </w:pPr>
    </w:p>
    <w:p w14:paraId="20D60C16">
      <w:pPr>
        <w:numPr>
          <w:ilvl w:val="0"/>
          <w:numId w:val="0"/>
        </w:numPr>
        <w:adjustRightInd w:val="0"/>
        <w:spacing w:after="0" w:line="360" w:lineRule="auto"/>
        <w:ind w:firstLine="562" w:firstLineChars="200"/>
        <w:rPr>
          <w:rFonts w:hint="eastAsia" w:ascii="宋体" w:hAnsi="宋体" w:eastAsia="宋体"/>
          <w:b/>
          <w:bCs w:val="0"/>
          <w:sz w:val="28"/>
          <w:szCs w:val="28"/>
          <w:lang w:val="en-US" w:eastAsia="zh-CN"/>
        </w:rPr>
      </w:pPr>
      <w:r>
        <w:rPr>
          <w:rFonts w:hint="eastAsia" w:ascii="宋体" w:hAnsi="宋体" w:eastAsia="宋体"/>
          <w:b/>
          <w:bCs w:val="0"/>
          <w:sz w:val="28"/>
          <w:szCs w:val="28"/>
          <w:lang w:val="en-US" w:eastAsia="zh-CN"/>
        </w:rPr>
        <w:t>(二）超融合系统服务器</w:t>
      </w:r>
    </w:p>
    <w:p w14:paraId="6FACCF59">
      <w:pPr>
        <w:keepNext w:val="0"/>
        <w:keepLines w:val="0"/>
        <w:pageBreakBefore w:val="0"/>
        <w:widowControl/>
        <w:tabs>
          <w:tab w:val="left" w:pos="767"/>
        </w:tabs>
        <w:kinsoku/>
        <w:wordWrap/>
        <w:overflowPunct/>
        <w:topLinePunct w:val="0"/>
        <w:autoSpaceDE/>
        <w:autoSpaceDN/>
        <w:bidi w:val="0"/>
        <w:adjustRightInd/>
        <w:snapToGrid/>
        <w:spacing w:line="400" w:lineRule="exact"/>
        <w:ind w:firstLine="480" w:firstLineChars="200"/>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作为全院结算类业务核心算力与存储硬件底座，承载医院精细化管理系统稳定运行，负责医保结算数据、收费流水、患者缴费记录、医保对账明细、财务收支数据等核心金融类数据集中存储、运算与安全防护。</w:t>
      </w:r>
    </w:p>
    <w:p w14:paraId="1FA6951F">
      <w:pPr>
        <w:keepNext w:val="0"/>
        <w:keepLines w:val="0"/>
        <w:pageBreakBefore w:val="0"/>
        <w:widowControl/>
        <w:tabs>
          <w:tab w:val="left" w:pos="767"/>
        </w:tabs>
        <w:kinsoku/>
        <w:wordWrap/>
        <w:overflowPunct/>
        <w:topLinePunct w:val="0"/>
        <w:autoSpaceDE/>
        <w:autoSpaceDN/>
        <w:bidi w:val="0"/>
        <w:adjustRightInd/>
        <w:snapToGrid/>
        <w:spacing w:line="400" w:lineRule="exact"/>
        <w:ind w:firstLine="0" w:firstLineChars="0"/>
        <w:jc w:val="left"/>
        <w:rPr>
          <w:rFonts w:hint="default" w:ascii="宋体" w:hAnsi="宋体" w:eastAsia="宋体" w:cs="宋体"/>
          <w:kern w:val="0"/>
          <w:sz w:val="24"/>
          <w:szCs w:val="24"/>
          <w:lang w:val="en-US" w:eastAsia="zh-CN" w:bidi="ar"/>
        </w:rPr>
      </w:pPr>
      <w:r>
        <w:rPr>
          <w:rFonts w:hint="eastAsia" w:ascii="宋体" w:hAnsi="宋体" w:eastAsia="宋体" w:cs="宋体"/>
          <w:b/>
          <w:bCs/>
          <w:kern w:val="0"/>
          <w:sz w:val="24"/>
          <w:szCs w:val="24"/>
          <w:lang w:val="en-US" w:eastAsia="zh-CN" w:bidi="ar"/>
        </w:rPr>
        <w:t>功能参数建设要求：（超融合服务器和虚拟化授权同一品牌：1台）</w:t>
      </w:r>
    </w:p>
    <w:tbl>
      <w:tblPr>
        <w:tblStyle w:val="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1604E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417" w:type="pct"/>
            <w:vAlign w:val="center"/>
          </w:tcPr>
          <w:p w14:paraId="54A65B10">
            <w:pPr>
              <w:adjustRightInd w:val="0"/>
              <w:spacing w:after="0" w:line="360" w:lineRule="auto"/>
              <w:jc w:val="center"/>
              <w:rPr>
                <w:rFonts w:hint="eastAsia" w:ascii="宋体" w:hAnsi="宋体" w:eastAsia="宋体"/>
                <w:b/>
                <w:sz w:val="21"/>
                <w:szCs w:val="21"/>
              </w:rPr>
            </w:pPr>
            <w:r>
              <w:rPr>
                <w:rFonts w:ascii="宋体" w:hAnsi="宋体" w:eastAsia="宋体"/>
                <w:b/>
                <w:sz w:val="21"/>
                <w:szCs w:val="21"/>
              </w:rPr>
              <w:t>序号</w:t>
            </w:r>
          </w:p>
        </w:tc>
        <w:tc>
          <w:tcPr>
            <w:tcW w:w="4582" w:type="pct"/>
            <w:vAlign w:val="center"/>
          </w:tcPr>
          <w:p w14:paraId="7E0EC87B">
            <w:pPr>
              <w:adjustRightInd w:val="0"/>
              <w:spacing w:after="0" w:line="360" w:lineRule="auto"/>
              <w:jc w:val="center"/>
              <w:rPr>
                <w:rFonts w:hint="eastAsia" w:ascii="宋体" w:hAnsi="宋体" w:eastAsia="宋体"/>
                <w:sz w:val="21"/>
                <w:szCs w:val="21"/>
              </w:rPr>
            </w:pPr>
            <w:r>
              <w:rPr>
                <w:rFonts w:ascii="宋体" w:hAnsi="宋体" w:eastAsia="宋体"/>
                <w:b/>
                <w:sz w:val="21"/>
                <w:szCs w:val="21"/>
              </w:rPr>
              <w:t>详细技术参数</w:t>
            </w:r>
          </w:p>
        </w:tc>
      </w:tr>
      <w:tr w14:paraId="6BB34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17" w:type="pct"/>
            <w:vAlign w:val="center"/>
          </w:tcPr>
          <w:p w14:paraId="139522CD">
            <w:pPr>
              <w:pStyle w:val="12"/>
              <w:numPr>
                <w:ilvl w:val="0"/>
                <w:numId w:val="3"/>
              </w:numPr>
              <w:adjustRightInd w:val="0"/>
              <w:spacing w:after="0" w:line="360" w:lineRule="auto"/>
              <w:ind w:left="660" w:leftChars="0" w:firstLineChars="0"/>
              <w:jc w:val="center"/>
              <w:rPr>
                <w:rFonts w:hint="eastAsia" w:ascii="宋体" w:hAnsi="宋体" w:eastAsia="宋体"/>
                <w:sz w:val="21"/>
                <w:szCs w:val="21"/>
              </w:rPr>
            </w:pPr>
          </w:p>
        </w:tc>
        <w:tc>
          <w:tcPr>
            <w:tcW w:w="4582" w:type="pct"/>
            <w:vAlign w:val="center"/>
          </w:tcPr>
          <w:p w14:paraId="530AD7C2">
            <w:pPr>
              <w:adjustRightInd w:val="0"/>
              <w:spacing w:after="0" w:line="360" w:lineRule="auto"/>
              <w:rPr>
                <w:rFonts w:hint="eastAsia" w:ascii="宋体" w:hAnsi="宋体" w:eastAsia="宋体"/>
                <w:sz w:val="21"/>
                <w:szCs w:val="21"/>
              </w:rPr>
            </w:pPr>
            <w:r>
              <w:rPr>
                <w:rFonts w:ascii="宋体" w:hAnsi="宋体" w:eastAsia="宋体"/>
                <w:sz w:val="21"/>
                <w:szCs w:val="21"/>
              </w:rPr>
              <w:t>规格：2U机架式</w:t>
            </w:r>
          </w:p>
        </w:tc>
      </w:tr>
      <w:tr w14:paraId="43C2A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17" w:type="pct"/>
            <w:vAlign w:val="center"/>
          </w:tcPr>
          <w:p w14:paraId="1BB73FC1">
            <w:pPr>
              <w:pStyle w:val="12"/>
              <w:numPr>
                <w:ilvl w:val="0"/>
                <w:numId w:val="3"/>
              </w:numPr>
              <w:adjustRightInd w:val="0"/>
              <w:spacing w:after="0" w:line="360" w:lineRule="auto"/>
              <w:ind w:left="660" w:leftChars="0" w:firstLineChars="0"/>
              <w:jc w:val="center"/>
              <w:rPr>
                <w:rFonts w:hint="eastAsia" w:ascii="宋体" w:hAnsi="宋体" w:eastAsia="宋体"/>
                <w:sz w:val="21"/>
                <w:szCs w:val="21"/>
              </w:rPr>
            </w:pPr>
          </w:p>
        </w:tc>
        <w:tc>
          <w:tcPr>
            <w:tcW w:w="4582" w:type="pct"/>
            <w:vAlign w:val="center"/>
          </w:tcPr>
          <w:p w14:paraId="649F5CAC">
            <w:pPr>
              <w:adjustRightInd w:val="0"/>
              <w:spacing w:after="0" w:line="360" w:lineRule="auto"/>
              <w:rPr>
                <w:rFonts w:hint="eastAsia" w:ascii="宋体" w:hAnsi="宋体" w:eastAsia="宋体"/>
                <w:sz w:val="21"/>
                <w:szCs w:val="21"/>
              </w:rPr>
            </w:pPr>
            <w:r>
              <w:rPr>
                <w:rFonts w:ascii="宋体" w:hAnsi="宋体" w:eastAsia="宋体"/>
                <w:sz w:val="21"/>
                <w:szCs w:val="21"/>
              </w:rPr>
              <w:t>CPU：配备2颗CPU；每颗CPU物理核心数≥</w:t>
            </w:r>
            <w:r>
              <w:rPr>
                <w:rFonts w:hint="eastAsia" w:ascii="宋体" w:hAnsi="宋体" w:eastAsia="宋体"/>
                <w:sz w:val="21"/>
                <w:szCs w:val="21"/>
              </w:rPr>
              <w:t>16</w:t>
            </w:r>
            <w:r>
              <w:rPr>
                <w:rFonts w:ascii="宋体" w:hAnsi="宋体" w:eastAsia="宋体"/>
                <w:sz w:val="21"/>
                <w:szCs w:val="21"/>
              </w:rPr>
              <w:t>个，CPU主频不低于</w:t>
            </w:r>
            <w:r>
              <w:rPr>
                <w:rFonts w:hint="eastAsia" w:ascii="宋体" w:hAnsi="宋体" w:eastAsia="宋体"/>
                <w:sz w:val="21"/>
                <w:szCs w:val="21"/>
              </w:rPr>
              <w:t>3.0</w:t>
            </w:r>
            <w:r>
              <w:rPr>
                <w:rFonts w:ascii="宋体" w:hAnsi="宋体" w:eastAsia="宋体"/>
                <w:sz w:val="21"/>
                <w:szCs w:val="21"/>
              </w:rPr>
              <w:t>GHZ</w:t>
            </w:r>
          </w:p>
        </w:tc>
      </w:tr>
      <w:tr w14:paraId="3800D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17" w:type="pct"/>
            <w:vAlign w:val="center"/>
          </w:tcPr>
          <w:p w14:paraId="50144AD4">
            <w:pPr>
              <w:pStyle w:val="12"/>
              <w:numPr>
                <w:ilvl w:val="0"/>
                <w:numId w:val="3"/>
              </w:numPr>
              <w:adjustRightInd w:val="0"/>
              <w:spacing w:after="0" w:line="360" w:lineRule="auto"/>
              <w:ind w:left="660" w:leftChars="0" w:firstLineChars="0"/>
              <w:jc w:val="center"/>
              <w:rPr>
                <w:rFonts w:hint="eastAsia" w:ascii="宋体" w:hAnsi="宋体" w:eastAsia="宋体"/>
                <w:sz w:val="21"/>
                <w:szCs w:val="21"/>
              </w:rPr>
            </w:pPr>
          </w:p>
        </w:tc>
        <w:tc>
          <w:tcPr>
            <w:tcW w:w="4582" w:type="pct"/>
            <w:vAlign w:val="center"/>
          </w:tcPr>
          <w:p w14:paraId="01EC7DBE">
            <w:pPr>
              <w:adjustRightInd w:val="0"/>
              <w:spacing w:after="0" w:line="360" w:lineRule="auto"/>
              <w:rPr>
                <w:rFonts w:hint="eastAsia" w:ascii="宋体" w:hAnsi="宋体" w:eastAsia="宋体"/>
                <w:sz w:val="21"/>
                <w:szCs w:val="21"/>
              </w:rPr>
            </w:pPr>
            <w:r>
              <w:rPr>
                <w:rFonts w:ascii="宋体" w:hAnsi="宋体" w:eastAsia="宋体"/>
                <w:sz w:val="21"/>
                <w:szCs w:val="21"/>
              </w:rPr>
              <w:t>内存：≥</w:t>
            </w:r>
            <w:r>
              <w:rPr>
                <w:rFonts w:hint="eastAsia" w:ascii="宋体" w:hAnsi="宋体" w:eastAsia="宋体"/>
                <w:sz w:val="21"/>
                <w:szCs w:val="21"/>
              </w:rPr>
              <w:t>4</w:t>
            </w:r>
            <w:r>
              <w:rPr>
                <w:rFonts w:ascii="宋体" w:hAnsi="宋体" w:eastAsia="宋体"/>
                <w:sz w:val="21"/>
                <w:szCs w:val="21"/>
              </w:rPr>
              <w:t>×32GB DDR5</w:t>
            </w:r>
            <w:r>
              <w:rPr>
                <w:rFonts w:hint="eastAsia" w:ascii="宋体" w:hAnsi="宋体" w:eastAsia="宋体"/>
                <w:sz w:val="21"/>
                <w:szCs w:val="21"/>
              </w:rPr>
              <w:t xml:space="preserve"> </w:t>
            </w:r>
            <w:r>
              <w:rPr>
                <w:rFonts w:ascii="宋体" w:hAnsi="宋体" w:eastAsia="宋体"/>
                <w:sz w:val="21"/>
                <w:szCs w:val="21"/>
              </w:rPr>
              <w:t>5600</w:t>
            </w:r>
          </w:p>
        </w:tc>
      </w:tr>
      <w:tr w14:paraId="3FD48B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17" w:type="pct"/>
            <w:vAlign w:val="center"/>
          </w:tcPr>
          <w:p w14:paraId="52C5C803">
            <w:pPr>
              <w:pStyle w:val="12"/>
              <w:numPr>
                <w:ilvl w:val="0"/>
                <w:numId w:val="3"/>
              </w:numPr>
              <w:adjustRightInd w:val="0"/>
              <w:spacing w:after="0" w:line="360" w:lineRule="auto"/>
              <w:ind w:left="660" w:leftChars="0" w:firstLineChars="0"/>
              <w:jc w:val="center"/>
              <w:rPr>
                <w:rFonts w:ascii="宋体" w:hAnsi="宋体" w:eastAsia="宋体"/>
                <w:sz w:val="21"/>
                <w:szCs w:val="21"/>
                <w:highlight w:val="none"/>
              </w:rPr>
            </w:pPr>
          </w:p>
        </w:tc>
        <w:tc>
          <w:tcPr>
            <w:tcW w:w="4582" w:type="pct"/>
            <w:vAlign w:val="center"/>
          </w:tcPr>
          <w:p w14:paraId="745F2C97">
            <w:pPr>
              <w:adjustRightInd w:val="0"/>
              <w:spacing w:after="0" w:line="360" w:lineRule="auto"/>
              <w:rPr>
                <w:rFonts w:hint="eastAsia" w:ascii="宋体" w:hAnsi="宋体" w:eastAsia="宋体"/>
                <w:sz w:val="21"/>
                <w:szCs w:val="21"/>
                <w:highlight w:val="none"/>
              </w:rPr>
            </w:pPr>
            <w:r>
              <w:rPr>
                <w:rFonts w:hint="eastAsia" w:ascii="宋体" w:hAnsi="宋体" w:eastAsia="宋体"/>
                <w:sz w:val="21"/>
                <w:szCs w:val="21"/>
                <w:highlight w:val="none"/>
                <w:lang w:val="en-US" w:eastAsia="zh-CN"/>
              </w:rPr>
              <w:t>硬盘：</w:t>
            </w:r>
            <w:r>
              <w:rPr>
                <w:rFonts w:ascii="宋体" w:hAnsi="宋体" w:eastAsia="宋体"/>
                <w:sz w:val="21"/>
                <w:szCs w:val="21"/>
                <w:highlight w:val="none"/>
              </w:rPr>
              <w:t>≥2</w:t>
            </w:r>
            <w:r>
              <w:rPr>
                <w:rFonts w:hint="eastAsia" w:ascii="宋体" w:hAnsi="宋体" w:eastAsia="宋体"/>
                <w:sz w:val="21"/>
                <w:szCs w:val="21"/>
                <w:highlight w:val="none"/>
                <w:lang w:val="en-US" w:eastAsia="zh-CN"/>
              </w:rPr>
              <w:t>*</w:t>
            </w:r>
            <w:r>
              <w:rPr>
                <w:rFonts w:hint="eastAsia" w:ascii="宋体" w:hAnsi="宋体" w:eastAsia="宋体"/>
                <w:sz w:val="21"/>
                <w:szCs w:val="21"/>
                <w:highlight w:val="none"/>
              </w:rPr>
              <w:t>48</w:t>
            </w:r>
            <w:r>
              <w:rPr>
                <w:rFonts w:ascii="宋体" w:hAnsi="宋体" w:eastAsia="宋体"/>
                <w:sz w:val="21"/>
                <w:szCs w:val="21"/>
                <w:highlight w:val="none"/>
              </w:rPr>
              <w:t>0G SSD硬盘；</w:t>
            </w:r>
            <w:r>
              <w:rPr>
                <w:rFonts w:hint="eastAsia" w:ascii="宋体" w:hAnsi="宋体" w:eastAsia="宋体"/>
                <w:sz w:val="21"/>
                <w:szCs w:val="21"/>
                <w:highlight w:val="none"/>
                <w:lang w:val="en-US" w:eastAsia="zh-CN"/>
              </w:rPr>
              <w:t>2*1.92T SSD</w:t>
            </w:r>
          </w:p>
        </w:tc>
      </w:tr>
      <w:tr w14:paraId="1BA080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17" w:type="pct"/>
            <w:vAlign w:val="center"/>
          </w:tcPr>
          <w:p w14:paraId="184C1DC0">
            <w:pPr>
              <w:pStyle w:val="12"/>
              <w:numPr>
                <w:ilvl w:val="0"/>
                <w:numId w:val="3"/>
              </w:numPr>
              <w:adjustRightInd w:val="0"/>
              <w:spacing w:after="0" w:line="360" w:lineRule="auto"/>
              <w:ind w:left="660" w:leftChars="0" w:firstLineChars="0"/>
              <w:jc w:val="center"/>
              <w:rPr>
                <w:rFonts w:ascii="宋体" w:hAnsi="宋体" w:eastAsia="宋体"/>
                <w:sz w:val="21"/>
                <w:szCs w:val="21"/>
                <w:highlight w:val="none"/>
              </w:rPr>
            </w:pPr>
          </w:p>
        </w:tc>
        <w:tc>
          <w:tcPr>
            <w:tcW w:w="4582" w:type="pct"/>
            <w:vAlign w:val="center"/>
          </w:tcPr>
          <w:p w14:paraId="77DE6AD3">
            <w:pPr>
              <w:adjustRightInd w:val="0"/>
              <w:spacing w:after="0" w:line="360" w:lineRule="auto"/>
              <w:rPr>
                <w:rFonts w:hint="default" w:ascii="宋体" w:hAnsi="宋体" w:eastAsia="宋体"/>
                <w:sz w:val="21"/>
                <w:szCs w:val="21"/>
                <w:highlight w:val="none"/>
                <w:lang w:val="en-US" w:eastAsia="zh-CN"/>
              </w:rPr>
            </w:pPr>
            <w:r>
              <w:rPr>
                <w:rFonts w:ascii="宋体" w:hAnsi="宋体" w:eastAsia="宋体"/>
                <w:b w:val="0"/>
                <w:bCs w:val="0"/>
                <w:sz w:val="21"/>
                <w:szCs w:val="21"/>
                <w:highlight w:val="none"/>
              </w:rPr>
              <w:t>网卡：</w:t>
            </w:r>
            <w:r>
              <w:rPr>
                <w:rFonts w:ascii="宋体" w:hAnsi="宋体" w:eastAsia="宋体"/>
                <w:sz w:val="21"/>
                <w:szCs w:val="21"/>
                <w:highlight w:val="none"/>
              </w:rPr>
              <w:t>≥4个GE电口，≥2个10GE光口</w:t>
            </w:r>
          </w:p>
        </w:tc>
      </w:tr>
      <w:tr w14:paraId="63E46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17" w:type="pct"/>
            <w:vAlign w:val="center"/>
          </w:tcPr>
          <w:p w14:paraId="69971E57">
            <w:pPr>
              <w:pStyle w:val="12"/>
              <w:numPr>
                <w:ilvl w:val="0"/>
                <w:numId w:val="3"/>
              </w:numPr>
              <w:adjustRightInd w:val="0"/>
              <w:spacing w:after="0" w:line="360" w:lineRule="auto"/>
              <w:ind w:left="660" w:leftChars="0" w:firstLineChars="0"/>
              <w:jc w:val="center"/>
              <w:rPr>
                <w:rFonts w:ascii="宋体" w:hAnsi="宋体" w:eastAsia="宋体"/>
                <w:sz w:val="21"/>
                <w:szCs w:val="21"/>
                <w:highlight w:val="none"/>
              </w:rPr>
            </w:pPr>
          </w:p>
        </w:tc>
        <w:tc>
          <w:tcPr>
            <w:tcW w:w="4582" w:type="pct"/>
            <w:vAlign w:val="center"/>
          </w:tcPr>
          <w:p w14:paraId="638FCF22">
            <w:pPr>
              <w:adjustRightInd w:val="0"/>
              <w:spacing w:after="0" w:line="360" w:lineRule="auto"/>
              <w:rPr>
                <w:rFonts w:ascii="宋体" w:hAnsi="宋体" w:eastAsia="宋体"/>
                <w:sz w:val="21"/>
                <w:szCs w:val="21"/>
                <w:highlight w:val="none"/>
              </w:rPr>
            </w:pPr>
            <w:r>
              <w:rPr>
                <w:rFonts w:ascii="宋体" w:hAnsi="宋体" w:eastAsia="宋体"/>
                <w:sz w:val="21"/>
                <w:szCs w:val="21"/>
                <w:highlight w:val="none"/>
              </w:rPr>
              <w:t>电源：配置交流冗余电源</w:t>
            </w:r>
          </w:p>
        </w:tc>
      </w:tr>
      <w:tr w14:paraId="1FD6E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17" w:type="pct"/>
            <w:vAlign w:val="center"/>
          </w:tcPr>
          <w:p w14:paraId="10D07C5F">
            <w:pPr>
              <w:pStyle w:val="12"/>
              <w:numPr>
                <w:ilvl w:val="0"/>
                <w:numId w:val="3"/>
              </w:numPr>
              <w:adjustRightInd w:val="0"/>
              <w:spacing w:after="0" w:line="360" w:lineRule="auto"/>
              <w:ind w:left="660" w:leftChars="0" w:firstLineChars="0"/>
              <w:jc w:val="center"/>
              <w:rPr>
                <w:rFonts w:ascii="宋体" w:hAnsi="宋体" w:eastAsia="宋体"/>
                <w:sz w:val="21"/>
                <w:szCs w:val="21"/>
                <w:highlight w:val="none"/>
              </w:rPr>
            </w:pPr>
          </w:p>
        </w:tc>
        <w:tc>
          <w:tcPr>
            <w:tcW w:w="4582" w:type="pct"/>
            <w:vAlign w:val="center"/>
          </w:tcPr>
          <w:p w14:paraId="6D6656EC">
            <w:pPr>
              <w:adjustRightInd w:val="0"/>
              <w:spacing w:after="0" w:line="360" w:lineRule="auto"/>
              <w:rPr>
                <w:rFonts w:hint="eastAsia" w:ascii="宋体" w:hAnsi="宋体" w:eastAsia="宋体"/>
                <w:sz w:val="21"/>
                <w:szCs w:val="21"/>
                <w:highlight w:val="none"/>
              </w:rPr>
            </w:pPr>
            <w:r>
              <w:rPr>
                <w:rFonts w:ascii="宋体" w:hAnsi="宋体" w:eastAsia="宋体"/>
                <w:sz w:val="21"/>
                <w:szCs w:val="21"/>
                <w:highlight w:val="none"/>
              </w:rPr>
              <w:t>光模块：单台服务器提供</w:t>
            </w:r>
            <w:r>
              <w:rPr>
                <w:rFonts w:hint="eastAsia" w:ascii="宋体" w:hAnsi="宋体" w:eastAsia="宋体"/>
                <w:sz w:val="21"/>
                <w:szCs w:val="21"/>
                <w:highlight w:val="none"/>
              </w:rPr>
              <w:t>4</w:t>
            </w:r>
            <w:r>
              <w:rPr>
                <w:rFonts w:ascii="宋体" w:hAnsi="宋体" w:eastAsia="宋体"/>
                <w:sz w:val="21"/>
                <w:szCs w:val="21"/>
                <w:highlight w:val="none"/>
              </w:rPr>
              <w:t>个原厂万兆</w:t>
            </w:r>
            <w:r>
              <w:rPr>
                <w:rFonts w:hint="eastAsia" w:ascii="宋体" w:hAnsi="宋体" w:eastAsia="宋体"/>
                <w:sz w:val="21"/>
                <w:szCs w:val="21"/>
                <w:highlight w:val="none"/>
              </w:rPr>
              <w:t>多模</w:t>
            </w:r>
            <w:r>
              <w:rPr>
                <w:rFonts w:ascii="宋体" w:hAnsi="宋体" w:eastAsia="宋体"/>
                <w:sz w:val="21"/>
                <w:szCs w:val="21"/>
                <w:highlight w:val="none"/>
              </w:rPr>
              <w:t>光模块；</w:t>
            </w:r>
            <w:r>
              <w:rPr>
                <w:rFonts w:hint="eastAsia" w:ascii="宋体" w:hAnsi="宋体" w:eastAsia="宋体"/>
                <w:sz w:val="21"/>
                <w:szCs w:val="21"/>
                <w:highlight w:val="none"/>
              </w:rPr>
              <w:t>2根10M多模</w:t>
            </w:r>
            <w:r>
              <w:rPr>
                <w:rFonts w:ascii="宋体" w:hAnsi="宋体" w:eastAsia="宋体"/>
                <w:sz w:val="21"/>
                <w:szCs w:val="21"/>
                <w:highlight w:val="none"/>
              </w:rPr>
              <w:t>光纤线</w:t>
            </w:r>
          </w:p>
        </w:tc>
      </w:tr>
      <w:tr w14:paraId="682B3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jc w:val="center"/>
        </w:trPr>
        <w:tc>
          <w:tcPr>
            <w:tcW w:w="417" w:type="pct"/>
            <w:vAlign w:val="center"/>
          </w:tcPr>
          <w:p w14:paraId="3A117D5D">
            <w:pPr>
              <w:pStyle w:val="12"/>
              <w:numPr>
                <w:ilvl w:val="0"/>
                <w:numId w:val="3"/>
              </w:numPr>
              <w:adjustRightInd w:val="0"/>
              <w:spacing w:after="0" w:line="360" w:lineRule="auto"/>
              <w:ind w:left="660" w:leftChars="0" w:firstLineChars="0"/>
              <w:jc w:val="center"/>
              <w:rPr>
                <w:rFonts w:ascii="宋体" w:hAnsi="宋体" w:eastAsia="宋体"/>
                <w:sz w:val="21"/>
                <w:szCs w:val="21"/>
                <w:highlight w:val="none"/>
              </w:rPr>
            </w:pPr>
          </w:p>
        </w:tc>
        <w:tc>
          <w:tcPr>
            <w:tcW w:w="4582" w:type="pct"/>
            <w:vAlign w:val="center"/>
          </w:tcPr>
          <w:p w14:paraId="249CE045">
            <w:pPr>
              <w:adjustRightInd w:val="0"/>
              <w:spacing w:after="0" w:line="360" w:lineRule="auto"/>
              <w:rPr>
                <w:rFonts w:hint="default" w:ascii="宋体" w:hAnsi="宋体" w:eastAsia="宋体"/>
                <w:sz w:val="21"/>
                <w:szCs w:val="21"/>
                <w:highlight w:val="none"/>
                <w:lang w:val="en-US" w:eastAsia="zh-CN"/>
              </w:rPr>
            </w:pPr>
            <w:r>
              <w:rPr>
                <w:rFonts w:hint="eastAsia" w:ascii="宋体" w:hAnsi="宋体" w:eastAsia="宋体"/>
                <w:sz w:val="21"/>
                <w:szCs w:val="21"/>
                <w:highlight w:val="none"/>
                <w:lang w:val="en-US" w:eastAsia="zh-CN"/>
              </w:rPr>
              <w:t>其他：</w:t>
            </w:r>
            <w:r>
              <w:rPr>
                <w:rFonts w:ascii="宋体" w:hAnsi="宋体" w:eastAsia="宋体"/>
                <w:sz w:val="21"/>
                <w:szCs w:val="21"/>
                <w:highlight w:val="none"/>
              </w:rPr>
              <w:t>为保障底层硬件与虚拟化深度适配、统一售后运维、故障一体化排查</w:t>
            </w:r>
            <w:r>
              <w:rPr>
                <w:rFonts w:hint="eastAsia" w:ascii="宋体" w:hAnsi="宋体" w:eastAsia="宋体"/>
                <w:sz w:val="21"/>
                <w:szCs w:val="21"/>
                <w:highlight w:val="none"/>
                <w:lang w:eastAsia="zh-CN"/>
              </w:rPr>
              <w:t>，</w:t>
            </w:r>
            <w:r>
              <w:rPr>
                <w:rFonts w:hint="eastAsia" w:ascii="宋体" w:hAnsi="宋体" w:eastAsia="宋体"/>
                <w:sz w:val="21"/>
                <w:szCs w:val="21"/>
                <w:highlight w:val="none"/>
                <w:lang w:val="en-US" w:eastAsia="zh-CN"/>
              </w:rPr>
              <w:t>要求超融合</w:t>
            </w:r>
            <w:r>
              <w:rPr>
                <w:rFonts w:hint="eastAsia" w:ascii="宋体" w:hAnsi="宋体" w:eastAsia="宋体"/>
                <w:sz w:val="21"/>
                <w:szCs w:val="21"/>
                <w:highlight w:val="none"/>
              </w:rPr>
              <w:t>服务器和</w:t>
            </w:r>
            <w:r>
              <w:rPr>
                <w:rFonts w:hint="eastAsia" w:ascii="宋体" w:hAnsi="宋体" w:eastAsia="宋体"/>
                <w:sz w:val="21"/>
                <w:szCs w:val="21"/>
                <w:highlight w:val="none"/>
                <w:lang w:val="en-US" w:eastAsia="zh-CN"/>
              </w:rPr>
              <w:t>超融合虚拟化</w:t>
            </w:r>
            <w:r>
              <w:rPr>
                <w:rFonts w:hint="eastAsia" w:ascii="宋体" w:hAnsi="宋体" w:eastAsia="宋体"/>
                <w:sz w:val="21"/>
                <w:szCs w:val="21"/>
                <w:highlight w:val="none"/>
              </w:rPr>
              <w:t>授权必须为同一品牌</w:t>
            </w:r>
          </w:p>
        </w:tc>
      </w:tr>
    </w:tbl>
    <w:p w14:paraId="2455B9D7">
      <w:pPr>
        <w:numPr>
          <w:ilvl w:val="0"/>
          <w:numId w:val="0"/>
        </w:numPr>
        <w:adjustRightInd w:val="0"/>
        <w:spacing w:after="0" w:line="360" w:lineRule="auto"/>
        <w:ind w:firstLine="562" w:firstLineChars="200"/>
        <w:rPr>
          <w:rFonts w:hint="eastAsia" w:ascii="宋体" w:hAnsi="宋体" w:eastAsia="宋体"/>
          <w:b/>
          <w:bCs w:val="0"/>
          <w:sz w:val="28"/>
          <w:szCs w:val="28"/>
          <w:highlight w:val="none"/>
          <w:lang w:val="en-US" w:eastAsia="zh-CN"/>
        </w:rPr>
      </w:pPr>
    </w:p>
    <w:p w14:paraId="725FDBBF">
      <w:pPr>
        <w:numPr>
          <w:ilvl w:val="0"/>
          <w:numId w:val="0"/>
        </w:numPr>
        <w:adjustRightInd w:val="0"/>
        <w:spacing w:after="0" w:line="360" w:lineRule="auto"/>
        <w:ind w:firstLine="562" w:firstLineChars="200"/>
        <w:rPr>
          <w:rFonts w:hint="default" w:ascii="宋体" w:hAnsi="宋体" w:eastAsia="宋体"/>
          <w:b/>
          <w:bCs w:val="0"/>
          <w:sz w:val="28"/>
          <w:szCs w:val="28"/>
          <w:lang w:val="en-US" w:eastAsia="zh-CN"/>
        </w:rPr>
      </w:pPr>
      <w:r>
        <w:rPr>
          <w:rFonts w:hint="eastAsia" w:ascii="宋体" w:hAnsi="宋体" w:eastAsia="宋体"/>
          <w:b/>
          <w:bCs w:val="0"/>
          <w:sz w:val="28"/>
          <w:szCs w:val="28"/>
          <w:highlight w:val="none"/>
          <w:lang w:val="en-US" w:eastAsia="zh-CN"/>
        </w:rPr>
        <w:t>（三）业务办公结算终端</w:t>
      </w:r>
    </w:p>
    <w:p w14:paraId="160576C9">
      <w:pPr>
        <w:numPr>
          <w:ilvl w:val="0"/>
          <w:numId w:val="0"/>
        </w:numPr>
        <w:adjustRightInd w:val="0"/>
        <w:spacing w:after="0" w:line="360" w:lineRule="auto"/>
        <w:ind w:firstLine="480" w:firstLineChars="200"/>
        <w:rPr>
          <w:rFonts w:hint="eastAsia"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作为前端收费、医保结算、财务账务、收费单据录入专用终端，部署于收费窗口、医保科室、财务科室、病案结算岗等岗位，支撑患者缴费录入、收费票据开具、医保单据整理、结算数据登记、院内收支台账统计等工作，保障现金、线上支付、医保报销等基础资金业务正常运转</w:t>
      </w:r>
      <w:r>
        <w:rPr>
          <w:rFonts w:hint="eastAsia" w:ascii="宋体" w:hAnsi="宋体" w:eastAsia="宋体" w:cs="宋体"/>
          <w:kern w:val="0"/>
          <w:sz w:val="24"/>
          <w:szCs w:val="24"/>
          <w:lang w:val="en-US" w:eastAsia="zh-CN" w:bidi="ar"/>
        </w:rPr>
        <w:t>。</w:t>
      </w:r>
    </w:p>
    <w:p w14:paraId="5819C7F6">
      <w:pPr>
        <w:adjustRightInd w:val="0"/>
        <w:spacing w:after="0" w:line="360" w:lineRule="auto"/>
        <w:ind w:firstLine="482" w:firstLineChars="200"/>
        <w:rPr>
          <w:rFonts w:hint="eastAsia" w:eastAsia="宋体"/>
          <w:b/>
          <w:bCs/>
          <w:sz w:val="24"/>
          <w:szCs w:val="24"/>
          <w:lang w:val="en-US" w:eastAsia="zh-CN"/>
        </w:rPr>
      </w:pPr>
      <w:r>
        <w:rPr>
          <w:rFonts w:hint="eastAsia" w:eastAsia="宋体"/>
          <w:b/>
          <w:bCs/>
          <w:sz w:val="24"/>
          <w:szCs w:val="24"/>
          <w:lang w:val="en-US" w:eastAsia="zh-CN"/>
        </w:rPr>
        <w:t xml:space="preserve">功能参数建设要求：（主流品牌  PC电脑 </w:t>
      </w:r>
      <w:r>
        <w:rPr>
          <w:rFonts w:hint="default" w:eastAsia="宋体"/>
          <w:b/>
          <w:bCs/>
          <w:sz w:val="24"/>
          <w:szCs w:val="24"/>
          <w:lang w:val="en-US" w:eastAsia="zh-CN"/>
        </w:rPr>
        <w:t>≥</w:t>
      </w:r>
      <w:r>
        <w:rPr>
          <w:rFonts w:hint="eastAsia" w:eastAsia="宋体"/>
          <w:b/>
          <w:bCs/>
          <w:sz w:val="24"/>
          <w:szCs w:val="24"/>
          <w:lang w:val="en-US" w:eastAsia="zh-CN"/>
        </w:rPr>
        <w:t>20台）</w:t>
      </w:r>
    </w:p>
    <w:tbl>
      <w:tblPr>
        <w:tblStyle w:val="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471A5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77" w:hRule="atLeast"/>
          <w:jc w:val="center"/>
        </w:trPr>
        <w:tc>
          <w:tcPr>
            <w:tcW w:w="417" w:type="pct"/>
            <w:vAlign w:val="center"/>
          </w:tcPr>
          <w:p w14:paraId="23AE36F6">
            <w:pPr>
              <w:adjustRightInd w:val="0"/>
              <w:spacing w:after="0" w:line="360" w:lineRule="auto"/>
              <w:jc w:val="center"/>
              <w:rPr>
                <w:rFonts w:hint="eastAsia" w:ascii="宋体" w:hAnsi="宋体" w:eastAsia="宋体"/>
                <w:b/>
                <w:sz w:val="21"/>
                <w:szCs w:val="21"/>
              </w:rPr>
            </w:pPr>
            <w:r>
              <w:rPr>
                <w:rFonts w:ascii="宋体" w:hAnsi="宋体" w:eastAsia="宋体"/>
                <w:b/>
                <w:sz w:val="21"/>
                <w:szCs w:val="21"/>
              </w:rPr>
              <w:t>序号</w:t>
            </w:r>
          </w:p>
        </w:tc>
        <w:tc>
          <w:tcPr>
            <w:tcW w:w="4582" w:type="pct"/>
            <w:vAlign w:val="center"/>
          </w:tcPr>
          <w:p w14:paraId="6D7F48D7">
            <w:pPr>
              <w:adjustRightInd w:val="0"/>
              <w:spacing w:after="0" w:line="360" w:lineRule="auto"/>
              <w:jc w:val="center"/>
              <w:rPr>
                <w:rFonts w:hint="eastAsia" w:ascii="宋体" w:hAnsi="宋体" w:eastAsia="宋体"/>
                <w:sz w:val="21"/>
                <w:szCs w:val="21"/>
              </w:rPr>
            </w:pPr>
            <w:r>
              <w:rPr>
                <w:rFonts w:ascii="宋体" w:hAnsi="宋体" w:eastAsia="宋体"/>
                <w:b/>
                <w:sz w:val="21"/>
                <w:szCs w:val="21"/>
              </w:rPr>
              <w:t>详细技术参数</w:t>
            </w:r>
          </w:p>
        </w:tc>
      </w:tr>
      <w:tr w14:paraId="224CC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8" w:hRule="atLeast"/>
          <w:jc w:val="center"/>
        </w:trPr>
        <w:tc>
          <w:tcPr>
            <w:tcW w:w="417" w:type="pct"/>
            <w:vAlign w:val="center"/>
          </w:tcPr>
          <w:p w14:paraId="58DF549A">
            <w:pPr>
              <w:pStyle w:val="12"/>
              <w:numPr>
                <w:ilvl w:val="0"/>
                <w:numId w:val="0"/>
              </w:numPr>
              <w:adjustRightInd w:val="0"/>
              <w:spacing w:after="0" w:line="360" w:lineRule="auto"/>
              <w:ind w:left="220" w:leftChars="0"/>
              <w:jc w:val="both"/>
              <w:rPr>
                <w:rFonts w:hint="eastAsia" w:ascii="宋体" w:hAnsi="宋体" w:eastAsia="宋体"/>
                <w:sz w:val="21"/>
                <w:szCs w:val="21"/>
                <w:lang w:val="en-US" w:eastAsia="zh-CN"/>
              </w:rPr>
            </w:pPr>
            <w:r>
              <w:rPr>
                <w:rFonts w:hint="eastAsia" w:ascii="宋体" w:hAnsi="宋体" w:eastAsia="宋体"/>
                <w:sz w:val="21"/>
                <w:szCs w:val="21"/>
                <w:lang w:val="en-US" w:eastAsia="zh-CN"/>
              </w:rPr>
              <w:t>1</w:t>
            </w:r>
          </w:p>
        </w:tc>
        <w:tc>
          <w:tcPr>
            <w:tcW w:w="4582" w:type="pct"/>
            <w:vAlign w:val="center"/>
          </w:tcPr>
          <w:p w14:paraId="0ABD7C0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机型：分体式商用台式机；</w:t>
            </w:r>
          </w:p>
        </w:tc>
      </w:tr>
      <w:tr w14:paraId="1F795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417" w:type="pct"/>
            <w:vAlign w:val="center"/>
          </w:tcPr>
          <w:p w14:paraId="7739F3B5">
            <w:pPr>
              <w:pStyle w:val="12"/>
              <w:numPr>
                <w:ilvl w:val="0"/>
                <w:numId w:val="0"/>
              </w:numPr>
              <w:adjustRightInd w:val="0"/>
              <w:spacing w:after="0" w:line="360" w:lineRule="auto"/>
              <w:ind w:left="220" w:leftChars="0"/>
              <w:jc w:val="both"/>
              <w:rPr>
                <w:rFonts w:hint="eastAsia" w:ascii="宋体" w:hAnsi="宋体" w:eastAsia="宋体"/>
                <w:sz w:val="21"/>
                <w:szCs w:val="21"/>
                <w:lang w:val="en-US" w:eastAsia="zh-CN"/>
              </w:rPr>
            </w:pPr>
            <w:r>
              <w:rPr>
                <w:rFonts w:hint="eastAsia" w:ascii="宋体" w:hAnsi="宋体" w:eastAsia="宋体"/>
                <w:sz w:val="21"/>
                <w:szCs w:val="21"/>
                <w:lang w:val="en-US" w:eastAsia="zh-CN"/>
              </w:rPr>
              <w:t>2</w:t>
            </w:r>
          </w:p>
        </w:tc>
        <w:tc>
          <w:tcPr>
            <w:tcW w:w="4582" w:type="pct"/>
            <w:vAlign w:val="center"/>
          </w:tcPr>
          <w:p w14:paraId="0547684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处理器：</w:t>
            </w:r>
            <w:r>
              <w:rPr>
                <w:rFonts w:hint="eastAsia" w:ascii="宋体" w:hAnsi="宋体" w:eastAsia="宋体" w:cs="宋体"/>
                <w:i w:val="0"/>
                <w:iCs w:val="0"/>
                <w:color w:val="000000"/>
                <w:kern w:val="0"/>
                <w:sz w:val="21"/>
                <w:szCs w:val="21"/>
                <w:highlight w:val="none"/>
                <w:u w:val="none"/>
                <w:lang w:val="en-US" w:eastAsia="zh-CN" w:bidi="ar"/>
              </w:rPr>
              <w:t>≥Intel 14代酷睿 i5  14400处理器；</w:t>
            </w:r>
          </w:p>
        </w:tc>
      </w:tr>
      <w:tr w14:paraId="4B430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417" w:type="pct"/>
            <w:vAlign w:val="center"/>
          </w:tcPr>
          <w:p w14:paraId="7D69BD81">
            <w:pPr>
              <w:pStyle w:val="12"/>
              <w:numPr>
                <w:ilvl w:val="0"/>
                <w:numId w:val="0"/>
              </w:numPr>
              <w:adjustRightInd w:val="0"/>
              <w:spacing w:after="0" w:line="360" w:lineRule="auto"/>
              <w:ind w:left="220" w:leftChars="0"/>
              <w:jc w:val="both"/>
              <w:rPr>
                <w:rFonts w:hint="eastAsia" w:ascii="宋体" w:hAnsi="宋体" w:eastAsia="宋体"/>
                <w:sz w:val="21"/>
                <w:szCs w:val="21"/>
                <w:lang w:val="en-US" w:eastAsia="zh-CN"/>
              </w:rPr>
            </w:pPr>
            <w:r>
              <w:rPr>
                <w:rFonts w:hint="eastAsia" w:ascii="宋体" w:hAnsi="宋体" w:eastAsia="宋体"/>
                <w:sz w:val="21"/>
                <w:szCs w:val="21"/>
                <w:lang w:val="en-US" w:eastAsia="zh-CN"/>
              </w:rPr>
              <w:t>3</w:t>
            </w:r>
          </w:p>
        </w:tc>
        <w:tc>
          <w:tcPr>
            <w:tcW w:w="4582" w:type="pct"/>
            <w:vAlign w:val="center"/>
          </w:tcPr>
          <w:p w14:paraId="5C97EBE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内存：≥16GB DDR5内存；</w:t>
            </w:r>
          </w:p>
        </w:tc>
      </w:tr>
      <w:tr w14:paraId="7CB6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jc w:val="center"/>
        </w:trPr>
        <w:tc>
          <w:tcPr>
            <w:tcW w:w="417" w:type="pct"/>
            <w:vAlign w:val="center"/>
          </w:tcPr>
          <w:p w14:paraId="704398FD">
            <w:pPr>
              <w:pStyle w:val="12"/>
              <w:numPr>
                <w:ilvl w:val="0"/>
                <w:numId w:val="0"/>
              </w:numPr>
              <w:adjustRightInd w:val="0"/>
              <w:spacing w:after="0" w:line="360" w:lineRule="auto"/>
              <w:ind w:left="220" w:leftChars="0"/>
              <w:jc w:val="both"/>
              <w:rPr>
                <w:rFonts w:hint="eastAsia" w:ascii="宋体" w:hAnsi="宋体" w:eastAsia="宋体"/>
                <w:sz w:val="21"/>
                <w:szCs w:val="21"/>
                <w:lang w:val="en-US" w:eastAsia="zh-CN"/>
              </w:rPr>
            </w:pPr>
            <w:r>
              <w:rPr>
                <w:rFonts w:hint="eastAsia" w:ascii="宋体" w:hAnsi="宋体" w:eastAsia="宋体"/>
                <w:sz w:val="21"/>
                <w:szCs w:val="21"/>
                <w:lang w:val="en-US" w:eastAsia="zh-CN"/>
              </w:rPr>
              <w:t>4</w:t>
            </w:r>
          </w:p>
        </w:tc>
        <w:tc>
          <w:tcPr>
            <w:tcW w:w="4582" w:type="pct"/>
            <w:vAlign w:val="center"/>
          </w:tcPr>
          <w:p w14:paraId="6C510EEE">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硬盘：≥1TB SSD高速固态硬盘，预留3.5英寸 SATA机械硬盘仓位；</w:t>
            </w:r>
          </w:p>
        </w:tc>
      </w:tr>
      <w:tr w14:paraId="57FA2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417" w:type="pct"/>
            <w:vAlign w:val="center"/>
          </w:tcPr>
          <w:p w14:paraId="566D3636">
            <w:pPr>
              <w:pStyle w:val="12"/>
              <w:numPr>
                <w:ilvl w:val="0"/>
                <w:numId w:val="0"/>
              </w:numPr>
              <w:adjustRightInd w:val="0"/>
              <w:spacing w:after="0" w:line="360" w:lineRule="auto"/>
              <w:ind w:left="220" w:leftChars="0"/>
              <w:jc w:val="both"/>
              <w:rPr>
                <w:rFonts w:hint="eastAsia" w:ascii="宋体" w:hAnsi="宋体" w:eastAsia="宋体"/>
                <w:sz w:val="21"/>
                <w:szCs w:val="21"/>
                <w:lang w:val="en-US" w:eastAsia="zh-CN"/>
              </w:rPr>
            </w:pPr>
            <w:r>
              <w:rPr>
                <w:rFonts w:hint="eastAsia" w:ascii="宋体" w:hAnsi="宋体" w:eastAsia="宋体"/>
                <w:sz w:val="21"/>
                <w:szCs w:val="21"/>
                <w:lang w:val="en-US" w:eastAsia="zh-CN"/>
              </w:rPr>
              <w:t>5</w:t>
            </w:r>
          </w:p>
        </w:tc>
        <w:tc>
          <w:tcPr>
            <w:tcW w:w="4582" w:type="pct"/>
            <w:vAlign w:val="center"/>
          </w:tcPr>
          <w:p w14:paraId="36C5A93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操作系统：预装正版Windows 11操作系统；</w:t>
            </w:r>
          </w:p>
        </w:tc>
      </w:tr>
      <w:tr w14:paraId="5D97E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417" w:type="pct"/>
            <w:vAlign w:val="center"/>
          </w:tcPr>
          <w:p w14:paraId="31C4DB20">
            <w:pPr>
              <w:pStyle w:val="12"/>
              <w:numPr>
                <w:ilvl w:val="0"/>
                <w:numId w:val="0"/>
              </w:numPr>
              <w:adjustRightInd w:val="0"/>
              <w:spacing w:after="0" w:line="360" w:lineRule="auto"/>
              <w:ind w:left="220" w:leftChars="0"/>
              <w:jc w:val="both"/>
              <w:rPr>
                <w:rFonts w:hint="eastAsia" w:ascii="宋体" w:hAnsi="宋体" w:eastAsia="宋体"/>
                <w:sz w:val="21"/>
                <w:szCs w:val="21"/>
                <w:lang w:val="en-US" w:eastAsia="zh-CN"/>
              </w:rPr>
            </w:pPr>
            <w:r>
              <w:rPr>
                <w:rFonts w:hint="eastAsia" w:ascii="宋体" w:hAnsi="宋体" w:eastAsia="宋体"/>
                <w:sz w:val="21"/>
                <w:szCs w:val="21"/>
                <w:lang w:val="en-US" w:eastAsia="zh-CN"/>
              </w:rPr>
              <w:t>6</w:t>
            </w:r>
          </w:p>
        </w:tc>
        <w:tc>
          <w:tcPr>
            <w:tcW w:w="4582" w:type="pct"/>
            <w:vAlign w:val="center"/>
          </w:tcPr>
          <w:p w14:paraId="681736A3">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保修服务：三年免费保修服务；</w:t>
            </w:r>
          </w:p>
        </w:tc>
      </w:tr>
    </w:tbl>
    <w:p w14:paraId="7BA7D663">
      <w:pPr>
        <w:adjustRightInd w:val="0"/>
        <w:spacing w:after="0" w:line="360" w:lineRule="auto"/>
        <w:ind w:firstLine="562" w:firstLineChars="200"/>
        <w:rPr>
          <w:rFonts w:hint="eastAsia" w:ascii="宋体" w:hAnsi="宋体" w:eastAsia="宋体"/>
          <w:b/>
          <w:bCs w:val="0"/>
          <w:sz w:val="28"/>
          <w:szCs w:val="28"/>
          <w:lang w:eastAsia="zh-CN"/>
        </w:rPr>
      </w:pPr>
    </w:p>
    <w:p w14:paraId="478BED4D">
      <w:pPr>
        <w:adjustRightInd w:val="0"/>
        <w:spacing w:after="0" w:line="360" w:lineRule="auto"/>
        <w:ind w:firstLine="562" w:firstLineChars="200"/>
        <w:rPr>
          <w:lang w:val="en-US" w:eastAsia="zh-CN"/>
        </w:rPr>
      </w:pPr>
      <w:r>
        <w:rPr>
          <w:rFonts w:hint="eastAsia" w:ascii="宋体" w:hAnsi="宋体" w:eastAsia="宋体"/>
          <w:b/>
          <w:bCs w:val="0"/>
          <w:sz w:val="28"/>
          <w:szCs w:val="28"/>
          <w:lang w:eastAsia="zh-CN"/>
        </w:rPr>
        <w:t>（四）</w:t>
      </w:r>
      <w:r>
        <w:rPr>
          <w:rFonts w:ascii="宋体" w:hAnsi="宋体" w:eastAsia="宋体"/>
          <w:b/>
          <w:bCs w:val="0"/>
          <w:sz w:val="28"/>
          <w:szCs w:val="28"/>
        </w:rPr>
        <w:t>桌面云</w:t>
      </w:r>
      <w:r>
        <w:rPr>
          <w:rFonts w:hint="eastAsia" w:ascii="宋体" w:hAnsi="宋体" w:eastAsia="宋体"/>
          <w:b/>
          <w:bCs w:val="0"/>
          <w:sz w:val="28"/>
          <w:szCs w:val="28"/>
          <w:lang w:val="en-US" w:eastAsia="zh-CN"/>
        </w:rPr>
        <w:t>结算系统</w:t>
      </w:r>
    </w:p>
    <w:p w14:paraId="1F8A8E57">
      <w:pPr>
        <w:numPr>
          <w:ilvl w:val="0"/>
          <w:numId w:val="0"/>
        </w:numPr>
        <w:adjustRightInd w:val="0"/>
        <w:spacing w:after="0" w:line="360" w:lineRule="auto"/>
        <w:ind w:firstLine="480" w:firstLineChars="200"/>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搭建云端集约化结算终端集群，业务覆盖门诊收费、住院结算、医保服务、病区费用核算、费用退费审核、异地医保结算等全场景。依托云架构实现全院结算业务统一调度、缴费押金管理、出院一站式结算、医保即时报销、费用退费审批等功能，达成业务数据实时同步、操作行为集中风控，简化结算流程，提升服务效率。</w:t>
      </w:r>
    </w:p>
    <w:p w14:paraId="604CEF42">
      <w:pPr>
        <w:adjustRightInd w:val="0"/>
        <w:spacing w:after="0" w:line="240" w:lineRule="auto"/>
        <w:ind w:firstLine="482" w:firstLineChars="200"/>
        <w:rPr>
          <w:rFonts w:hint="eastAsia" w:eastAsia="宋体"/>
          <w:b/>
          <w:bCs/>
          <w:sz w:val="24"/>
          <w:szCs w:val="24"/>
          <w:lang w:val="en-US" w:eastAsia="zh-CN"/>
        </w:rPr>
      </w:pPr>
      <w:r>
        <w:rPr>
          <w:rFonts w:hint="eastAsia" w:eastAsia="宋体"/>
          <w:b/>
          <w:bCs/>
          <w:sz w:val="24"/>
          <w:szCs w:val="24"/>
          <w:lang w:val="en-US" w:eastAsia="zh-CN"/>
        </w:rPr>
        <w:t xml:space="preserve">功能参数建设要求：（主流品牌  云电脑 </w:t>
      </w:r>
      <w:r>
        <w:rPr>
          <w:rFonts w:hint="default" w:eastAsia="宋体"/>
          <w:b/>
          <w:bCs/>
          <w:sz w:val="24"/>
          <w:szCs w:val="24"/>
          <w:lang w:val="en-US" w:eastAsia="zh-CN"/>
        </w:rPr>
        <w:t>≥</w:t>
      </w:r>
      <w:r>
        <w:rPr>
          <w:rFonts w:hint="eastAsia" w:eastAsia="宋体"/>
          <w:b/>
          <w:bCs/>
          <w:sz w:val="24"/>
          <w:szCs w:val="24"/>
          <w:lang w:val="en-US" w:eastAsia="zh-CN"/>
        </w:rPr>
        <w:t>300台）</w:t>
      </w:r>
    </w:p>
    <w:tbl>
      <w:tblPr>
        <w:tblStyle w:val="8"/>
        <w:tblpPr w:leftFromText="180" w:rightFromText="180" w:vertAnchor="text" w:horzAnchor="page" w:tblpX="1755" w:tblpY="456"/>
        <w:tblOverlap w:val="never"/>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0AE03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417" w:type="pct"/>
            <w:vAlign w:val="center"/>
          </w:tcPr>
          <w:p w14:paraId="323C97A8">
            <w:pPr>
              <w:adjustRightInd w:val="0"/>
              <w:spacing w:after="0" w:line="360" w:lineRule="auto"/>
              <w:rPr>
                <w:rFonts w:hint="eastAsia" w:eastAsia="宋体"/>
                <w:b/>
                <w:bCs/>
                <w:sz w:val="24"/>
                <w:szCs w:val="24"/>
                <w:lang w:val="en-US" w:eastAsia="zh-CN"/>
              </w:rPr>
            </w:pPr>
            <w:r>
              <w:rPr>
                <w:rFonts w:hint="eastAsia" w:eastAsia="宋体"/>
                <w:b/>
                <w:bCs/>
                <w:sz w:val="24"/>
                <w:szCs w:val="24"/>
                <w:lang w:val="en-US" w:eastAsia="zh-CN"/>
              </w:rPr>
              <w:t>序号</w:t>
            </w:r>
          </w:p>
        </w:tc>
        <w:tc>
          <w:tcPr>
            <w:tcW w:w="4582" w:type="pct"/>
            <w:vAlign w:val="center"/>
          </w:tcPr>
          <w:p w14:paraId="733C89BD">
            <w:pPr>
              <w:adjustRightInd w:val="0"/>
              <w:spacing w:after="0" w:line="360" w:lineRule="auto"/>
              <w:ind w:firstLine="482" w:firstLineChars="200"/>
              <w:rPr>
                <w:rFonts w:hint="eastAsia" w:eastAsia="宋体"/>
                <w:b/>
                <w:bCs/>
                <w:sz w:val="24"/>
                <w:szCs w:val="24"/>
                <w:lang w:val="en-US" w:eastAsia="zh-CN"/>
              </w:rPr>
            </w:pPr>
            <w:r>
              <w:rPr>
                <w:rFonts w:hint="eastAsia" w:eastAsia="宋体"/>
                <w:b/>
                <w:bCs/>
                <w:sz w:val="24"/>
                <w:szCs w:val="24"/>
                <w:lang w:val="en-US" w:eastAsia="zh-CN"/>
              </w:rPr>
              <w:t>详细技术参数</w:t>
            </w:r>
          </w:p>
        </w:tc>
      </w:tr>
      <w:tr w14:paraId="1EF69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417" w:type="pct"/>
            <w:vAlign w:val="center"/>
          </w:tcPr>
          <w:p w14:paraId="5815FD3D">
            <w:pPr>
              <w:pStyle w:val="12"/>
              <w:numPr>
                <w:ilvl w:val="0"/>
                <w:numId w:val="0"/>
              </w:numPr>
              <w:adjustRightInd w:val="0"/>
              <w:spacing w:after="0" w:line="360" w:lineRule="auto"/>
              <w:ind w:left="220" w:leftChars="0"/>
              <w:jc w:val="both"/>
              <w:rPr>
                <w:rFonts w:hint="eastAsia" w:ascii="宋体" w:hAnsi="宋体" w:eastAsia="宋体"/>
                <w:sz w:val="21"/>
                <w:szCs w:val="21"/>
                <w:lang w:val="en-US" w:eastAsia="zh-CN"/>
              </w:rPr>
            </w:pPr>
            <w:r>
              <w:rPr>
                <w:rFonts w:hint="eastAsia" w:ascii="宋体" w:hAnsi="宋体" w:eastAsia="宋体"/>
                <w:sz w:val="21"/>
                <w:szCs w:val="21"/>
                <w:lang w:val="en-US" w:eastAsia="zh-CN"/>
              </w:rPr>
              <w:t>1</w:t>
            </w:r>
          </w:p>
        </w:tc>
        <w:tc>
          <w:tcPr>
            <w:tcW w:w="4582" w:type="pct"/>
            <w:vAlign w:val="center"/>
          </w:tcPr>
          <w:p w14:paraId="705F99FF">
            <w:pPr>
              <w:adjustRightInd w:val="0"/>
              <w:spacing w:after="0" w:line="360" w:lineRule="auto"/>
              <w:rPr>
                <w:rFonts w:hint="eastAsia" w:ascii="宋体" w:hAnsi="宋体" w:eastAsia="宋体" w:cs="宋体"/>
                <w:i w:val="0"/>
                <w:iCs w:val="0"/>
                <w:color w:val="000000"/>
                <w:kern w:val="0"/>
                <w:sz w:val="21"/>
                <w:szCs w:val="21"/>
                <w:u w:val="none"/>
                <w:lang w:val="en-US" w:eastAsia="zh-CN" w:bidi="ar"/>
              </w:rPr>
            </w:pPr>
            <w:r>
              <w:rPr>
                <w:rFonts w:ascii="宋体" w:hAnsi="宋体" w:eastAsia="宋体"/>
                <w:sz w:val="21"/>
                <w:szCs w:val="21"/>
              </w:rPr>
              <w:t>规格：2U机架式</w:t>
            </w:r>
          </w:p>
        </w:tc>
      </w:tr>
      <w:tr w14:paraId="7EA63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417" w:type="pct"/>
            <w:vAlign w:val="center"/>
          </w:tcPr>
          <w:p w14:paraId="77FD582A">
            <w:pPr>
              <w:pStyle w:val="12"/>
              <w:numPr>
                <w:ilvl w:val="0"/>
                <w:numId w:val="0"/>
              </w:numPr>
              <w:adjustRightInd w:val="0"/>
              <w:spacing w:after="0" w:line="360" w:lineRule="auto"/>
              <w:ind w:left="220" w:leftChars="0"/>
              <w:jc w:val="both"/>
              <w:rPr>
                <w:rFonts w:hint="eastAsia" w:ascii="宋体" w:hAnsi="宋体" w:eastAsia="宋体"/>
                <w:sz w:val="21"/>
                <w:szCs w:val="21"/>
                <w:lang w:val="en-US" w:eastAsia="zh-CN"/>
              </w:rPr>
            </w:pPr>
            <w:r>
              <w:rPr>
                <w:rFonts w:hint="eastAsia" w:ascii="宋体" w:hAnsi="宋体" w:eastAsia="宋体"/>
                <w:sz w:val="21"/>
                <w:szCs w:val="21"/>
                <w:lang w:val="en-US" w:eastAsia="zh-CN"/>
              </w:rPr>
              <w:t>2</w:t>
            </w:r>
          </w:p>
        </w:tc>
        <w:tc>
          <w:tcPr>
            <w:tcW w:w="4582" w:type="pct"/>
            <w:vAlign w:val="center"/>
          </w:tcPr>
          <w:p w14:paraId="509BE0D3">
            <w:pPr>
              <w:adjustRightInd w:val="0"/>
              <w:spacing w:after="0" w:line="360" w:lineRule="auto"/>
              <w:rPr>
                <w:rFonts w:ascii="宋体" w:hAnsi="宋体" w:eastAsia="宋体"/>
                <w:sz w:val="21"/>
                <w:szCs w:val="21"/>
              </w:rPr>
            </w:pPr>
            <w:r>
              <w:rPr>
                <w:rFonts w:ascii="宋体" w:hAnsi="宋体" w:eastAsia="宋体"/>
                <w:sz w:val="21"/>
                <w:szCs w:val="21"/>
              </w:rPr>
              <w:t>CPU：配备2颗CPU；每颗CPU物理核心数≥</w:t>
            </w:r>
            <w:r>
              <w:rPr>
                <w:rFonts w:hint="eastAsia" w:ascii="宋体" w:hAnsi="宋体" w:eastAsia="宋体"/>
                <w:sz w:val="21"/>
                <w:szCs w:val="21"/>
                <w:lang w:val="en-US" w:eastAsia="zh-CN"/>
              </w:rPr>
              <w:t>48</w:t>
            </w:r>
            <w:r>
              <w:rPr>
                <w:rFonts w:ascii="宋体" w:hAnsi="宋体" w:eastAsia="宋体"/>
                <w:sz w:val="21"/>
                <w:szCs w:val="21"/>
              </w:rPr>
              <w:t>个，CPU主频不低于</w:t>
            </w:r>
            <w:r>
              <w:rPr>
                <w:rFonts w:hint="eastAsia" w:ascii="宋体" w:hAnsi="宋体" w:eastAsia="宋体"/>
                <w:sz w:val="21"/>
                <w:szCs w:val="21"/>
                <w:lang w:val="en-US" w:eastAsia="zh-CN"/>
              </w:rPr>
              <w:t>2.8</w:t>
            </w:r>
            <w:r>
              <w:rPr>
                <w:rFonts w:ascii="宋体" w:hAnsi="宋体" w:eastAsia="宋体"/>
                <w:sz w:val="21"/>
                <w:szCs w:val="21"/>
              </w:rPr>
              <w:t>GHZ；</w:t>
            </w:r>
          </w:p>
          <w:p w14:paraId="725DAFDB">
            <w:pPr>
              <w:adjustRightInd w:val="0"/>
              <w:spacing w:after="0" w:line="360" w:lineRule="auto"/>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b/>
                <w:bCs/>
                <w:color w:val="auto"/>
                <w:sz w:val="21"/>
                <w:szCs w:val="21"/>
              </w:rPr>
              <w:t>（cpu虚拟化的超分比不超过1:</w:t>
            </w:r>
            <w:r>
              <w:rPr>
                <w:rFonts w:hint="eastAsia" w:ascii="宋体" w:hAnsi="宋体" w:eastAsia="宋体"/>
                <w:b/>
                <w:bCs/>
                <w:color w:val="auto"/>
                <w:sz w:val="21"/>
                <w:szCs w:val="21"/>
                <w:lang w:val="en-US" w:eastAsia="zh-CN"/>
              </w:rPr>
              <w:t>3</w:t>
            </w:r>
            <w:r>
              <w:rPr>
                <w:rFonts w:hint="eastAsia" w:ascii="宋体" w:hAnsi="宋体" w:eastAsia="宋体"/>
                <w:b/>
                <w:bCs/>
                <w:color w:val="auto"/>
                <w:sz w:val="21"/>
                <w:szCs w:val="21"/>
              </w:rPr>
              <w:t>）</w:t>
            </w:r>
          </w:p>
        </w:tc>
      </w:tr>
      <w:tr w14:paraId="39216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417" w:type="pct"/>
            <w:vAlign w:val="center"/>
          </w:tcPr>
          <w:p w14:paraId="7B86898A">
            <w:pPr>
              <w:pStyle w:val="12"/>
              <w:numPr>
                <w:ilvl w:val="0"/>
                <w:numId w:val="0"/>
              </w:numPr>
              <w:adjustRightInd w:val="0"/>
              <w:spacing w:after="0" w:line="360" w:lineRule="auto"/>
              <w:ind w:left="220" w:leftChars="0"/>
              <w:jc w:val="both"/>
              <w:rPr>
                <w:rFonts w:hint="default" w:ascii="宋体" w:hAnsi="宋体" w:eastAsia="宋体"/>
                <w:sz w:val="21"/>
                <w:szCs w:val="21"/>
                <w:lang w:val="en-US" w:eastAsia="zh-CN"/>
              </w:rPr>
            </w:pPr>
            <w:r>
              <w:rPr>
                <w:rFonts w:hint="eastAsia" w:ascii="宋体" w:hAnsi="宋体" w:eastAsia="宋体"/>
                <w:sz w:val="21"/>
                <w:szCs w:val="21"/>
                <w:lang w:val="en-US" w:eastAsia="zh-CN"/>
              </w:rPr>
              <w:t>3</w:t>
            </w:r>
          </w:p>
        </w:tc>
        <w:tc>
          <w:tcPr>
            <w:tcW w:w="4582" w:type="pct"/>
            <w:vAlign w:val="center"/>
          </w:tcPr>
          <w:p w14:paraId="5A6716FC">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内存：</w:t>
            </w:r>
            <w:r>
              <w:rPr>
                <w:rFonts w:ascii="宋体" w:hAnsi="宋体" w:eastAsia="宋体"/>
                <w:sz w:val="21"/>
                <w:szCs w:val="21"/>
              </w:rPr>
              <w:t>≥配置</w:t>
            </w:r>
            <w:r>
              <w:rPr>
                <w:rFonts w:hint="eastAsia" w:ascii="宋体" w:hAnsi="宋体" w:eastAsia="宋体"/>
                <w:sz w:val="21"/>
                <w:szCs w:val="21"/>
              </w:rPr>
              <w:t>16</w:t>
            </w:r>
            <w:r>
              <w:rPr>
                <w:rFonts w:ascii="宋体" w:hAnsi="宋体" w:eastAsia="宋体"/>
                <w:sz w:val="21"/>
                <w:szCs w:val="21"/>
              </w:rPr>
              <w:t xml:space="preserve">×32GB </w:t>
            </w:r>
          </w:p>
        </w:tc>
      </w:tr>
      <w:tr w14:paraId="3D875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417" w:type="pct"/>
            <w:vAlign w:val="center"/>
          </w:tcPr>
          <w:p w14:paraId="4C873361">
            <w:pPr>
              <w:pStyle w:val="12"/>
              <w:numPr>
                <w:ilvl w:val="0"/>
                <w:numId w:val="0"/>
              </w:numPr>
              <w:adjustRightInd w:val="0"/>
              <w:spacing w:after="0" w:line="360" w:lineRule="auto"/>
              <w:ind w:left="220" w:leftChars="0"/>
              <w:jc w:val="both"/>
              <w:rPr>
                <w:rFonts w:hint="default" w:ascii="宋体" w:hAnsi="宋体" w:eastAsia="宋体"/>
                <w:sz w:val="21"/>
                <w:szCs w:val="21"/>
                <w:lang w:val="en-US" w:eastAsia="zh-CN"/>
              </w:rPr>
            </w:pPr>
            <w:r>
              <w:rPr>
                <w:rFonts w:hint="eastAsia" w:ascii="宋体" w:hAnsi="宋体" w:eastAsia="宋体"/>
                <w:sz w:val="21"/>
                <w:szCs w:val="21"/>
                <w:lang w:val="en-US" w:eastAsia="zh-CN"/>
              </w:rPr>
              <w:t>4</w:t>
            </w:r>
          </w:p>
        </w:tc>
        <w:tc>
          <w:tcPr>
            <w:tcW w:w="4582" w:type="pct"/>
            <w:vAlign w:val="center"/>
          </w:tcPr>
          <w:p w14:paraId="5C710969">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ascii="宋体" w:hAnsi="宋体" w:eastAsia="宋体"/>
                <w:b w:val="0"/>
                <w:bCs w:val="0"/>
                <w:sz w:val="21"/>
                <w:szCs w:val="21"/>
              </w:rPr>
              <w:t>硬盘</w:t>
            </w:r>
            <w:r>
              <w:rPr>
                <w:rFonts w:hint="eastAsia" w:ascii="宋体" w:hAnsi="宋体" w:eastAsia="宋体" w:cs="宋体"/>
                <w:i w:val="0"/>
                <w:iCs w:val="0"/>
                <w:color w:val="000000"/>
                <w:kern w:val="0"/>
                <w:sz w:val="21"/>
                <w:szCs w:val="21"/>
                <w:u w:val="none"/>
                <w:lang w:val="en-US" w:eastAsia="zh-CN" w:bidi="ar"/>
              </w:rPr>
              <w:t>：</w:t>
            </w:r>
            <w:r>
              <w:rPr>
                <w:rFonts w:ascii="宋体" w:hAnsi="宋体" w:eastAsia="宋体"/>
                <w:sz w:val="21"/>
                <w:szCs w:val="21"/>
              </w:rPr>
              <w:t>≥2块</w:t>
            </w:r>
            <w:r>
              <w:rPr>
                <w:rFonts w:hint="eastAsia" w:ascii="宋体" w:hAnsi="宋体" w:eastAsia="宋体"/>
                <w:sz w:val="21"/>
                <w:szCs w:val="21"/>
              </w:rPr>
              <w:t>48</w:t>
            </w:r>
            <w:r>
              <w:rPr>
                <w:rFonts w:ascii="宋体" w:hAnsi="宋体" w:eastAsia="宋体"/>
                <w:sz w:val="21"/>
                <w:szCs w:val="21"/>
              </w:rPr>
              <w:t>0G SSD硬盘；</w:t>
            </w:r>
            <w:r>
              <w:rPr>
                <w:rFonts w:ascii="宋体" w:hAnsi="宋体" w:eastAsia="宋体"/>
                <w:b/>
                <w:bCs/>
                <w:color w:val="auto"/>
                <w:sz w:val="21"/>
                <w:szCs w:val="21"/>
              </w:rPr>
              <w:t>≥</w:t>
            </w:r>
            <w:r>
              <w:rPr>
                <w:rFonts w:hint="eastAsia" w:ascii="宋体" w:hAnsi="宋体" w:eastAsia="宋体"/>
                <w:b/>
                <w:bCs/>
                <w:color w:val="auto"/>
                <w:sz w:val="21"/>
                <w:szCs w:val="21"/>
                <w:lang w:val="en-US" w:eastAsia="zh-CN"/>
              </w:rPr>
              <w:t>4*12</w:t>
            </w:r>
            <w:r>
              <w:rPr>
                <w:rFonts w:ascii="宋体" w:hAnsi="宋体" w:eastAsia="宋体"/>
                <w:b/>
                <w:bCs/>
                <w:color w:val="auto"/>
                <w:sz w:val="21"/>
                <w:szCs w:val="21"/>
              </w:rPr>
              <w:t>T SATA机械硬盘</w:t>
            </w:r>
            <w:r>
              <w:rPr>
                <w:rFonts w:hint="eastAsia" w:ascii="宋体" w:hAnsi="宋体" w:eastAsia="宋体"/>
                <w:sz w:val="21"/>
                <w:szCs w:val="21"/>
                <w:lang w:eastAsia="zh-CN"/>
              </w:rPr>
              <w:t>；</w:t>
            </w:r>
            <w:r>
              <w:rPr>
                <w:rFonts w:hint="eastAsia" w:ascii="宋体" w:hAnsi="宋体" w:eastAsia="宋体"/>
                <w:sz w:val="21"/>
                <w:szCs w:val="21"/>
              </w:rPr>
              <w:t>缓存盘</w:t>
            </w:r>
            <w:r>
              <w:rPr>
                <w:rFonts w:ascii="宋体" w:hAnsi="宋体" w:eastAsia="宋体"/>
                <w:sz w:val="21"/>
                <w:szCs w:val="21"/>
              </w:rPr>
              <w:t>≥2块</w:t>
            </w:r>
            <w:r>
              <w:rPr>
                <w:rFonts w:hint="eastAsia" w:ascii="宋体" w:hAnsi="宋体" w:eastAsia="宋体"/>
                <w:sz w:val="21"/>
                <w:szCs w:val="21"/>
                <w:lang w:val="en-US" w:eastAsia="zh-CN"/>
              </w:rPr>
              <w:t>3.84</w:t>
            </w:r>
            <w:r>
              <w:rPr>
                <w:rFonts w:ascii="宋体" w:hAnsi="宋体" w:eastAsia="宋体"/>
                <w:sz w:val="21"/>
                <w:szCs w:val="21"/>
              </w:rPr>
              <w:t>T-U.2-NVME-SSD硬盘</w:t>
            </w:r>
          </w:p>
        </w:tc>
      </w:tr>
      <w:tr w14:paraId="11348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417" w:type="pct"/>
            <w:vAlign w:val="center"/>
          </w:tcPr>
          <w:p w14:paraId="5257AF10">
            <w:pPr>
              <w:pStyle w:val="12"/>
              <w:numPr>
                <w:ilvl w:val="0"/>
                <w:numId w:val="0"/>
              </w:numPr>
              <w:adjustRightInd w:val="0"/>
              <w:spacing w:after="0" w:line="360" w:lineRule="auto"/>
              <w:ind w:left="220" w:leftChars="0"/>
              <w:jc w:val="both"/>
              <w:rPr>
                <w:rFonts w:hint="default" w:ascii="宋体" w:hAnsi="宋体" w:eastAsia="宋体"/>
                <w:sz w:val="21"/>
                <w:szCs w:val="21"/>
                <w:lang w:val="en-US" w:eastAsia="zh-CN"/>
              </w:rPr>
            </w:pPr>
            <w:r>
              <w:rPr>
                <w:rFonts w:hint="eastAsia" w:ascii="宋体" w:hAnsi="宋体" w:eastAsia="宋体"/>
                <w:sz w:val="21"/>
                <w:szCs w:val="21"/>
                <w:lang w:val="en-US" w:eastAsia="zh-CN"/>
              </w:rPr>
              <w:t>5</w:t>
            </w:r>
          </w:p>
        </w:tc>
        <w:tc>
          <w:tcPr>
            <w:tcW w:w="4582" w:type="pct"/>
            <w:vAlign w:val="center"/>
          </w:tcPr>
          <w:p w14:paraId="2B964536">
            <w:pPr>
              <w:adjustRightInd w:val="0"/>
              <w:spacing w:after="0" w:line="360" w:lineRule="auto"/>
              <w:rPr>
                <w:rFonts w:hint="eastAsia" w:ascii="宋体" w:hAnsi="宋体" w:eastAsia="宋体" w:cs="宋体"/>
                <w:i w:val="0"/>
                <w:iCs w:val="0"/>
                <w:color w:val="000000"/>
                <w:kern w:val="0"/>
                <w:sz w:val="21"/>
                <w:szCs w:val="21"/>
                <w:u w:val="none"/>
                <w:lang w:val="en-US" w:eastAsia="zh-CN" w:bidi="ar"/>
              </w:rPr>
            </w:pPr>
            <w:r>
              <w:rPr>
                <w:rFonts w:ascii="宋体" w:hAnsi="宋体" w:eastAsia="宋体"/>
                <w:sz w:val="21"/>
                <w:szCs w:val="21"/>
              </w:rPr>
              <w:t>网卡：≥4个GE电口，≥</w:t>
            </w:r>
            <w:r>
              <w:rPr>
                <w:rFonts w:hint="eastAsia" w:ascii="宋体" w:hAnsi="宋体" w:eastAsia="宋体"/>
                <w:sz w:val="21"/>
                <w:szCs w:val="21"/>
              </w:rPr>
              <w:t>4</w:t>
            </w:r>
            <w:r>
              <w:rPr>
                <w:rFonts w:ascii="宋体" w:hAnsi="宋体" w:eastAsia="宋体"/>
                <w:sz w:val="21"/>
                <w:szCs w:val="21"/>
              </w:rPr>
              <w:t>个10GE光口；</w:t>
            </w:r>
          </w:p>
        </w:tc>
      </w:tr>
      <w:tr w14:paraId="2F9FE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417" w:type="pct"/>
            <w:vAlign w:val="center"/>
          </w:tcPr>
          <w:p w14:paraId="21022DF6">
            <w:pPr>
              <w:pStyle w:val="12"/>
              <w:numPr>
                <w:ilvl w:val="0"/>
                <w:numId w:val="0"/>
              </w:numPr>
              <w:adjustRightInd w:val="0"/>
              <w:spacing w:after="0" w:line="360" w:lineRule="auto"/>
              <w:ind w:left="220" w:leftChars="0"/>
              <w:jc w:val="both"/>
              <w:rPr>
                <w:rFonts w:hint="default" w:ascii="宋体" w:hAnsi="宋体" w:eastAsia="宋体"/>
                <w:sz w:val="21"/>
                <w:szCs w:val="21"/>
                <w:lang w:val="en-US" w:eastAsia="zh-CN"/>
              </w:rPr>
            </w:pPr>
            <w:r>
              <w:rPr>
                <w:rFonts w:hint="eastAsia" w:ascii="宋体" w:hAnsi="宋体" w:eastAsia="宋体"/>
                <w:sz w:val="21"/>
                <w:szCs w:val="21"/>
                <w:lang w:val="en-US" w:eastAsia="zh-CN"/>
              </w:rPr>
              <w:t>6</w:t>
            </w:r>
          </w:p>
        </w:tc>
        <w:tc>
          <w:tcPr>
            <w:tcW w:w="4582" w:type="pct"/>
            <w:vAlign w:val="center"/>
          </w:tcPr>
          <w:p w14:paraId="08A35F65">
            <w:pPr>
              <w:adjustRightInd w:val="0"/>
              <w:spacing w:after="0" w:line="360" w:lineRule="auto"/>
              <w:rPr>
                <w:rFonts w:hint="eastAsia" w:ascii="宋体" w:hAnsi="宋体" w:eastAsia="宋体" w:cs="宋体"/>
                <w:b w:val="0"/>
                <w:bCs w:val="0"/>
                <w:i w:val="0"/>
                <w:iCs w:val="0"/>
                <w:color w:val="000000"/>
                <w:kern w:val="0"/>
                <w:sz w:val="21"/>
                <w:szCs w:val="21"/>
                <w:u w:val="none"/>
                <w:lang w:val="en-US" w:eastAsia="zh-CN" w:bidi="ar"/>
              </w:rPr>
            </w:pPr>
            <w:r>
              <w:rPr>
                <w:rFonts w:ascii="宋体" w:hAnsi="宋体" w:eastAsia="宋体"/>
                <w:b w:val="0"/>
                <w:bCs w:val="0"/>
                <w:sz w:val="21"/>
                <w:szCs w:val="21"/>
              </w:rPr>
              <w:t>电源：配置交流冗余电源</w:t>
            </w:r>
            <w:r>
              <w:rPr>
                <w:rFonts w:hint="eastAsia" w:ascii="宋体" w:hAnsi="宋体" w:eastAsia="宋体"/>
                <w:b w:val="0"/>
                <w:bCs w:val="0"/>
                <w:sz w:val="21"/>
                <w:szCs w:val="21"/>
              </w:rPr>
              <w:t>20</w:t>
            </w:r>
            <w:r>
              <w:rPr>
                <w:rFonts w:ascii="宋体" w:hAnsi="宋体" w:eastAsia="宋体"/>
                <w:b w:val="0"/>
                <w:bCs w:val="0"/>
                <w:sz w:val="21"/>
                <w:szCs w:val="21"/>
              </w:rPr>
              <w:t>00W；</w:t>
            </w:r>
          </w:p>
        </w:tc>
      </w:tr>
      <w:tr w14:paraId="3214D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417" w:type="pct"/>
            <w:vAlign w:val="center"/>
          </w:tcPr>
          <w:p w14:paraId="42CE0ED9">
            <w:pPr>
              <w:pStyle w:val="12"/>
              <w:numPr>
                <w:ilvl w:val="0"/>
                <w:numId w:val="0"/>
              </w:numPr>
              <w:adjustRightInd w:val="0"/>
              <w:spacing w:after="0" w:line="360" w:lineRule="auto"/>
              <w:ind w:left="220" w:leftChars="0"/>
              <w:jc w:val="both"/>
              <w:rPr>
                <w:rFonts w:hint="default" w:ascii="宋体" w:hAnsi="宋体" w:eastAsia="宋体"/>
                <w:sz w:val="21"/>
                <w:szCs w:val="21"/>
                <w:lang w:val="en-US" w:eastAsia="zh-CN"/>
              </w:rPr>
            </w:pPr>
            <w:r>
              <w:rPr>
                <w:rFonts w:hint="eastAsia" w:ascii="宋体" w:hAnsi="宋体" w:eastAsia="宋体"/>
                <w:sz w:val="21"/>
                <w:szCs w:val="21"/>
                <w:lang w:val="en-US" w:eastAsia="zh-CN"/>
              </w:rPr>
              <w:t>7</w:t>
            </w:r>
          </w:p>
        </w:tc>
        <w:tc>
          <w:tcPr>
            <w:tcW w:w="4582" w:type="pct"/>
            <w:vAlign w:val="center"/>
          </w:tcPr>
          <w:p w14:paraId="56E524AF">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ascii="宋体" w:hAnsi="宋体" w:eastAsia="宋体" w:cs="宋体"/>
                <w:i w:val="0"/>
                <w:iCs w:val="0"/>
                <w:color w:val="000000"/>
                <w:kern w:val="0"/>
                <w:sz w:val="21"/>
                <w:szCs w:val="21"/>
                <w:u w:val="none"/>
                <w:lang w:val="en-US" w:eastAsia="zh-CN" w:bidi="ar"/>
              </w:rPr>
            </w:pPr>
            <w:r>
              <w:rPr>
                <w:rFonts w:ascii="宋体" w:hAnsi="宋体" w:eastAsia="宋体"/>
                <w:sz w:val="21"/>
                <w:szCs w:val="21"/>
              </w:rPr>
              <w:t>光模块：单台服务器提供</w:t>
            </w:r>
            <w:r>
              <w:rPr>
                <w:rFonts w:hint="eastAsia" w:ascii="宋体" w:hAnsi="宋体" w:eastAsia="宋体"/>
                <w:sz w:val="21"/>
                <w:szCs w:val="21"/>
              </w:rPr>
              <w:t>8</w:t>
            </w:r>
            <w:r>
              <w:rPr>
                <w:rFonts w:ascii="宋体" w:hAnsi="宋体" w:eastAsia="宋体"/>
                <w:sz w:val="21"/>
                <w:szCs w:val="21"/>
              </w:rPr>
              <w:t>个原厂万兆</w:t>
            </w:r>
            <w:r>
              <w:rPr>
                <w:rFonts w:hint="eastAsia" w:ascii="宋体" w:hAnsi="宋体" w:eastAsia="宋体"/>
                <w:sz w:val="21"/>
                <w:szCs w:val="21"/>
              </w:rPr>
              <w:t>多模</w:t>
            </w:r>
            <w:r>
              <w:rPr>
                <w:rFonts w:ascii="宋体" w:hAnsi="宋体" w:eastAsia="宋体"/>
                <w:sz w:val="21"/>
                <w:szCs w:val="21"/>
              </w:rPr>
              <w:t>光模块；</w:t>
            </w:r>
            <w:r>
              <w:rPr>
                <w:rFonts w:hint="eastAsia" w:ascii="宋体" w:hAnsi="宋体" w:eastAsia="宋体"/>
                <w:sz w:val="21"/>
                <w:szCs w:val="21"/>
              </w:rPr>
              <w:t>4根10M多模</w:t>
            </w:r>
            <w:r>
              <w:rPr>
                <w:rFonts w:ascii="宋体" w:hAnsi="宋体" w:eastAsia="宋体"/>
                <w:sz w:val="21"/>
                <w:szCs w:val="21"/>
              </w:rPr>
              <w:t>光纤线</w:t>
            </w:r>
          </w:p>
        </w:tc>
      </w:tr>
      <w:tr w14:paraId="4B731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417" w:type="pct"/>
            <w:vAlign w:val="center"/>
          </w:tcPr>
          <w:p w14:paraId="7DE81A3A">
            <w:pPr>
              <w:pStyle w:val="12"/>
              <w:numPr>
                <w:ilvl w:val="0"/>
                <w:numId w:val="0"/>
              </w:numPr>
              <w:adjustRightInd w:val="0"/>
              <w:spacing w:after="0" w:line="360" w:lineRule="auto"/>
              <w:ind w:left="220" w:leftChars="0"/>
              <w:jc w:val="both"/>
              <w:rPr>
                <w:rFonts w:hint="default" w:ascii="宋体" w:hAnsi="宋体" w:eastAsia="宋体"/>
                <w:sz w:val="21"/>
                <w:szCs w:val="21"/>
                <w:lang w:val="en-US" w:eastAsia="zh-CN"/>
              </w:rPr>
            </w:pPr>
            <w:r>
              <w:rPr>
                <w:rFonts w:hint="eastAsia" w:ascii="宋体" w:hAnsi="宋体" w:eastAsia="宋体"/>
                <w:sz w:val="21"/>
                <w:szCs w:val="21"/>
                <w:lang w:val="en-US" w:eastAsia="zh-CN"/>
              </w:rPr>
              <w:t>8</w:t>
            </w:r>
          </w:p>
        </w:tc>
        <w:tc>
          <w:tcPr>
            <w:tcW w:w="4582" w:type="pct"/>
            <w:vAlign w:val="center"/>
          </w:tcPr>
          <w:p w14:paraId="70B72374">
            <w:pPr>
              <w:numPr>
                <w:ilvl w:val="0"/>
                <w:numId w:val="0"/>
              </w:numPr>
              <w:adjustRightInd w:val="0"/>
              <w:spacing w:after="0" w:line="360" w:lineRule="auto"/>
              <w:rPr>
                <w:rFonts w:hint="eastAsia" w:ascii="宋体" w:hAnsi="宋体" w:eastAsia="宋体"/>
                <w:b w:val="0"/>
                <w:bCs w:val="0"/>
                <w:color w:val="FF0000"/>
                <w:sz w:val="21"/>
                <w:szCs w:val="21"/>
                <w:lang w:val="en-US" w:eastAsia="zh-CN"/>
              </w:rPr>
            </w:pPr>
            <w:r>
              <w:rPr>
                <w:rFonts w:hint="eastAsia" w:ascii="宋体" w:hAnsi="宋体" w:eastAsia="宋体"/>
                <w:b w:val="0"/>
                <w:bCs w:val="0"/>
                <w:color w:val="auto"/>
                <w:sz w:val="21"/>
                <w:szCs w:val="21"/>
                <w:lang w:val="en-US" w:eastAsia="zh-CN"/>
              </w:rPr>
              <w:t>服务器：服务器数量按需配置，必须能承载最低300个8C8</w:t>
            </w:r>
            <w:r>
              <w:rPr>
                <w:rFonts w:hint="default" w:ascii="宋体" w:hAnsi="宋体" w:eastAsia="宋体"/>
                <w:b w:val="0"/>
                <w:bCs w:val="0"/>
                <w:color w:val="auto"/>
                <w:sz w:val="21"/>
                <w:szCs w:val="21"/>
                <w:lang w:val="en-US" w:eastAsia="zh-CN"/>
              </w:rPr>
              <w:t>G</w:t>
            </w:r>
            <w:r>
              <w:rPr>
                <w:rFonts w:hint="eastAsia" w:ascii="宋体" w:hAnsi="宋体" w:eastAsia="宋体"/>
                <w:b w:val="0"/>
                <w:bCs w:val="0"/>
                <w:color w:val="auto"/>
                <w:sz w:val="21"/>
                <w:szCs w:val="21"/>
                <w:lang w:val="en-US" w:eastAsia="zh-CN"/>
              </w:rPr>
              <w:t>500G瘦终端主机；</w:t>
            </w:r>
          </w:p>
          <w:p w14:paraId="4C63D419">
            <w:pPr>
              <w:pStyle w:val="4"/>
              <w:ind w:left="0" w:leftChars="0" w:firstLine="0" w:firstLineChars="0"/>
              <w:rPr>
                <w:rFonts w:hint="default"/>
                <w:lang w:val="en-US" w:eastAsia="zh-CN"/>
              </w:rPr>
            </w:pPr>
            <w:r>
              <w:rPr>
                <w:rFonts w:hint="eastAsia" w:ascii="宋体" w:hAnsi="宋体" w:eastAsia="宋体"/>
                <w:b w:val="0"/>
                <w:bCs w:val="0"/>
                <w:sz w:val="21"/>
                <w:szCs w:val="21"/>
                <w:lang w:val="en-US" w:eastAsia="zh-CN"/>
              </w:rPr>
              <w:t>为了保证后续服务的稳定性和统一性，云桌面服务器和云桌面授权必须为同一品牌。</w:t>
            </w:r>
          </w:p>
        </w:tc>
      </w:tr>
    </w:tbl>
    <w:p w14:paraId="18988E10">
      <w:pPr>
        <w:adjustRightInd w:val="0"/>
        <w:spacing w:after="0" w:line="360" w:lineRule="auto"/>
        <w:ind w:firstLine="440" w:firstLineChars="200"/>
        <w:rPr>
          <w:lang w:val="en-US" w:eastAsia="zh-CN"/>
        </w:rPr>
      </w:pPr>
    </w:p>
    <w:p w14:paraId="129FD32A">
      <w:pPr>
        <w:numPr>
          <w:ilvl w:val="0"/>
          <w:numId w:val="0"/>
        </w:numPr>
        <w:adjustRightInd w:val="0"/>
        <w:spacing w:after="0" w:line="360" w:lineRule="auto"/>
        <w:ind w:leftChars="0" w:firstLine="281" w:firstLineChars="100"/>
        <w:rPr>
          <w:rFonts w:hint="default" w:ascii="宋体" w:hAnsi="宋体" w:eastAsia="宋体"/>
          <w:b/>
          <w:bCs w:val="0"/>
          <w:sz w:val="28"/>
          <w:szCs w:val="28"/>
          <w:lang w:val="en-US" w:eastAsia="zh-CN"/>
        </w:rPr>
      </w:pPr>
      <w:r>
        <w:rPr>
          <w:rFonts w:hint="eastAsia" w:ascii="宋体" w:hAnsi="宋体" w:eastAsia="宋体"/>
          <w:b/>
          <w:bCs w:val="0"/>
          <w:sz w:val="28"/>
          <w:szCs w:val="28"/>
          <w:lang w:val="en-US" w:eastAsia="zh-CN"/>
        </w:rPr>
        <w:t>（五）系统信息可视化终端</w:t>
      </w:r>
    </w:p>
    <w:p w14:paraId="2774AB3F">
      <w:pPr>
        <w:numPr>
          <w:ilvl w:val="0"/>
          <w:numId w:val="0"/>
        </w:numPr>
        <w:adjustRightInd w:val="0"/>
        <w:spacing w:after="0" w:line="360" w:lineRule="auto"/>
        <w:ind w:firstLine="480" w:firstLineChars="200"/>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为医院精细化管理系统配套专属数据展示终端，实时对接前端各类业务系统。终端以可视化形式动态展示门诊及住院结算总量、医保报销总额、业务流量趋势、全院收支明细、医保待回款金额等核心运营指标，便于管理人员实时掌握业务运转状态、监控资金流向，为日常运营决策提供数据支撑。</w:t>
      </w:r>
    </w:p>
    <w:p w14:paraId="55063E40">
      <w:pPr>
        <w:ind w:firstLine="482" w:firstLineChars="200"/>
        <w:rPr>
          <w:rFonts w:hint="default" w:eastAsia="宋体"/>
          <w:b/>
          <w:bCs/>
          <w:sz w:val="24"/>
          <w:szCs w:val="24"/>
          <w:lang w:val="en-US" w:eastAsia="zh-CN"/>
        </w:rPr>
      </w:pPr>
      <w:r>
        <w:rPr>
          <w:rFonts w:hint="eastAsia" w:eastAsia="宋体"/>
          <w:b/>
          <w:bCs/>
          <w:sz w:val="24"/>
          <w:szCs w:val="24"/>
          <w:lang w:val="en-US" w:eastAsia="zh-CN"/>
        </w:rPr>
        <w:t>功能参数建设要求：（LED显示屏1个）</w:t>
      </w:r>
    </w:p>
    <w:tbl>
      <w:tblPr>
        <w:tblStyle w:val="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254FD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17" w:type="pct"/>
            <w:vAlign w:val="center"/>
          </w:tcPr>
          <w:p w14:paraId="70EEF8CC">
            <w:pPr>
              <w:adjustRightInd w:val="0"/>
              <w:spacing w:after="0" w:line="360" w:lineRule="auto"/>
              <w:jc w:val="center"/>
              <w:rPr>
                <w:rFonts w:hint="eastAsia" w:ascii="宋体" w:hAnsi="宋体" w:eastAsia="宋体"/>
                <w:b/>
                <w:sz w:val="24"/>
                <w:szCs w:val="24"/>
              </w:rPr>
            </w:pPr>
            <w:r>
              <w:rPr>
                <w:rFonts w:ascii="宋体" w:hAnsi="宋体" w:eastAsia="宋体"/>
                <w:b/>
                <w:sz w:val="24"/>
                <w:szCs w:val="24"/>
              </w:rPr>
              <w:t>序号</w:t>
            </w:r>
          </w:p>
        </w:tc>
        <w:tc>
          <w:tcPr>
            <w:tcW w:w="4582" w:type="pct"/>
            <w:vAlign w:val="center"/>
          </w:tcPr>
          <w:p w14:paraId="30C542CC">
            <w:pPr>
              <w:adjustRightInd w:val="0"/>
              <w:spacing w:after="0" w:line="360" w:lineRule="auto"/>
              <w:jc w:val="center"/>
              <w:rPr>
                <w:rFonts w:hint="eastAsia" w:ascii="宋体" w:hAnsi="宋体" w:eastAsia="宋体"/>
                <w:sz w:val="24"/>
                <w:szCs w:val="24"/>
              </w:rPr>
            </w:pPr>
            <w:r>
              <w:rPr>
                <w:rFonts w:ascii="宋体" w:hAnsi="宋体" w:eastAsia="宋体"/>
                <w:b/>
                <w:sz w:val="24"/>
                <w:szCs w:val="24"/>
              </w:rPr>
              <w:t>详细技术参数</w:t>
            </w:r>
          </w:p>
        </w:tc>
      </w:tr>
      <w:tr w14:paraId="2E157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17" w:type="pct"/>
            <w:vAlign w:val="center"/>
          </w:tcPr>
          <w:p w14:paraId="40A8C049">
            <w:pPr>
              <w:pStyle w:val="12"/>
              <w:numPr>
                <w:ilvl w:val="0"/>
                <w:numId w:val="0"/>
              </w:numPr>
              <w:adjustRightInd w:val="0"/>
              <w:spacing w:after="0" w:line="360" w:lineRule="auto"/>
              <w:ind w:left="220" w:leftChars="0"/>
              <w:jc w:val="both"/>
              <w:rPr>
                <w:rFonts w:hint="eastAsia" w:ascii="宋体" w:hAnsi="宋体" w:eastAsia="宋体"/>
                <w:sz w:val="24"/>
                <w:szCs w:val="24"/>
                <w:lang w:val="en-US" w:eastAsia="zh-CN"/>
              </w:rPr>
            </w:pPr>
            <w:r>
              <w:rPr>
                <w:rFonts w:hint="eastAsia" w:ascii="宋体" w:hAnsi="宋体" w:eastAsia="宋体"/>
                <w:sz w:val="24"/>
                <w:szCs w:val="24"/>
                <w:lang w:val="en-US" w:eastAsia="zh-CN"/>
              </w:rPr>
              <w:t>1</w:t>
            </w:r>
          </w:p>
        </w:tc>
        <w:tc>
          <w:tcPr>
            <w:tcW w:w="4582" w:type="pct"/>
            <w:vAlign w:val="center"/>
          </w:tcPr>
          <w:p w14:paraId="647B97B1">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规格：LED 全彩显示屏，可视面积约 6㎡，像素点间距 P1.8-2；</w:t>
            </w:r>
          </w:p>
          <w:p w14:paraId="37EAABAB">
            <w:pPr>
              <w:adjustRightInd w:val="0"/>
              <w:spacing w:after="0" w:line="360" w:lineRule="auto"/>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14:ligatures w14:val="standardContextual"/>
              </w:rPr>
              <w:t>屏幕比例:16:9</w:t>
            </w:r>
          </w:p>
        </w:tc>
      </w:tr>
      <w:tr w14:paraId="2EFA3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17" w:type="pct"/>
            <w:vAlign w:val="center"/>
          </w:tcPr>
          <w:p w14:paraId="143C959C">
            <w:pPr>
              <w:pStyle w:val="12"/>
              <w:numPr>
                <w:ilvl w:val="0"/>
                <w:numId w:val="0"/>
              </w:numPr>
              <w:adjustRightInd w:val="0"/>
              <w:spacing w:after="0" w:line="360" w:lineRule="auto"/>
              <w:ind w:left="220" w:leftChars="0"/>
              <w:jc w:val="both"/>
              <w:rPr>
                <w:rFonts w:hint="eastAsia" w:ascii="宋体" w:hAnsi="宋体" w:eastAsia="宋体"/>
                <w:sz w:val="24"/>
                <w:szCs w:val="24"/>
                <w:lang w:val="en-US" w:eastAsia="zh-CN"/>
              </w:rPr>
            </w:pPr>
            <w:r>
              <w:rPr>
                <w:rFonts w:hint="eastAsia" w:ascii="宋体" w:hAnsi="宋体" w:eastAsia="宋体"/>
                <w:sz w:val="24"/>
                <w:szCs w:val="24"/>
                <w:lang w:val="en-US" w:eastAsia="zh-CN"/>
              </w:rPr>
              <w:t>2</w:t>
            </w:r>
          </w:p>
        </w:tc>
        <w:tc>
          <w:tcPr>
            <w:tcW w:w="4582" w:type="pct"/>
            <w:vAlign w:val="center"/>
          </w:tcPr>
          <w:p w14:paraId="6FA8E016">
            <w:pPr>
              <w:adjustRightInd w:val="0"/>
              <w:spacing w:after="0" w:line="360" w:lineRule="auto"/>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14:ligatures w14:val="standardContextual"/>
              </w:rPr>
              <w:t>电源：配套 LED 专用防水开关电源，输出规格 5V40A，电源总功率满足整屏负载需求</w:t>
            </w:r>
          </w:p>
        </w:tc>
      </w:tr>
      <w:tr w14:paraId="34DBF9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17" w:type="pct"/>
            <w:vAlign w:val="center"/>
          </w:tcPr>
          <w:p w14:paraId="046F8388">
            <w:pPr>
              <w:pStyle w:val="12"/>
              <w:numPr>
                <w:ilvl w:val="0"/>
                <w:numId w:val="0"/>
              </w:numPr>
              <w:adjustRightInd w:val="0"/>
              <w:spacing w:after="0" w:line="360" w:lineRule="auto"/>
              <w:ind w:left="220" w:leftChars="0"/>
              <w:jc w:val="both"/>
              <w:rPr>
                <w:rFonts w:hint="default" w:ascii="宋体" w:hAnsi="宋体" w:eastAsia="宋体"/>
                <w:sz w:val="24"/>
                <w:szCs w:val="24"/>
                <w:lang w:val="en-US" w:eastAsia="zh-CN"/>
              </w:rPr>
            </w:pPr>
            <w:r>
              <w:rPr>
                <w:rFonts w:hint="eastAsia" w:ascii="宋体" w:hAnsi="宋体" w:eastAsia="宋体"/>
                <w:sz w:val="24"/>
                <w:szCs w:val="24"/>
                <w:lang w:val="en-US" w:eastAsia="zh-CN"/>
              </w:rPr>
              <w:t>3</w:t>
            </w:r>
          </w:p>
        </w:tc>
        <w:tc>
          <w:tcPr>
            <w:tcW w:w="4582" w:type="pct"/>
            <w:vAlign w:val="center"/>
          </w:tcPr>
          <w:p w14:paraId="71723124">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14:ligatures w14:val="standardContextual"/>
              </w:rPr>
              <w:t>主机：全彩LED</w:t>
            </w:r>
          </w:p>
        </w:tc>
      </w:tr>
      <w:tr w14:paraId="6831E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17" w:type="pct"/>
            <w:vAlign w:val="center"/>
          </w:tcPr>
          <w:p w14:paraId="5193E06C">
            <w:pPr>
              <w:pStyle w:val="12"/>
              <w:numPr>
                <w:ilvl w:val="0"/>
                <w:numId w:val="0"/>
              </w:numPr>
              <w:adjustRightInd w:val="0"/>
              <w:spacing w:after="0" w:line="360" w:lineRule="auto"/>
              <w:ind w:left="220" w:leftChars="0"/>
              <w:jc w:val="both"/>
              <w:rPr>
                <w:rFonts w:hint="default" w:ascii="宋体" w:hAnsi="宋体" w:eastAsia="宋体"/>
                <w:sz w:val="24"/>
                <w:szCs w:val="24"/>
                <w:lang w:val="en-US" w:eastAsia="zh-CN"/>
              </w:rPr>
            </w:pPr>
            <w:r>
              <w:rPr>
                <w:rFonts w:hint="eastAsia" w:ascii="宋体" w:hAnsi="宋体" w:eastAsia="宋体"/>
                <w:sz w:val="24"/>
                <w:szCs w:val="24"/>
                <w:lang w:val="en-US" w:eastAsia="zh-CN"/>
              </w:rPr>
              <w:t>4</w:t>
            </w:r>
          </w:p>
        </w:tc>
        <w:tc>
          <w:tcPr>
            <w:tcW w:w="4582" w:type="pct"/>
            <w:vAlign w:val="center"/>
          </w:tcPr>
          <w:p w14:paraId="2C6AEE41">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14:ligatures w14:val="standardContextual"/>
              </w:rPr>
              <w:t>电源机箱：LED</w:t>
            </w:r>
          </w:p>
        </w:tc>
      </w:tr>
      <w:tr w14:paraId="2BC79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17" w:type="pct"/>
            <w:vAlign w:val="center"/>
          </w:tcPr>
          <w:p w14:paraId="4BC971CA">
            <w:pPr>
              <w:pStyle w:val="12"/>
              <w:numPr>
                <w:ilvl w:val="0"/>
                <w:numId w:val="0"/>
              </w:numPr>
              <w:adjustRightInd w:val="0"/>
              <w:spacing w:after="0" w:line="360" w:lineRule="auto"/>
              <w:ind w:left="220" w:leftChars="0"/>
              <w:jc w:val="both"/>
              <w:rPr>
                <w:rFonts w:hint="default" w:ascii="宋体" w:hAnsi="宋体" w:eastAsia="宋体"/>
                <w:sz w:val="24"/>
                <w:szCs w:val="24"/>
                <w:lang w:val="en-US" w:eastAsia="zh-CN"/>
              </w:rPr>
            </w:pPr>
            <w:r>
              <w:rPr>
                <w:rFonts w:hint="eastAsia" w:ascii="宋体" w:hAnsi="宋体" w:eastAsia="宋体"/>
                <w:sz w:val="24"/>
                <w:szCs w:val="24"/>
                <w:lang w:val="en-US" w:eastAsia="zh-CN"/>
              </w:rPr>
              <w:t>5</w:t>
            </w:r>
          </w:p>
        </w:tc>
        <w:tc>
          <w:tcPr>
            <w:tcW w:w="4582" w:type="pct"/>
            <w:vAlign w:val="center"/>
          </w:tcPr>
          <w:p w14:paraId="6834F3CD">
            <w:pPr>
              <w:keepNext w:val="0"/>
              <w:keepLines w:val="0"/>
              <w:pageBreakBefore w:val="0"/>
              <w:widowControl/>
              <w:suppressLineNumbers w:val="0"/>
              <w:kinsoku/>
              <w:wordWrap/>
              <w:overflowPunct/>
              <w:topLinePunct w:val="0"/>
              <w:autoSpaceDE/>
              <w:autoSpaceDN/>
              <w:bidi w:val="0"/>
              <w:adjustRightInd/>
              <w:snapToGrid/>
              <w:spacing w:line="400" w:lineRule="exact"/>
              <w:ind w:firstLine="0" w:firstLineChars="0"/>
              <w:jc w:val="left"/>
              <w:textAlignment w:val="center"/>
              <w:rPr>
                <w:rFonts w:hint="default"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其他：磁柱，铁背条、电源线、排线等一批</w:t>
            </w:r>
          </w:p>
        </w:tc>
      </w:tr>
    </w:tbl>
    <w:p w14:paraId="75C17C3A">
      <w:pPr>
        <w:numPr>
          <w:ilvl w:val="0"/>
          <w:numId w:val="0"/>
        </w:numPr>
        <w:adjustRightInd w:val="0"/>
        <w:spacing w:after="0" w:line="360" w:lineRule="auto"/>
        <w:ind w:firstLine="281" w:firstLineChars="100"/>
        <w:rPr>
          <w:rFonts w:hint="eastAsia" w:ascii="宋体" w:hAnsi="宋体" w:eastAsia="宋体"/>
          <w:b/>
          <w:bCs w:val="0"/>
          <w:sz w:val="28"/>
          <w:szCs w:val="28"/>
          <w:lang w:val="en-US" w:eastAsia="zh-CN"/>
        </w:rPr>
      </w:pPr>
    </w:p>
    <w:p w14:paraId="2963253B">
      <w:pPr>
        <w:numPr>
          <w:ilvl w:val="0"/>
          <w:numId w:val="0"/>
        </w:numPr>
        <w:adjustRightInd w:val="0"/>
        <w:spacing w:after="0" w:line="360" w:lineRule="auto"/>
        <w:ind w:firstLine="281" w:firstLineChars="100"/>
        <w:rPr>
          <w:rFonts w:hint="eastAsia" w:ascii="宋体" w:hAnsi="宋体" w:eastAsia="宋体"/>
          <w:b/>
          <w:bCs w:val="0"/>
          <w:sz w:val="28"/>
          <w:szCs w:val="28"/>
          <w:lang w:val="en-US" w:eastAsia="zh-CN"/>
        </w:rPr>
      </w:pPr>
      <w:r>
        <w:rPr>
          <w:rFonts w:hint="eastAsia" w:ascii="宋体" w:hAnsi="宋体" w:eastAsia="宋体"/>
          <w:b/>
          <w:bCs w:val="0"/>
          <w:sz w:val="28"/>
          <w:szCs w:val="28"/>
          <w:lang w:val="en-US" w:eastAsia="zh-CN"/>
        </w:rPr>
        <w:t>（六）动态公示屏</w:t>
      </w:r>
    </w:p>
    <w:p w14:paraId="195AF427">
      <w:pPr>
        <w:numPr>
          <w:ilvl w:val="0"/>
          <w:numId w:val="0"/>
        </w:numPr>
        <w:adjustRightInd w:val="0"/>
        <w:spacing w:after="0" w:line="360" w:lineRule="auto"/>
        <w:ind w:firstLine="480" w:firstLineChars="200"/>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配置医院专用动态公示终端，聚焦院内医保资金流转、财务收支管理、患者费用结算等医疗金融核心场景，搭建标准化、透明化的金融信息公示体系。设备可动态轮播展示医保报销政策、收费标准规范、缴费办理、结算业务流程、医保资金回款进度、金融合规公示公告等关键信息，同步兼顾院内健康科普、公益宣教、就医须知公示等服务功能。提升医院医疗金融服务标准化、透明化运营水平。</w:t>
      </w:r>
    </w:p>
    <w:p w14:paraId="7F2C3FD5">
      <w:pPr>
        <w:numPr>
          <w:ilvl w:val="0"/>
          <w:numId w:val="4"/>
        </w:numPr>
        <w:ind w:firstLine="482" w:firstLineChars="200"/>
        <w:rPr>
          <w:rFonts w:hint="eastAsia" w:eastAsia="宋体"/>
          <w:b/>
          <w:bCs/>
          <w:sz w:val="24"/>
          <w:szCs w:val="24"/>
          <w:lang w:val="en-US" w:eastAsia="zh-CN"/>
        </w:rPr>
      </w:pPr>
      <w:r>
        <w:rPr>
          <w:rFonts w:hint="eastAsia" w:eastAsia="宋体"/>
          <w:b/>
          <w:bCs/>
          <w:sz w:val="24"/>
          <w:szCs w:val="24"/>
          <w:lang w:val="en-US" w:eastAsia="zh-CN"/>
        </w:rPr>
        <w:t>功能参数建设要求：（电梯广告屏4台）</w:t>
      </w:r>
    </w:p>
    <w:tbl>
      <w:tblPr>
        <w:tblStyle w:val="8"/>
        <w:tblW w:w="51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8085"/>
      </w:tblGrid>
      <w:tr w14:paraId="1935E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04" w:type="pct"/>
            <w:vAlign w:val="center"/>
          </w:tcPr>
          <w:p w14:paraId="4E38CCEE">
            <w:pPr>
              <w:adjustRightInd w:val="0"/>
              <w:spacing w:after="0" w:line="360" w:lineRule="auto"/>
              <w:jc w:val="center"/>
              <w:rPr>
                <w:rFonts w:hint="eastAsia" w:ascii="宋体" w:hAnsi="宋体" w:eastAsia="宋体"/>
                <w:b/>
                <w:sz w:val="24"/>
                <w:szCs w:val="24"/>
              </w:rPr>
            </w:pPr>
            <w:r>
              <w:rPr>
                <w:rFonts w:ascii="宋体" w:hAnsi="宋体" w:eastAsia="宋体"/>
                <w:b/>
                <w:sz w:val="24"/>
                <w:szCs w:val="24"/>
              </w:rPr>
              <w:t>序号</w:t>
            </w:r>
          </w:p>
        </w:tc>
        <w:tc>
          <w:tcPr>
            <w:tcW w:w="4595" w:type="pct"/>
            <w:vAlign w:val="center"/>
          </w:tcPr>
          <w:p w14:paraId="26C3A550">
            <w:pPr>
              <w:adjustRightInd w:val="0"/>
              <w:spacing w:after="0" w:line="360" w:lineRule="auto"/>
              <w:jc w:val="center"/>
              <w:rPr>
                <w:rFonts w:hint="eastAsia" w:ascii="宋体" w:hAnsi="宋体" w:eastAsia="宋体"/>
                <w:sz w:val="24"/>
                <w:szCs w:val="24"/>
              </w:rPr>
            </w:pPr>
            <w:r>
              <w:rPr>
                <w:rFonts w:ascii="宋体" w:hAnsi="宋体" w:eastAsia="宋体"/>
                <w:b/>
                <w:sz w:val="24"/>
                <w:szCs w:val="24"/>
              </w:rPr>
              <w:t>详细技术参数</w:t>
            </w:r>
          </w:p>
        </w:tc>
      </w:tr>
      <w:tr w14:paraId="0C213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404" w:type="pct"/>
            <w:vAlign w:val="center"/>
          </w:tcPr>
          <w:p w14:paraId="169131D2">
            <w:pPr>
              <w:pStyle w:val="12"/>
              <w:numPr>
                <w:ilvl w:val="0"/>
                <w:numId w:val="0"/>
              </w:numPr>
              <w:adjustRightInd w:val="0"/>
              <w:spacing w:after="0" w:line="360" w:lineRule="auto"/>
              <w:ind w:left="220" w:leftChars="0"/>
              <w:jc w:val="both"/>
              <w:rPr>
                <w:rFonts w:hint="eastAsia" w:ascii="宋体" w:hAnsi="宋体" w:eastAsia="宋体"/>
                <w:sz w:val="24"/>
                <w:szCs w:val="24"/>
                <w:lang w:val="en-US" w:eastAsia="zh-CN"/>
              </w:rPr>
            </w:pPr>
            <w:r>
              <w:rPr>
                <w:rFonts w:hint="eastAsia" w:ascii="宋体" w:hAnsi="宋体" w:eastAsia="宋体"/>
                <w:sz w:val="24"/>
                <w:szCs w:val="24"/>
                <w:lang w:val="en-US" w:eastAsia="zh-CN"/>
              </w:rPr>
              <w:t>1</w:t>
            </w:r>
          </w:p>
        </w:tc>
        <w:tc>
          <w:tcPr>
            <w:tcW w:w="4595" w:type="pct"/>
            <w:vAlign w:val="center"/>
          </w:tcPr>
          <w:p w14:paraId="49B67508">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规格：32英寸非触摸屏</w:t>
            </w:r>
          </w:p>
        </w:tc>
      </w:tr>
      <w:tr w14:paraId="7355A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04" w:type="pct"/>
            <w:vAlign w:val="center"/>
          </w:tcPr>
          <w:p w14:paraId="7C453A8D">
            <w:pPr>
              <w:pStyle w:val="12"/>
              <w:numPr>
                <w:ilvl w:val="0"/>
                <w:numId w:val="0"/>
              </w:numPr>
              <w:adjustRightInd w:val="0"/>
              <w:spacing w:after="0" w:line="360" w:lineRule="auto"/>
              <w:ind w:left="220" w:leftChars="0"/>
              <w:jc w:val="both"/>
              <w:rPr>
                <w:rFonts w:hint="eastAsia" w:ascii="宋体" w:hAnsi="宋体" w:eastAsia="宋体"/>
                <w:sz w:val="24"/>
                <w:szCs w:val="24"/>
                <w:lang w:val="en-US" w:eastAsia="zh-CN"/>
              </w:rPr>
            </w:pPr>
            <w:r>
              <w:rPr>
                <w:rFonts w:hint="eastAsia" w:ascii="宋体" w:hAnsi="宋体" w:eastAsia="宋体"/>
                <w:sz w:val="24"/>
                <w:szCs w:val="24"/>
                <w:lang w:val="en-US" w:eastAsia="zh-CN"/>
              </w:rPr>
              <w:t>2</w:t>
            </w:r>
          </w:p>
        </w:tc>
        <w:tc>
          <w:tcPr>
            <w:tcW w:w="4595" w:type="pct"/>
            <w:vAlign w:val="center"/>
          </w:tcPr>
          <w:p w14:paraId="1BAF8169">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分辨率:1920×1080（全高清），支持画面分区域显示（如图片+视频+滚动字幕同屏）</w:t>
            </w:r>
          </w:p>
        </w:tc>
      </w:tr>
      <w:tr w14:paraId="6B878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404" w:type="pct"/>
            <w:vAlign w:val="center"/>
          </w:tcPr>
          <w:p w14:paraId="3279B8B0">
            <w:pPr>
              <w:pStyle w:val="12"/>
              <w:numPr>
                <w:ilvl w:val="0"/>
                <w:numId w:val="0"/>
              </w:numPr>
              <w:adjustRightInd w:val="0"/>
              <w:spacing w:after="0" w:line="360" w:lineRule="auto"/>
              <w:ind w:left="220" w:leftChars="0"/>
              <w:jc w:val="both"/>
              <w:rPr>
                <w:rFonts w:hint="default" w:ascii="宋体" w:hAnsi="宋体" w:eastAsia="宋体"/>
                <w:sz w:val="24"/>
                <w:szCs w:val="24"/>
                <w:lang w:val="en-US" w:eastAsia="zh-CN"/>
              </w:rPr>
            </w:pPr>
            <w:r>
              <w:rPr>
                <w:rFonts w:hint="eastAsia" w:ascii="宋体" w:hAnsi="宋体" w:eastAsia="宋体"/>
                <w:sz w:val="24"/>
                <w:szCs w:val="24"/>
                <w:lang w:val="en-US" w:eastAsia="zh-CN"/>
              </w:rPr>
              <w:t>3</w:t>
            </w:r>
          </w:p>
        </w:tc>
        <w:tc>
          <w:tcPr>
            <w:tcW w:w="4595" w:type="pct"/>
            <w:vAlign w:val="center"/>
          </w:tcPr>
          <w:p w14:paraId="0CC78AC7">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屏幕比例:16:9</w:t>
            </w:r>
          </w:p>
        </w:tc>
      </w:tr>
      <w:tr w14:paraId="0DE2A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404" w:type="pct"/>
            <w:vAlign w:val="center"/>
          </w:tcPr>
          <w:p w14:paraId="7D68A4AE">
            <w:pPr>
              <w:pStyle w:val="12"/>
              <w:numPr>
                <w:ilvl w:val="0"/>
                <w:numId w:val="0"/>
              </w:numPr>
              <w:adjustRightInd w:val="0"/>
              <w:spacing w:after="0" w:line="360" w:lineRule="auto"/>
              <w:ind w:left="220" w:leftChars="0"/>
              <w:jc w:val="both"/>
              <w:rPr>
                <w:rFonts w:hint="default" w:ascii="宋体" w:hAnsi="宋体" w:eastAsia="宋体"/>
                <w:sz w:val="24"/>
                <w:szCs w:val="24"/>
                <w:lang w:val="en-US" w:eastAsia="zh-CN"/>
              </w:rPr>
            </w:pPr>
            <w:r>
              <w:rPr>
                <w:rFonts w:hint="eastAsia" w:ascii="宋体" w:hAnsi="宋体" w:eastAsia="宋体"/>
                <w:sz w:val="24"/>
                <w:szCs w:val="24"/>
                <w:lang w:val="en-US" w:eastAsia="zh-CN"/>
              </w:rPr>
              <w:t>4</w:t>
            </w:r>
          </w:p>
        </w:tc>
        <w:tc>
          <w:tcPr>
            <w:tcW w:w="4595" w:type="pct"/>
            <w:vAlign w:val="center"/>
          </w:tcPr>
          <w:p w14:paraId="7015F220">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面板类型:IPS面板</w:t>
            </w:r>
          </w:p>
        </w:tc>
      </w:tr>
      <w:tr w14:paraId="33B4B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04" w:type="pct"/>
            <w:vAlign w:val="center"/>
          </w:tcPr>
          <w:p w14:paraId="45D7BA82">
            <w:pPr>
              <w:pStyle w:val="12"/>
              <w:numPr>
                <w:ilvl w:val="0"/>
                <w:numId w:val="0"/>
              </w:numPr>
              <w:adjustRightInd w:val="0"/>
              <w:spacing w:after="0" w:line="360" w:lineRule="auto"/>
              <w:ind w:left="220" w:leftChars="0"/>
              <w:jc w:val="both"/>
              <w:rPr>
                <w:rFonts w:hint="default" w:ascii="宋体" w:hAnsi="宋体" w:eastAsia="宋体"/>
                <w:sz w:val="24"/>
                <w:szCs w:val="24"/>
                <w:lang w:val="en-US" w:eastAsia="zh-CN"/>
              </w:rPr>
            </w:pPr>
            <w:r>
              <w:rPr>
                <w:rFonts w:hint="eastAsia" w:ascii="宋体" w:hAnsi="宋体" w:eastAsia="宋体"/>
                <w:sz w:val="24"/>
                <w:szCs w:val="24"/>
                <w:lang w:val="en-US" w:eastAsia="zh-CN"/>
              </w:rPr>
              <w:t>5</w:t>
            </w:r>
          </w:p>
        </w:tc>
        <w:tc>
          <w:tcPr>
            <w:tcW w:w="4595" w:type="pct"/>
            <w:vAlign w:val="center"/>
          </w:tcPr>
          <w:p w14:paraId="068734BE">
            <w:pPr>
              <w:adjustRightInd w:val="0"/>
              <w:spacing w:after="0" w:line="360" w:lineRule="auto"/>
              <w:rPr>
                <w:rFonts w:hint="default"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接口：USB 接口≥2 路，支持本地 U 盘音视频播放；具备 3.5mm 音频输出接口或内置扬声器</w:t>
            </w:r>
          </w:p>
        </w:tc>
      </w:tr>
      <w:tr w14:paraId="65C697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jc w:val="center"/>
        </w:trPr>
        <w:tc>
          <w:tcPr>
            <w:tcW w:w="404" w:type="pct"/>
            <w:vAlign w:val="center"/>
          </w:tcPr>
          <w:p w14:paraId="01F04183">
            <w:pPr>
              <w:pStyle w:val="12"/>
              <w:numPr>
                <w:ilvl w:val="0"/>
                <w:numId w:val="0"/>
              </w:numPr>
              <w:adjustRightInd w:val="0"/>
              <w:spacing w:after="0" w:line="360" w:lineRule="auto"/>
              <w:ind w:left="220" w:leftChars="0"/>
              <w:jc w:val="both"/>
              <w:rPr>
                <w:rFonts w:hint="default" w:ascii="宋体" w:hAnsi="宋体" w:eastAsia="宋体"/>
                <w:sz w:val="24"/>
                <w:szCs w:val="24"/>
                <w:lang w:val="en-US" w:eastAsia="zh-CN"/>
              </w:rPr>
            </w:pPr>
            <w:r>
              <w:rPr>
                <w:rFonts w:hint="eastAsia" w:ascii="宋体" w:hAnsi="宋体" w:eastAsia="宋体"/>
                <w:sz w:val="24"/>
                <w:szCs w:val="24"/>
                <w:lang w:val="en-US" w:eastAsia="zh-CN"/>
              </w:rPr>
              <w:t>6</w:t>
            </w:r>
          </w:p>
        </w:tc>
        <w:tc>
          <w:tcPr>
            <w:tcW w:w="4595" w:type="pct"/>
            <w:shd w:val="clear" w:color="auto" w:fill="auto"/>
            <w:vAlign w:val="center"/>
          </w:tcPr>
          <w:p w14:paraId="2D0A1A21">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网络：支持有线（RJ45）和无线（Wi-Fi）</w:t>
            </w:r>
          </w:p>
        </w:tc>
      </w:tr>
      <w:tr w14:paraId="09221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404" w:type="pct"/>
            <w:vAlign w:val="center"/>
          </w:tcPr>
          <w:p w14:paraId="2904A6F3">
            <w:pPr>
              <w:pStyle w:val="12"/>
              <w:numPr>
                <w:ilvl w:val="0"/>
                <w:numId w:val="0"/>
              </w:numPr>
              <w:adjustRightInd w:val="0"/>
              <w:spacing w:after="0" w:line="360" w:lineRule="auto"/>
              <w:ind w:left="220" w:leftChars="0"/>
              <w:jc w:val="both"/>
              <w:rPr>
                <w:rFonts w:hint="default" w:ascii="宋体" w:hAnsi="宋体" w:eastAsia="宋体"/>
                <w:sz w:val="24"/>
                <w:szCs w:val="24"/>
                <w:lang w:val="en-US" w:eastAsia="zh-CN"/>
              </w:rPr>
            </w:pPr>
            <w:r>
              <w:rPr>
                <w:rFonts w:hint="eastAsia" w:ascii="宋体" w:hAnsi="宋体" w:eastAsia="宋体"/>
                <w:sz w:val="24"/>
                <w:szCs w:val="24"/>
                <w:lang w:val="en-US" w:eastAsia="zh-CN"/>
              </w:rPr>
              <w:t>7</w:t>
            </w:r>
          </w:p>
        </w:tc>
        <w:tc>
          <w:tcPr>
            <w:tcW w:w="4595" w:type="pct"/>
            <w:shd w:val="clear" w:color="auto" w:fill="auto"/>
            <w:vAlign w:val="center"/>
          </w:tcPr>
          <w:p w14:paraId="5D464321">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环境:室内；适合电梯光线亮度</w:t>
            </w:r>
          </w:p>
        </w:tc>
      </w:tr>
      <w:tr w14:paraId="67850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04" w:type="pct"/>
            <w:vAlign w:val="center"/>
          </w:tcPr>
          <w:p w14:paraId="77B46B72">
            <w:pPr>
              <w:pStyle w:val="12"/>
              <w:numPr>
                <w:ilvl w:val="0"/>
                <w:numId w:val="0"/>
              </w:numPr>
              <w:adjustRightInd w:val="0"/>
              <w:spacing w:after="0" w:line="360" w:lineRule="auto"/>
              <w:ind w:left="220" w:leftChars="0"/>
              <w:jc w:val="both"/>
              <w:rPr>
                <w:rFonts w:hint="default" w:ascii="宋体" w:hAnsi="宋体" w:eastAsia="宋体"/>
                <w:sz w:val="24"/>
                <w:szCs w:val="24"/>
                <w:lang w:val="en-US" w:eastAsia="zh-CN"/>
              </w:rPr>
            </w:pPr>
            <w:r>
              <w:rPr>
                <w:rFonts w:hint="eastAsia" w:ascii="宋体" w:hAnsi="宋体" w:eastAsia="宋体"/>
                <w:sz w:val="24"/>
                <w:szCs w:val="24"/>
                <w:lang w:val="en-US" w:eastAsia="zh-CN"/>
              </w:rPr>
              <w:t>8</w:t>
            </w:r>
          </w:p>
        </w:tc>
        <w:tc>
          <w:tcPr>
            <w:tcW w:w="4595" w:type="pct"/>
            <w:vAlign w:val="center"/>
          </w:tcPr>
          <w:p w14:paraId="29DAB0DC">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安装方式：壁挂式</w:t>
            </w:r>
            <w:r>
              <w:rPr>
                <w:rFonts w:hint="default" w:ascii="宋体" w:hAnsi="宋体" w:eastAsia="宋体" w:cs="宋体"/>
                <w:i w:val="0"/>
                <w:iCs w:val="0"/>
                <w:color w:val="000000"/>
                <w:kern w:val="0"/>
                <w:sz w:val="24"/>
                <w:szCs w:val="24"/>
                <w:u w:val="none"/>
                <w:lang w:val="en-US" w:eastAsia="zh-CN" w:bidi="ar"/>
                <w14:ligatures w14:val="standardContextual"/>
              </w:rPr>
              <w:fldChar w:fldCharType="begin"/>
            </w:r>
            <w:r>
              <w:rPr>
                <w:rFonts w:hint="default" w:ascii="宋体" w:hAnsi="宋体" w:eastAsia="宋体" w:cs="宋体"/>
                <w:i w:val="0"/>
                <w:iCs w:val="0"/>
                <w:color w:val="000000"/>
                <w:kern w:val="0"/>
                <w:sz w:val="24"/>
                <w:szCs w:val="24"/>
                <w:u w:val="none"/>
                <w:lang w:val="en-US" w:eastAsia="zh-CN" w:bidi="ar"/>
                <w14:ligatures w14:val="standardContextual"/>
              </w:rPr>
              <w:instrText xml:space="preserve"> HYPERLINK "https://m.suning.com/itemcanshu/0000000000/12431348315.html" \t "https://chat.deepseek.com/a/chat/s/_blank" </w:instrText>
            </w:r>
            <w:r>
              <w:rPr>
                <w:rFonts w:hint="default" w:ascii="宋体" w:hAnsi="宋体" w:eastAsia="宋体" w:cs="宋体"/>
                <w:i w:val="0"/>
                <w:iCs w:val="0"/>
                <w:color w:val="000000"/>
                <w:kern w:val="0"/>
                <w:sz w:val="24"/>
                <w:szCs w:val="24"/>
                <w:u w:val="none"/>
                <w:lang w:val="en-US" w:eastAsia="zh-CN" w:bidi="ar"/>
                <w14:ligatures w14:val="standardContextual"/>
              </w:rPr>
              <w:fldChar w:fldCharType="separate"/>
            </w:r>
            <w:r>
              <w:rPr>
                <w:rFonts w:hint="default" w:ascii="宋体" w:hAnsi="宋体" w:eastAsia="宋体" w:cs="宋体"/>
                <w:i w:val="0"/>
                <w:iCs w:val="0"/>
                <w:color w:val="000000"/>
                <w:kern w:val="0"/>
                <w:sz w:val="24"/>
                <w:szCs w:val="24"/>
                <w:u w:val="none"/>
                <w:lang w:val="en-US" w:eastAsia="zh-CN" w:bidi="ar"/>
                <w14:ligatures w14:val="standardContextual"/>
              </w:rPr>
              <w:fldChar w:fldCharType="end"/>
            </w:r>
            <w:r>
              <w:rPr>
                <w:rFonts w:hint="default" w:ascii="宋体" w:hAnsi="宋体" w:eastAsia="宋体" w:cs="宋体"/>
                <w:i w:val="0"/>
                <w:iCs w:val="0"/>
                <w:color w:val="000000"/>
                <w:kern w:val="0"/>
                <w:sz w:val="24"/>
                <w:szCs w:val="24"/>
                <w:u w:val="none"/>
                <w:lang w:val="en-US" w:eastAsia="zh-CN" w:bidi="ar"/>
                <w14:ligatures w14:val="standardContextual"/>
              </w:rPr>
              <w:t>（支持横屏/竖屏安装）</w:t>
            </w:r>
          </w:p>
        </w:tc>
      </w:tr>
      <w:tr w14:paraId="7D247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404" w:type="pct"/>
            <w:vAlign w:val="center"/>
          </w:tcPr>
          <w:p w14:paraId="6DBBAB56">
            <w:pPr>
              <w:pStyle w:val="12"/>
              <w:numPr>
                <w:ilvl w:val="0"/>
                <w:numId w:val="0"/>
              </w:numPr>
              <w:adjustRightInd w:val="0"/>
              <w:spacing w:after="0" w:line="360" w:lineRule="auto"/>
              <w:ind w:left="220" w:leftChars="0"/>
              <w:jc w:val="both"/>
              <w:rPr>
                <w:rFonts w:hint="default"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9</w:t>
            </w:r>
          </w:p>
        </w:tc>
        <w:tc>
          <w:tcPr>
            <w:tcW w:w="4595" w:type="pct"/>
            <w:vAlign w:val="center"/>
          </w:tcPr>
          <w:p w14:paraId="21F4245B">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认证：通过CCC认证，符合国家能效标准（二级以上优先）</w:t>
            </w:r>
          </w:p>
        </w:tc>
      </w:tr>
      <w:tr w14:paraId="16E48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404" w:type="pct"/>
            <w:vAlign w:val="center"/>
          </w:tcPr>
          <w:p w14:paraId="2859D1E1">
            <w:pPr>
              <w:pStyle w:val="12"/>
              <w:numPr>
                <w:ilvl w:val="0"/>
                <w:numId w:val="0"/>
              </w:numPr>
              <w:adjustRightInd w:val="0"/>
              <w:spacing w:after="0" w:line="360" w:lineRule="auto"/>
              <w:ind w:left="220" w:leftChars="0"/>
              <w:jc w:val="both"/>
              <w:rPr>
                <w:rFonts w:hint="default" w:ascii="宋体" w:hAnsi="宋体" w:eastAsia="宋体"/>
                <w:sz w:val="24"/>
                <w:szCs w:val="24"/>
                <w:lang w:val="en-US" w:eastAsia="zh-CN"/>
              </w:rPr>
            </w:pPr>
            <w:r>
              <w:rPr>
                <w:rFonts w:hint="eastAsia" w:ascii="宋体" w:hAnsi="宋体" w:eastAsia="宋体"/>
                <w:sz w:val="24"/>
                <w:szCs w:val="24"/>
                <w:lang w:val="en-US" w:eastAsia="zh-CN"/>
              </w:rPr>
              <w:t>10</w:t>
            </w:r>
          </w:p>
        </w:tc>
        <w:tc>
          <w:tcPr>
            <w:tcW w:w="4595" w:type="pct"/>
            <w:vAlign w:val="center"/>
          </w:tcPr>
          <w:p w14:paraId="40345BAB">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其他：配有遥控器，支持定时开关机；支持网络远程发布和内容管理；支持开机自动循环播放</w:t>
            </w:r>
          </w:p>
        </w:tc>
      </w:tr>
    </w:tbl>
    <w:p w14:paraId="545A7DB5">
      <w:pPr>
        <w:pStyle w:val="4"/>
        <w:numPr>
          <w:ilvl w:val="0"/>
          <w:numId w:val="4"/>
        </w:numPr>
        <w:rPr>
          <w:rFonts w:hint="default"/>
          <w:lang w:val="en-US" w:eastAsia="zh-CN"/>
        </w:rPr>
      </w:pPr>
      <w:r>
        <w:rPr>
          <w:rFonts w:hint="eastAsia" w:eastAsia="宋体"/>
          <w:b/>
          <w:bCs/>
          <w:sz w:val="24"/>
          <w:szCs w:val="24"/>
          <w:lang w:val="en-US" w:eastAsia="zh-CN"/>
        </w:rPr>
        <w:t>功能参数建设要求：（</w:t>
      </w:r>
      <w:r>
        <w:rPr>
          <w:rFonts w:hint="eastAsia" w:eastAsia="宋体" w:asciiTheme="minorHAnsi" w:hAnsiTheme="minorHAnsi" w:cstheme="minorBidi"/>
          <w:b/>
          <w:bCs/>
          <w:kern w:val="2"/>
          <w:sz w:val="24"/>
          <w:szCs w:val="24"/>
          <w:lang w:val="en-US" w:eastAsia="zh-CN" w:bidi="ar-SA"/>
          <w14:ligatures w14:val="standardContextual"/>
        </w:rPr>
        <w:t>落地广告屏6台</w:t>
      </w:r>
      <w:r>
        <w:rPr>
          <w:rFonts w:hint="eastAsia" w:eastAsia="宋体"/>
          <w:b/>
          <w:bCs/>
          <w:sz w:val="24"/>
          <w:szCs w:val="24"/>
          <w:lang w:val="en-US" w:eastAsia="zh-CN"/>
        </w:rPr>
        <w:t>）</w:t>
      </w:r>
    </w:p>
    <w:tbl>
      <w:tblPr>
        <w:tblStyle w:val="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1"/>
        <w:gridCol w:w="7811"/>
      </w:tblGrid>
      <w:tr w14:paraId="55404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17" w:type="pct"/>
            <w:vAlign w:val="center"/>
          </w:tcPr>
          <w:p w14:paraId="1E9921D4">
            <w:pPr>
              <w:adjustRightInd w:val="0"/>
              <w:spacing w:after="0" w:line="360" w:lineRule="auto"/>
              <w:jc w:val="center"/>
              <w:rPr>
                <w:rFonts w:hint="eastAsia" w:ascii="宋体" w:hAnsi="宋体" w:eastAsia="宋体"/>
                <w:b/>
                <w:sz w:val="21"/>
                <w:szCs w:val="21"/>
              </w:rPr>
            </w:pPr>
            <w:r>
              <w:rPr>
                <w:rFonts w:ascii="宋体" w:hAnsi="宋体" w:eastAsia="宋体"/>
                <w:b/>
                <w:sz w:val="21"/>
                <w:szCs w:val="21"/>
              </w:rPr>
              <w:t>序号</w:t>
            </w:r>
          </w:p>
        </w:tc>
        <w:tc>
          <w:tcPr>
            <w:tcW w:w="4582" w:type="pct"/>
            <w:vAlign w:val="center"/>
          </w:tcPr>
          <w:p w14:paraId="4755982F">
            <w:pPr>
              <w:adjustRightInd w:val="0"/>
              <w:spacing w:after="0" w:line="360" w:lineRule="auto"/>
              <w:jc w:val="center"/>
              <w:rPr>
                <w:rFonts w:hint="eastAsia" w:ascii="宋体" w:hAnsi="宋体" w:eastAsia="宋体"/>
                <w:sz w:val="21"/>
                <w:szCs w:val="21"/>
              </w:rPr>
            </w:pPr>
            <w:r>
              <w:rPr>
                <w:rFonts w:ascii="宋体" w:hAnsi="宋体" w:eastAsia="宋体"/>
                <w:b/>
                <w:sz w:val="21"/>
                <w:szCs w:val="21"/>
              </w:rPr>
              <w:t>详细技术参数</w:t>
            </w:r>
          </w:p>
        </w:tc>
      </w:tr>
      <w:tr w14:paraId="00552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417" w:type="pct"/>
            <w:vAlign w:val="center"/>
          </w:tcPr>
          <w:p w14:paraId="3ED48550">
            <w:pPr>
              <w:pStyle w:val="12"/>
              <w:numPr>
                <w:ilvl w:val="0"/>
                <w:numId w:val="0"/>
              </w:numPr>
              <w:adjustRightInd w:val="0"/>
              <w:spacing w:after="0" w:line="360" w:lineRule="auto"/>
              <w:ind w:left="220" w:leftChars="0"/>
              <w:jc w:val="both"/>
              <w:rPr>
                <w:rFonts w:hint="eastAsia" w:ascii="宋体" w:hAnsi="宋体" w:eastAsia="宋体"/>
                <w:sz w:val="21"/>
                <w:szCs w:val="21"/>
                <w:lang w:val="en-US" w:eastAsia="zh-CN"/>
              </w:rPr>
            </w:pPr>
            <w:r>
              <w:rPr>
                <w:rFonts w:hint="eastAsia" w:ascii="宋体" w:hAnsi="宋体" w:eastAsia="宋体"/>
                <w:sz w:val="21"/>
                <w:szCs w:val="21"/>
                <w:lang w:val="en-US" w:eastAsia="zh-CN"/>
              </w:rPr>
              <w:t>1</w:t>
            </w:r>
          </w:p>
        </w:tc>
        <w:tc>
          <w:tcPr>
            <w:tcW w:w="4582" w:type="pct"/>
            <w:vAlign w:val="center"/>
          </w:tcPr>
          <w:p w14:paraId="1B3D2EA8">
            <w:pPr>
              <w:adjustRightInd w:val="0"/>
              <w:spacing w:after="0" w:line="360" w:lineRule="auto"/>
              <w:rPr>
                <w:rFonts w:hint="default"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规格：高度约1.5米；约32英寸，钢化玻璃防护，防刮擦</w:t>
            </w:r>
          </w:p>
        </w:tc>
      </w:tr>
      <w:tr w14:paraId="12B01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417" w:type="pct"/>
            <w:vAlign w:val="center"/>
          </w:tcPr>
          <w:p w14:paraId="36020CFC">
            <w:pPr>
              <w:pStyle w:val="12"/>
              <w:numPr>
                <w:ilvl w:val="0"/>
                <w:numId w:val="0"/>
              </w:numPr>
              <w:adjustRightInd w:val="0"/>
              <w:spacing w:after="0" w:line="360" w:lineRule="auto"/>
              <w:ind w:left="220" w:leftChars="0"/>
              <w:jc w:val="both"/>
              <w:rPr>
                <w:rFonts w:hint="eastAsia" w:ascii="宋体" w:hAnsi="宋体" w:eastAsia="宋体"/>
                <w:sz w:val="21"/>
                <w:szCs w:val="21"/>
                <w:lang w:val="en-US" w:eastAsia="zh-CN"/>
              </w:rPr>
            </w:pPr>
            <w:r>
              <w:rPr>
                <w:rFonts w:hint="eastAsia" w:ascii="宋体" w:hAnsi="宋体" w:eastAsia="宋体"/>
                <w:sz w:val="21"/>
                <w:szCs w:val="21"/>
                <w:lang w:val="en-US" w:eastAsia="zh-CN"/>
              </w:rPr>
              <w:t>2</w:t>
            </w:r>
          </w:p>
        </w:tc>
        <w:tc>
          <w:tcPr>
            <w:tcW w:w="4582" w:type="pct"/>
            <w:vAlign w:val="center"/>
          </w:tcPr>
          <w:p w14:paraId="7E4F617A">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分辨率:1920×1080（全高清），支持画面分区域显示（如图片+视频+滚动字幕同屏）</w:t>
            </w:r>
          </w:p>
        </w:tc>
      </w:tr>
      <w:tr w14:paraId="10723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17" w:type="pct"/>
            <w:vAlign w:val="center"/>
          </w:tcPr>
          <w:p w14:paraId="708415FE">
            <w:pPr>
              <w:pStyle w:val="12"/>
              <w:numPr>
                <w:ilvl w:val="0"/>
                <w:numId w:val="0"/>
              </w:numPr>
              <w:adjustRightInd w:val="0"/>
              <w:spacing w:after="0" w:line="360" w:lineRule="auto"/>
              <w:ind w:left="220" w:leftChars="0"/>
              <w:jc w:val="both"/>
              <w:rPr>
                <w:rFonts w:hint="default" w:ascii="宋体" w:hAnsi="宋体" w:eastAsia="宋体"/>
                <w:sz w:val="21"/>
                <w:szCs w:val="21"/>
                <w:lang w:val="en-US" w:eastAsia="zh-CN"/>
              </w:rPr>
            </w:pPr>
            <w:r>
              <w:rPr>
                <w:rFonts w:hint="eastAsia" w:ascii="宋体" w:hAnsi="宋体" w:eastAsia="宋体"/>
                <w:sz w:val="21"/>
                <w:szCs w:val="21"/>
                <w:lang w:val="en-US" w:eastAsia="zh-CN"/>
              </w:rPr>
              <w:t>3</w:t>
            </w:r>
          </w:p>
        </w:tc>
        <w:tc>
          <w:tcPr>
            <w:tcW w:w="4582" w:type="pct"/>
            <w:vAlign w:val="center"/>
          </w:tcPr>
          <w:p w14:paraId="0AECE2FA">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屏幕比例:16:9</w:t>
            </w:r>
          </w:p>
        </w:tc>
      </w:tr>
      <w:tr w14:paraId="5E2C7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17" w:type="pct"/>
            <w:vAlign w:val="center"/>
          </w:tcPr>
          <w:p w14:paraId="5CB76BFD">
            <w:pPr>
              <w:pStyle w:val="12"/>
              <w:numPr>
                <w:ilvl w:val="0"/>
                <w:numId w:val="0"/>
              </w:numPr>
              <w:adjustRightInd w:val="0"/>
              <w:spacing w:after="0" w:line="360" w:lineRule="auto"/>
              <w:ind w:left="220" w:leftChars="0"/>
              <w:jc w:val="both"/>
              <w:rPr>
                <w:rFonts w:hint="default" w:ascii="宋体" w:hAnsi="宋体" w:eastAsia="宋体"/>
                <w:sz w:val="21"/>
                <w:szCs w:val="21"/>
                <w:lang w:val="en-US" w:eastAsia="zh-CN"/>
              </w:rPr>
            </w:pPr>
            <w:r>
              <w:rPr>
                <w:rFonts w:hint="eastAsia" w:ascii="宋体" w:hAnsi="宋体" w:eastAsia="宋体"/>
                <w:sz w:val="21"/>
                <w:szCs w:val="21"/>
                <w:lang w:val="en-US" w:eastAsia="zh-CN"/>
              </w:rPr>
              <w:t>4</w:t>
            </w:r>
          </w:p>
        </w:tc>
        <w:tc>
          <w:tcPr>
            <w:tcW w:w="4582" w:type="pct"/>
            <w:vAlign w:val="center"/>
          </w:tcPr>
          <w:p w14:paraId="1DA9D950">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面板类型:IPS面板</w:t>
            </w:r>
          </w:p>
        </w:tc>
      </w:tr>
      <w:tr w14:paraId="3D1832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17" w:type="pct"/>
            <w:vAlign w:val="center"/>
          </w:tcPr>
          <w:p w14:paraId="45D9D7D0">
            <w:pPr>
              <w:pStyle w:val="12"/>
              <w:numPr>
                <w:ilvl w:val="0"/>
                <w:numId w:val="0"/>
              </w:numPr>
              <w:adjustRightInd w:val="0"/>
              <w:spacing w:after="0" w:line="360" w:lineRule="auto"/>
              <w:ind w:left="220" w:leftChars="0"/>
              <w:jc w:val="both"/>
              <w:rPr>
                <w:rFonts w:hint="default" w:ascii="宋体" w:hAnsi="宋体" w:eastAsia="宋体"/>
                <w:sz w:val="21"/>
                <w:szCs w:val="21"/>
                <w:lang w:val="en-US" w:eastAsia="zh-CN"/>
              </w:rPr>
            </w:pPr>
            <w:r>
              <w:rPr>
                <w:rFonts w:hint="eastAsia" w:ascii="宋体" w:hAnsi="宋体" w:eastAsia="宋体"/>
                <w:sz w:val="21"/>
                <w:szCs w:val="21"/>
                <w:lang w:val="en-US" w:eastAsia="zh-CN"/>
              </w:rPr>
              <w:t>5</w:t>
            </w:r>
          </w:p>
        </w:tc>
        <w:tc>
          <w:tcPr>
            <w:tcW w:w="4582" w:type="pct"/>
            <w:vAlign w:val="center"/>
          </w:tcPr>
          <w:p w14:paraId="37DDC32B">
            <w:pPr>
              <w:adjustRightInd w:val="0"/>
              <w:spacing w:after="0" w:line="360" w:lineRule="auto"/>
              <w:rPr>
                <w:rFonts w:hint="default"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接口；USB 接口≥2 个，支持 U 盘本地音视频播放；配备 3.5mm 音频接口或内置扬声器</w:t>
            </w:r>
          </w:p>
        </w:tc>
      </w:tr>
      <w:tr w14:paraId="0E3FB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17" w:type="pct"/>
            <w:vAlign w:val="center"/>
          </w:tcPr>
          <w:p w14:paraId="40EF1D7D">
            <w:pPr>
              <w:pStyle w:val="12"/>
              <w:numPr>
                <w:ilvl w:val="0"/>
                <w:numId w:val="0"/>
              </w:numPr>
              <w:adjustRightInd w:val="0"/>
              <w:spacing w:after="0" w:line="360" w:lineRule="auto"/>
              <w:ind w:left="220" w:leftChars="0"/>
              <w:jc w:val="both"/>
              <w:rPr>
                <w:rFonts w:hint="default" w:ascii="宋体" w:hAnsi="宋体" w:eastAsia="宋体"/>
                <w:sz w:val="21"/>
                <w:szCs w:val="21"/>
                <w:lang w:val="en-US" w:eastAsia="zh-CN"/>
              </w:rPr>
            </w:pPr>
            <w:r>
              <w:rPr>
                <w:rFonts w:hint="eastAsia" w:ascii="宋体" w:hAnsi="宋体" w:eastAsia="宋体"/>
                <w:sz w:val="21"/>
                <w:szCs w:val="21"/>
                <w:lang w:val="en-US" w:eastAsia="zh-CN"/>
              </w:rPr>
              <w:t>6</w:t>
            </w:r>
          </w:p>
        </w:tc>
        <w:tc>
          <w:tcPr>
            <w:tcW w:w="4582" w:type="pct"/>
            <w:shd w:val="clear" w:color="auto" w:fill="auto"/>
            <w:vAlign w:val="center"/>
          </w:tcPr>
          <w:p w14:paraId="78D24A04">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网络：支持有线（RJ45）和无线（Wi-Fi）</w:t>
            </w:r>
          </w:p>
        </w:tc>
      </w:tr>
      <w:tr w14:paraId="5B16A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417" w:type="pct"/>
            <w:vAlign w:val="center"/>
          </w:tcPr>
          <w:p w14:paraId="6CC9F7FF">
            <w:pPr>
              <w:pStyle w:val="12"/>
              <w:numPr>
                <w:ilvl w:val="0"/>
                <w:numId w:val="0"/>
              </w:numPr>
              <w:adjustRightInd w:val="0"/>
              <w:spacing w:after="0" w:line="360" w:lineRule="auto"/>
              <w:ind w:left="220" w:leftChars="0"/>
              <w:jc w:val="both"/>
              <w:rPr>
                <w:rFonts w:hint="default" w:ascii="宋体" w:hAnsi="宋体" w:eastAsia="宋体" w:cs="宋体"/>
                <w:i w:val="0"/>
                <w:iCs w:val="0"/>
                <w:color w:val="000000"/>
                <w:kern w:val="0"/>
                <w:sz w:val="18"/>
                <w:szCs w:val="18"/>
                <w:u w:val="none"/>
                <w:lang w:val="en-US" w:eastAsia="zh-CN" w:bidi="ar"/>
                <w14:ligatures w14:val="standardContextual"/>
              </w:rPr>
            </w:pPr>
            <w:r>
              <w:rPr>
                <w:rFonts w:hint="eastAsia" w:ascii="宋体" w:hAnsi="宋体" w:eastAsia="宋体" w:cs="宋体"/>
                <w:i w:val="0"/>
                <w:iCs w:val="0"/>
                <w:color w:val="000000"/>
                <w:kern w:val="0"/>
                <w:sz w:val="18"/>
                <w:szCs w:val="18"/>
                <w:u w:val="none"/>
                <w:lang w:val="en-US" w:eastAsia="zh-CN" w:bidi="ar"/>
                <w14:ligatures w14:val="standardContextual"/>
              </w:rPr>
              <w:t>7</w:t>
            </w:r>
          </w:p>
        </w:tc>
        <w:tc>
          <w:tcPr>
            <w:tcW w:w="4582" w:type="pct"/>
            <w:shd w:val="clear" w:color="auto" w:fill="auto"/>
            <w:vAlign w:val="center"/>
          </w:tcPr>
          <w:p w14:paraId="27C15B5B">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CPU：四核，主频≥1.8GHz</w:t>
            </w:r>
          </w:p>
        </w:tc>
      </w:tr>
      <w:tr w14:paraId="73C90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17" w:type="pct"/>
            <w:vAlign w:val="center"/>
          </w:tcPr>
          <w:p w14:paraId="4D8D77AC">
            <w:pPr>
              <w:pStyle w:val="12"/>
              <w:numPr>
                <w:ilvl w:val="0"/>
                <w:numId w:val="0"/>
              </w:numPr>
              <w:adjustRightInd w:val="0"/>
              <w:spacing w:after="0" w:line="360" w:lineRule="auto"/>
              <w:ind w:left="220" w:leftChars="0"/>
              <w:jc w:val="both"/>
              <w:rPr>
                <w:rFonts w:hint="default" w:ascii="宋体" w:hAnsi="宋体" w:eastAsia="宋体"/>
                <w:sz w:val="21"/>
                <w:szCs w:val="21"/>
                <w:lang w:val="en-US" w:eastAsia="zh-CN"/>
              </w:rPr>
            </w:pPr>
            <w:r>
              <w:rPr>
                <w:rFonts w:hint="eastAsia" w:ascii="宋体" w:hAnsi="宋体" w:eastAsia="宋体"/>
                <w:sz w:val="21"/>
                <w:szCs w:val="21"/>
                <w:lang w:val="en-US" w:eastAsia="zh-CN"/>
              </w:rPr>
              <w:t>8</w:t>
            </w:r>
          </w:p>
        </w:tc>
        <w:tc>
          <w:tcPr>
            <w:tcW w:w="4582" w:type="pct"/>
            <w:vAlign w:val="center"/>
          </w:tcPr>
          <w:p w14:paraId="3C8E66BC">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安装方式：配置可移动轮子和稳固金属底座</w:t>
            </w:r>
          </w:p>
        </w:tc>
      </w:tr>
      <w:tr w14:paraId="77FF9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jc w:val="center"/>
        </w:trPr>
        <w:tc>
          <w:tcPr>
            <w:tcW w:w="417" w:type="pct"/>
            <w:vAlign w:val="center"/>
          </w:tcPr>
          <w:p w14:paraId="01C9CA2E">
            <w:pPr>
              <w:pStyle w:val="12"/>
              <w:numPr>
                <w:ilvl w:val="0"/>
                <w:numId w:val="0"/>
              </w:numPr>
              <w:adjustRightInd w:val="0"/>
              <w:spacing w:after="0" w:line="360" w:lineRule="auto"/>
              <w:ind w:left="220" w:leftChars="0"/>
              <w:jc w:val="both"/>
              <w:rPr>
                <w:rFonts w:hint="default" w:ascii="宋体" w:hAnsi="宋体" w:eastAsia="宋体" w:cs="宋体"/>
                <w:i w:val="0"/>
                <w:iCs w:val="0"/>
                <w:color w:val="000000"/>
                <w:kern w:val="0"/>
                <w:sz w:val="18"/>
                <w:szCs w:val="18"/>
                <w:u w:val="none"/>
                <w:lang w:val="en-US" w:eastAsia="zh-CN" w:bidi="ar"/>
                <w14:ligatures w14:val="standardContextual"/>
              </w:rPr>
            </w:pPr>
            <w:r>
              <w:rPr>
                <w:rFonts w:hint="eastAsia" w:ascii="宋体" w:hAnsi="宋体" w:eastAsia="宋体" w:cs="宋体"/>
                <w:i w:val="0"/>
                <w:iCs w:val="0"/>
                <w:color w:val="000000"/>
                <w:kern w:val="0"/>
                <w:sz w:val="18"/>
                <w:szCs w:val="18"/>
                <w:u w:val="none"/>
                <w:lang w:val="en-US" w:eastAsia="zh-CN" w:bidi="ar"/>
                <w14:ligatures w14:val="standardContextual"/>
              </w:rPr>
              <w:t>9</w:t>
            </w:r>
          </w:p>
        </w:tc>
        <w:tc>
          <w:tcPr>
            <w:tcW w:w="4582" w:type="pct"/>
            <w:vAlign w:val="center"/>
          </w:tcPr>
          <w:p w14:paraId="6AB624BA">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认证：通过CCC认证，符合国家能效标准（二级以上优先）</w:t>
            </w:r>
          </w:p>
        </w:tc>
      </w:tr>
      <w:tr w14:paraId="63A6C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417" w:type="pct"/>
            <w:vAlign w:val="center"/>
          </w:tcPr>
          <w:p w14:paraId="36B5D949">
            <w:pPr>
              <w:pStyle w:val="12"/>
              <w:numPr>
                <w:ilvl w:val="0"/>
                <w:numId w:val="0"/>
              </w:numPr>
              <w:adjustRightInd w:val="0"/>
              <w:spacing w:after="0" w:line="360" w:lineRule="auto"/>
              <w:ind w:left="220" w:leftChars="0"/>
              <w:jc w:val="both"/>
              <w:rPr>
                <w:rFonts w:hint="default" w:ascii="宋体" w:hAnsi="宋体" w:eastAsia="宋体"/>
                <w:sz w:val="21"/>
                <w:szCs w:val="21"/>
                <w:lang w:val="en-US" w:eastAsia="zh-CN"/>
              </w:rPr>
            </w:pPr>
            <w:r>
              <w:rPr>
                <w:rFonts w:hint="eastAsia" w:ascii="宋体" w:hAnsi="宋体" w:eastAsia="宋体"/>
                <w:sz w:val="21"/>
                <w:szCs w:val="21"/>
                <w:lang w:val="en-US" w:eastAsia="zh-CN"/>
              </w:rPr>
              <w:t>10</w:t>
            </w:r>
          </w:p>
        </w:tc>
        <w:tc>
          <w:tcPr>
            <w:tcW w:w="4582" w:type="pct"/>
            <w:vAlign w:val="center"/>
          </w:tcPr>
          <w:p w14:paraId="2104C102">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其他：配有遥控器，支持定时开关机；支持网络远程发布和内容管理；支持开机自动循环播放</w:t>
            </w:r>
          </w:p>
        </w:tc>
      </w:tr>
    </w:tbl>
    <w:p w14:paraId="610C90F1">
      <w:pPr>
        <w:pStyle w:val="4"/>
        <w:numPr>
          <w:ilvl w:val="0"/>
          <w:numId w:val="4"/>
        </w:numPr>
        <w:rPr>
          <w:rFonts w:hint="eastAsia" w:eastAsia="宋体"/>
          <w:b/>
          <w:bCs/>
          <w:sz w:val="24"/>
          <w:szCs w:val="24"/>
          <w:lang w:val="en-US" w:eastAsia="zh-CN"/>
        </w:rPr>
      </w:pPr>
      <w:r>
        <w:rPr>
          <w:rFonts w:hint="eastAsia" w:eastAsia="宋体"/>
          <w:b/>
          <w:bCs/>
          <w:sz w:val="24"/>
          <w:szCs w:val="24"/>
          <w:lang w:val="en-US" w:eastAsia="zh-CN"/>
        </w:rPr>
        <w:t>功能参数建设要求：（管理主机1台（含信息发布平台管理软件））</w:t>
      </w:r>
    </w:p>
    <w:tbl>
      <w:tblPr>
        <w:tblStyle w:val="8"/>
        <w:tblW w:w="843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619"/>
        <w:gridCol w:w="7813"/>
      </w:tblGrid>
      <w:tr w14:paraId="6FCD68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85" w:hRule="atLeast"/>
        </w:trPr>
        <w:tc>
          <w:tcPr>
            <w:tcW w:w="619"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14:paraId="12AD389F">
            <w:pPr>
              <w:adjustRightInd w:val="0"/>
              <w:spacing w:after="0" w:line="360" w:lineRule="auto"/>
              <w:jc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序号</w:t>
            </w:r>
          </w:p>
        </w:tc>
        <w:tc>
          <w:tcPr>
            <w:tcW w:w="7813"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14:paraId="45555F60">
            <w:pPr>
              <w:adjustRightInd w:val="0"/>
              <w:spacing w:after="0" w:line="360" w:lineRule="auto"/>
              <w:jc w:val="center"/>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b/>
                <w:bCs/>
                <w:i w:val="0"/>
                <w:iCs w:val="0"/>
                <w:color w:val="000000"/>
                <w:kern w:val="0"/>
                <w:sz w:val="24"/>
                <w:szCs w:val="24"/>
                <w:u w:val="none"/>
                <w:lang w:val="en-US" w:eastAsia="zh-CN" w:bidi="ar"/>
                <w14:ligatures w14:val="standardContextual"/>
              </w:rPr>
              <w:t>详细参数</w:t>
            </w:r>
          </w:p>
        </w:tc>
      </w:tr>
      <w:tr w14:paraId="2DCF12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25" w:hRule="atLeast"/>
        </w:trPr>
        <w:tc>
          <w:tcPr>
            <w:tcW w:w="619"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14:paraId="04726C10">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p>
        </w:tc>
        <w:tc>
          <w:tcPr>
            <w:tcW w:w="7813"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14:paraId="61B75946">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管理主机：</w:t>
            </w:r>
          </w:p>
        </w:tc>
      </w:tr>
      <w:tr w14:paraId="03F79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20" w:hRule="atLeast"/>
        </w:trPr>
        <w:tc>
          <w:tcPr>
            <w:tcW w:w="619"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14:paraId="4554067A">
            <w:pPr>
              <w:adjustRightInd w:val="0"/>
              <w:spacing w:after="0" w:line="360" w:lineRule="auto"/>
              <w:jc w:val="center"/>
              <w:rPr>
                <w:rFonts w:hint="default"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1</w:t>
            </w:r>
          </w:p>
        </w:tc>
        <w:tc>
          <w:tcPr>
            <w:tcW w:w="7813"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14:paraId="01BB3280">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服务器CUP配置≥四核处理器，≥8线程，主频≥3.4GHz。</w:t>
            </w:r>
          </w:p>
        </w:tc>
      </w:tr>
      <w:tr w14:paraId="5F0EE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730" w:hRule="atLeast"/>
        </w:trPr>
        <w:tc>
          <w:tcPr>
            <w:tcW w:w="619"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14:paraId="233233E4">
            <w:pPr>
              <w:adjustRightInd w:val="0"/>
              <w:spacing w:after="0" w:line="360" w:lineRule="auto"/>
              <w:jc w:val="center"/>
              <w:rPr>
                <w:rFonts w:hint="default"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2</w:t>
            </w:r>
          </w:p>
        </w:tc>
        <w:tc>
          <w:tcPr>
            <w:tcW w:w="7813"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14:paraId="7CBFED26">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服务器内存≥8G，硬盘≥2T。</w:t>
            </w:r>
          </w:p>
        </w:tc>
      </w:tr>
      <w:tr w14:paraId="6DFC2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 w:hRule="atLeast"/>
        </w:trPr>
        <w:tc>
          <w:tcPr>
            <w:tcW w:w="619"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14:paraId="2E7D4578">
            <w:pPr>
              <w:adjustRightInd w:val="0"/>
              <w:spacing w:after="0" w:line="360" w:lineRule="auto"/>
              <w:jc w:val="center"/>
              <w:rPr>
                <w:rFonts w:hint="default" w:ascii="宋体" w:hAnsi="宋体" w:eastAsia="宋体" w:cs="宋体"/>
                <w:i w:val="0"/>
                <w:iCs w:val="0"/>
                <w:color w:val="000000"/>
                <w:kern w:val="0"/>
                <w:sz w:val="24"/>
                <w:szCs w:val="24"/>
                <w:u w:val="none"/>
                <w:lang w:val="en-US" w:eastAsia="zh-CN" w:bidi="ar"/>
                <w14:ligatures w14:val="standardContextual"/>
              </w:rPr>
            </w:pPr>
          </w:p>
        </w:tc>
        <w:tc>
          <w:tcPr>
            <w:tcW w:w="7813"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14:paraId="18928D42">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信息发布平台管理软件：</w:t>
            </w:r>
          </w:p>
        </w:tc>
      </w:tr>
      <w:tr w14:paraId="1E1E20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 w:hRule="atLeast"/>
        </w:trPr>
        <w:tc>
          <w:tcPr>
            <w:tcW w:w="619"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14:paraId="501E1DD1">
            <w:pPr>
              <w:adjustRightInd w:val="0"/>
              <w:spacing w:after="0" w:line="360" w:lineRule="auto"/>
              <w:jc w:val="center"/>
              <w:rPr>
                <w:rFonts w:hint="default"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3</w:t>
            </w:r>
          </w:p>
        </w:tc>
        <w:tc>
          <w:tcPr>
            <w:tcW w:w="7813"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14:paraId="00346065">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支持查看设备在线/离线状态和回显终端播放内容；</w:t>
            </w:r>
          </w:p>
        </w:tc>
      </w:tr>
      <w:tr w14:paraId="35A89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94" w:hRule="atLeast"/>
        </w:trPr>
        <w:tc>
          <w:tcPr>
            <w:tcW w:w="619"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14:paraId="29F0B149">
            <w:pPr>
              <w:adjustRightInd w:val="0"/>
              <w:spacing w:after="0" w:line="360" w:lineRule="auto"/>
              <w:jc w:val="center"/>
              <w:rPr>
                <w:rFonts w:hint="default"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4</w:t>
            </w:r>
          </w:p>
        </w:tc>
        <w:tc>
          <w:tcPr>
            <w:tcW w:w="7813"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14:paraId="3C910DA6">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支持创建≥6种节目类型：播放列表节目、H5节目、资讯节目、直播流节目、WEB网页节目、分屏节目，支持节目分组管理。</w:t>
            </w:r>
          </w:p>
        </w:tc>
      </w:tr>
      <w:tr w14:paraId="4AE0F0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563" w:hRule="atLeast"/>
        </w:trPr>
        <w:tc>
          <w:tcPr>
            <w:tcW w:w="619"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14:paraId="092B78C5">
            <w:pPr>
              <w:adjustRightInd w:val="0"/>
              <w:spacing w:after="0" w:line="360" w:lineRule="auto"/>
              <w:jc w:val="center"/>
              <w:rPr>
                <w:rFonts w:hint="default"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5</w:t>
            </w:r>
          </w:p>
        </w:tc>
        <w:tc>
          <w:tcPr>
            <w:tcW w:w="7813"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14:paraId="163D5575">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具有可视化H5编辑器，内置≥30套通用H5模板，支持插入/拖拽文本、图片、视频、轮播图、二维码、表格、倒计时组件布局，支持图层管理、属性和动画配置；支持横/竖屏切换和自定义分辨率排版。</w:t>
            </w:r>
          </w:p>
        </w:tc>
      </w:tr>
      <w:tr w14:paraId="7BAFA6E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 w:hRule="atLeast"/>
        </w:trPr>
        <w:tc>
          <w:tcPr>
            <w:tcW w:w="619"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14:paraId="52F960A0">
            <w:pPr>
              <w:adjustRightInd w:val="0"/>
              <w:spacing w:after="0" w:line="360" w:lineRule="auto"/>
              <w:jc w:val="center"/>
              <w:rPr>
                <w:rFonts w:hint="default"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6</w:t>
            </w:r>
          </w:p>
        </w:tc>
        <w:tc>
          <w:tcPr>
            <w:tcW w:w="7813"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14:paraId="2D214135">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具有可视化布局编辑器，内置≥4套触摸交互布局模板，支持创建图片、视频、轮播图、logo墙、卡片列表、按钮、组合框、进度条组件节目。</w:t>
            </w:r>
          </w:p>
        </w:tc>
      </w:tr>
      <w:tr w14:paraId="238D7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85" w:hRule="atLeast"/>
        </w:trPr>
        <w:tc>
          <w:tcPr>
            <w:tcW w:w="619"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14:paraId="6B3D25A6">
            <w:pPr>
              <w:adjustRightInd w:val="0"/>
              <w:spacing w:after="0" w:line="360" w:lineRule="auto"/>
              <w:jc w:val="center"/>
              <w:rPr>
                <w:rFonts w:hint="default"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7</w:t>
            </w:r>
          </w:p>
        </w:tc>
        <w:tc>
          <w:tcPr>
            <w:tcW w:w="7813"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14:paraId="17176364">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支持文件上传审核、素材/节目发布审核，支持设置≥5级审核；支持节目审核成功/拒绝后通知提交人，支持节目待审核通知审核人。</w:t>
            </w:r>
          </w:p>
        </w:tc>
      </w:tr>
      <w:tr w14:paraId="3851D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 w:hRule="atLeast"/>
        </w:trPr>
        <w:tc>
          <w:tcPr>
            <w:tcW w:w="619"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14:paraId="0E4652B1">
            <w:pPr>
              <w:adjustRightInd w:val="0"/>
              <w:spacing w:after="0" w:line="360" w:lineRule="auto"/>
              <w:jc w:val="center"/>
              <w:rPr>
                <w:rFonts w:hint="default"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8</w:t>
            </w:r>
          </w:p>
        </w:tc>
        <w:tc>
          <w:tcPr>
            <w:tcW w:w="7813"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14:paraId="6A78A756">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支持字幕插播功能，支持自定义设置文本大小、背景颜色、字体颜色、滚动速度、显示位置和实时编辑预览。</w:t>
            </w:r>
          </w:p>
        </w:tc>
      </w:tr>
      <w:tr w14:paraId="0D985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48" w:hRule="atLeast"/>
        </w:trPr>
        <w:tc>
          <w:tcPr>
            <w:tcW w:w="619"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14:paraId="358F8777">
            <w:pPr>
              <w:adjustRightInd w:val="0"/>
              <w:spacing w:after="0" w:line="360" w:lineRule="auto"/>
              <w:jc w:val="center"/>
              <w:rPr>
                <w:rFonts w:hint="default"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9</w:t>
            </w:r>
          </w:p>
        </w:tc>
        <w:tc>
          <w:tcPr>
            <w:tcW w:w="7813"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14:paraId="083DF61A">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支持批量调节设备音量、重启应用、重启设备、预下载、清空任务、触摸开启/禁用、亮屏/熄屏、时间同步、时间显示/隐藏。</w:t>
            </w:r>
          </w:p>
        </w:tc>
      </w:tr>
      <w:tr w14:paraId="040A8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100" w:hRule="atLeast"/>
        </w:trPr>
        <w:tc>
          <w:tcPr>
            <w:tcW w:w="619"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14:paraId="7800317F">
            <w:pPr>
              <w:adjustRightInd w:val="0"/>
              <w:spacing w:after="0" w:line="360" w:lineRule="auto"/>
              <w:jc w:val="center"/>
              <w:rPr>
                <w:rFonts w:hint="default"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10</w:t>
            </w:r>
          </w:p>
        </w:tc>
        <w:tc>
          <w:tcPr>
            <w:tcW w:w="7813"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14:paraId="796CF5D2">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支持即时发布和定时发布功能，支持按日期、连续周期配置播放计划，支持节目按优先级顺序播放功能。</w:t>
            </w:r>
          </w:p>
        </w:tc>
      </w:tr>
      <w:tr w14:paraId="04D6AA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1555" w:hRule="atLeast"/>
        </w:trPr>
        <w:tc>
          <w:tcPr>
            <w:tcW w:w="619"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14:paraId="60502384">
            <w:pPr>
              <w:adjustRightInd w:val="0"/>
              <w:spacing w:after="0" w:line="360" w:lineRule="auto"/>
              <w:jc w:val="center"/>
              <w:rPr>
                <w:rFonts w:hint="default"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11</w:t>
            </w:r>
          </w:p>
        </w:tc>
        <w:tc>
          <w:tcPr>
            <w:tcW w:w="7813"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14:paraId="3C8A5E06">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由于软件决定着本产品功能的完整性，要求设备软件具备《计算机软件著作权登记证书》，提供证书复印件及证书编号在中国版权保护中心官网的查询结果截图。软件名称要求是“信息发布平台管理软件”或相近的软件。</w:t>
            </w:r>
          </w:p>
        </w:tc>
      </w:tr>
      <w:tr w14:paraId="6D9B3B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583" w:hRule="atLeast"/>
        </w:trPr>
        <w:tc>
          <w:tcPr>
            <w:tcW w:w="619" w:type="dxa"/>
            <w:tcBorders>
              <w:top w:val="single" w:color="000000" w:sz="8" w:space="0"/>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14:paraId="24F325B5">
            <w:pPr>
              <w:adjustRightInd w:val="0"/>
              <w:spacing w:after="0" w:line="360" w:lineRule="auto"/>
              <w:jc w:val="center"/>
              <w:rPr>
                <w:rFonts w:hint="default"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12</w:t>
            </w:r>
          </w:p>
        </w:tc>
        <w:tc>
          <w:tcPr>
            <w:tcW w:w="7813" w:type="dxa"/>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14:paraId="6B1AE080">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出于信息安全考虑，要求投标的软件需通过信息系统安全等级</w:t>
            </w:r>
          </w:p>
        </w:tc>
      </w:tr>
    </w:tbl>
    <w:p w14:paraId="04850590">
      <w:pPr>
        <w:rPr>
          <w:rFonts w:hint="default"/>
          <w:lang w:val="en-US" w:eastAsia="zh-CN"/>
        </w:rPr>
      </w:pPr>
    </w:p>
    <w:p w14:paraId="1B67A112">
      <w:pPr>
        <w:adjustRightInd w:val="0"/>
        <w:spacing w:after="0" w:line="360" w:lineRule="auto"/>
        <w:ind w:firstLine="482" w:firstLineChars="200"/>
        <w:rPr>
          <w:rFonts w:hint="eastAsia" w:ascii="宋体" w:hAnsi="宋体" w:eastAsia="宋体" w:cs="宋体"/>
          <w:b/>
          <w:bCs/>
          <w:i w:val="0"/>
          <w:iCs w:val="0"/>
          <w:color w:val="000000"/>
          <w:kern w:val="0"/>
          <w:sz w:val="24"/>
          <w:szCs w:val="24"/>
          <w:u w:val="none"/>
          <w:lang w:val="en-US" w:eastAsia="zh-CN" w:bidi="ar"/>
          <w14:ligatures w14:val="standardContextual"/>
        </w:rPr>
      </w:pPr>
      <w:r>
        <w:rPr>
          <w:rFonts w:hint="eastAsia" w:ascii="宋体" w:hAnsi="宋体" w:eastAsia="宋体" w:cs="宋体"/>
          <w:b/>
          <w:bCs/>
          <w:i w:val="0"/>
          <w:iCs w:val="0"/>
          <w:color w:val="000000"/>
          <w:kern w:val="0"/>
          <w:sz w:val="24"/>
          <w:szCs w:val="24"/>
          <w:u w:val="none"/>
          <w:lang w:val="en-US" w:eastAsia="zh-CN" w:bidi="ar"/>
          <w14:ligatures w14:val="standardContextual"/>
        </w:rPr>
        <w:t>提交资料及联系方式</w:t>
      </w:r>
    </w:p>
    <w:p w14:paraId="25D2702D">
      <w:pPr>
        <w:adjustRightInd w:val="0"/>
        <w:spacing w:after="0" w:line="360" w:lineRule="auto"/>
        <w:ind w:firstLine="480" w:firstLineChars="200"/>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请有意向的供应商请于2026年7月23日17时前,将项目汇总表、报价单、数量、品牌及技术参数表等、营业执照复印件、供应商名称、联系人姓名及电话等纸质资料（盖公章），密封交到行政楼三楼病案统计办（信息）李小姐处（可邮寄）。</w:t>
      </w:r>
    </w:p>
    <w:p w14:paraId="4638E36D">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邮政地址：中山市小榄镇兆隆路1号之二东升医院行政楼三楼病案统计办（信息）</w:t>
      </w:r>
    </w:p>
    <w:p w14:paraId="1D28B9B8">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r>
        <w:rPr>
          <w:rFonts w:hint="eastAsia" w:ascii="宋体" w:hAnsi="宋体" w:eastAsia="宋体" w:cs="宋体"/>
          <w:i w:val="0"/>
          <w:iCs w:val="0"/>
          <w:color w:val="000000"/>
          <w:kern w:val="0"/>
          <w:sz w:val="24"/>
          <w:szCs w:val="24"/>
          <w:u w:val="none"/>
          <w:lang w:val="en-US" w:eastAsia="zh-CN" w:bidi="ar"/>
          <w14:ligatures w14:val="standardContextual"/>
        </w:rPr>
        <w:t>联系人/收件人：李小姐  电话：0760-22226306</w:t>
      </w:r>
      <w:bookmarkStart w:id="0" w:name="_GoBack"/>
      <w:bookmarkEnd w:id="0"/>
    </w:p>
    <w:p w14:paraId="20E2AA4E">
      <w:pPr>
        <w:adjustRightInd w:val="0"/>
        <w:spacing w:after="0" w:line="360" w:lineRule="auto"/>
        <w:rPr>
          <w:rFonts w:hint="eastAsia" w:ascii="宋体" w:hAnsi="宋体" w:eastAsia="宋体" w:cs="宋体"/>
          <w:i w:val="0"/>
          <w:iCs w:val="0"/>
          <w:color w:val="000000"/>
          <w:kern w:val="0"/>
          <w:sz w:val="24"/>
          <w:szCs w:val="24"/>
          <w:u w:val="none"/>
          <w:lang w:val="en-US" w:eastAsia="zh-CN" w:bidi="ar"/>
          <w14:ligatures w14:val="standardContextual"/>
        </w:rPr>
      </w:pPr>
    </w:p>
    <w:p w14:paraId="16887BFE">
      <w:pPr>
        <w:adjustRightInd w:val="0"/>
        <w:spacing w:after="0" w:line="360" w:lineRule="auto"/>
        <w:rPr>
          <w:rFonts w:hint="default"/>
          <w:lang w:val="en-US" w:eastAsia="zh-CN"/>
        </w:rPr>
      </w:pPr>
      <w:r>
        <w:rPr>
          <w:rFonts w:hint="eastAsia" w:ascii="宋体" w:hAnsi="宋体" w:eastAsia="宋体" w:cs="宋体"/>
          <w:i w:val="0"/>
          <w:iCs w:val="0"/>
          <w:color w:val="000000"/>
          <w:kern w:val="0"/>
          <w:sz w:val="24"/>
          <w:szCs w:val="24"/>
          <w:u w:val="none"/>
          <w:lang w:val="en-US" w:eastAsia="zh-CN" w:bidi="ar"/>
          <w14:ligatures w14:val="standardContextual"/>
        </w:rPr>
        <w:t xml:space="preserve">                                                      2026年7月16日</w:t>
      </w:r>
      <w:r>
        <w:rPr>
          <w:rFonts w:hint="eastAsia"/>
          <w:lang w:val="en-US" w:eastAsia="zh-CN"/>
        </w:rPr>
        <w:t xml:space="preserve">  </w:t>
      </w:r>
    </w:p>
    <w:sectPr>
      <w:headerReference r:id="rId5" w:type="default"/>
      <w:pgSz w:w="11906" w:h="16838"/>
      <w:pgMar w:top="1440" w:right="1800" w:bottom="1440" w:left="1800" w:header="851" w:footer="992" w:gutter="0"/>
      <w:pgNumType w:fmt="decimal"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1A9F5E">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0DA92F"/>
    <w:multiLevelType w:val="singleLevel"/>
    <w:tmpl w:val="BB0DA92F"/>
    <w:lvl w:ilvl="0" w:tentative="0">
      <w:start w:val="2"/>
      <w:numFmt w:val="decimal"/>
      <w:suff w:val="nothing"/>
      <w:lvlText w:val="%1、"/>
      <w:lvlJc w:val="left"/>
    </w:lvl>
  </w:abstractNum>
  <w:abstractNum w:abstractNumId="1">
    <w:nsid w:val="D82A0625"/>
    <w:multiLevelType w:val="multilevel"/>
    <w:tmpl w:val="D82A0625"/>
    <w:lvl w:ilvl="0" w:tentative="0">
      <w:start w:val="1"/>
      <w:numFmt w:val="chineseCounting"/>
      <w:suff w:val="nothing"/>
      <w:lvlText w:val="%1、"/>
      <w:lvlJc w:val="left"/>
      <w:pPr>
        <w:tabs>
          <w:tab w:val="left" w:pos="0"/>
        </w:tabs>
        <w:ind w:left="0" w:firstLine="0"/>
      </w:pPr>
      <w:rPr>
        <w:rFonts w:hint="eastAsia"/>
      </w:rPr>
    </w:lvl>
    <w:lvl w:ilvl="1" w:tentative="0">
      <w:start w:val="1"/>
      <w:numFmt w:val="chineseCounting"/>
      <w:pStyle w:val="3"/>
      <w:suff w:val="nothing"/>
      <w:lvlText w:val="（%2）"/>
      <w:lvlJc w:val="left"/>
      <w:pPr>
        <w:ind w:left="0" w:firstLine="0"/>
      </w:pPr>
      <w:rPr>
        <w:rFonts w:hint="eastAsia"/>
      </w:rPr>
    </w:lvl>
    <w:lvl w:ilvl="2" w:tentative="0">
      <w:start w:val="1"/>
      <w:numFmt w:val="decimal"/>
      <w:suff w:val="nothing"/>
      <w:lvlText w:val="%3．"/>
      <w:lvlJc w:val="left"/>
      <w:pPr>
        <w:ind w:left="0" w:firstLine="400"/>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
    <w:nsid w:val="E7BB6D94"/>
    <w:multiLevelType w:val="singleLevel"/>
    <w:tmpl w:val="E7BB6D94"/>
    <w:lvl w:ilvl="0" w:tentative="0">
      <w:start w:val="1"/>
      <w:numFmt w:val="decimal"/>
      <w:suff w:val="nothing"/>
      <w:lvlText w:val="（%1）"/>
      <w:lvlJc w:val="left"/>
    </w:lvl>
  </w:abstractNum>
  <w:abstractNum w:abstractNumId="3">
    <w:nsid w:val="03921E8C"/>
    <w:multiLevelType w:val="multilevel"/>
    <w:tmpl w:val="03921E8C"/>
    <w:lvl w:ilvl="0" w:tentative="0">
      <w:start w:val="1"/>
      <w:numFmt w:val="decimal"/>
      <w:lvlText w:val="%1"/>
      <w:lvlJc w:val="center"/>
      <w:pPr>
        <w:ind w:left="66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E02BE5"/>
    <w:rsid w:val="00F0192B"/>
    <w:rsid w:val="039943F6"/>
    <w:rsid w:val="09970D03"/>
    <w:rsid w:val="0B4345A9"/>
    <w:rsid w:val="0BF5100F"/>
    <w:rsid w:val="0E280F4B"/>
    <w:rsid w:val="122D14CF"/>
    <w:rsid w:val="133238C3"/>
    <w:rsid w:val="154A4AB4"/>
    <w:rsid w:val="158D3624"/>
    <w:rsid w:val="16526560"/>
    <w:rsid w:val="16A54424"/>
    <w:rsid w:val="175B7696"/>
    <w:rsid w:val="17B67907"/>
    <w:rsid w:val="188F5861"/>
    <w:rsid w:val="1C772591"/>
    <w:rsid w:val="1E834635"/>
    <w:rsid w:val="1EC819F8"/>
    <w:rsid w:val="1FCC23F2"/>
    <w:rsid w:val="28DA1D13"/>
    <w:rsid w:val="2AEA2DB3"/>
    <w:rsid w:val="2EB24CE0"/>
    <w:rsid w:val="35083B0F"/>
    <w:rsid w:val="36CA3203"/>
    <w:rsid w:val="382F3F05"/>
    <w:rsid w:val="393245C2"/>
    <w:rsid w:val="3BED3C04"/>
    <w:rsid w:val="3CA45471"/>
    <w:rsid w:val="3DF7044D"/>
    <w:rsid w:val="41A97D30"/>
    <w:rsid w:val="4207364C"/>
    <w:rsid w:val="42F6733C"/>
    <w:rsid w:val="476372E4"/>
    <w:rsid w:val="47974CAA"/>
    <w:rsid w:val="48836CAB"/>
    <w:rsid w:val="489A36A8"/>
    <w:rsid w:val="48F33103"/>
    <w:rsid w:val="4964772C"/>
    <w:rsid w:val="4CB521CC"/>
    <w:rsid w:val="4E3917D8"/>
    <w:rsid w:val="4EE02BE5"/>
    <w:rsid w:val="4FE4492E"/>
    <w:rsid w:val="533057C1"/>
    <w:rsid w:val="55EC2D33"/>
    <w:rsid w:val="5901478E"/>
    <w:rsid w:val="5BA46631"/>
    <w:rsid w:val="5D447664"/>
    <w:rsid w:val="5DC3535A"/>
    <w:rsid w:val="5FCC61E1"/>
    <w:rsid w:val="619B7CD4"/>
    <w:rsid w:val="61F013F4"/>
    <w:rsid w:val="631A52DC"/>
    <w:rsid w:val="6629735C"/>
    <w:rsid w:val="69E046FB"/>
    <w:rsid w:val="6CA4694D"/>
    <w:rsid w:val="6F776E34"/>
    <w:rsid w:val="727C0293"/>
    <w:rsid w:val="76BE708F"/>
    <w:rsid w:val="78DF4BA6"/>
    <w:rsid w:val="790F60F6"/>
    <w:rsid w:val="7ADDB830"/>
    <w:rsid w:val="7B6E3A13"/>
    <w:rsid w:val="7BCE2BAB"/>
    <w:rsid w:val="7BFF3A63"/>
    <w:rsid w:val="7C651E55"/>
    <w:rsid w:val="7DCAA8D1"/>
    <w:rsid w:val="7FAE24B3"/>
    <w:rsid w:val="BD5B29B3"/>
    <w:rsid w:val="BE591611"/>
    <w:rsid w:val="BEAFE5DF"/>
    <w:rsid w:val="EFFFCAF4"/>
    <w:rsid w:val="F7BBFE56"/>
    <w:rsid w:val="F7EF59F1"/>
    <w:rsid w:val="FFBF23D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pPr>
    <w:rPr>
      <w:rFonts w:asciiTheme="minorHAnsi" w:hAnsiTheme="minorHAnsi" w:eastAsiaTheme="minorEastAsia" w:cstheme="minorBidi"/>
      <w:kern w:val="2"/>
      <w:sz w:val="22"/>
      <w:szCs w:val="24"/>
      <w:lang w:val="en-US" w:eastAsia="zh-CN" w:bidi="ar-SA"/>
      <w14:ligatures w14:val="standardContextual"/>
    </w:rPr>
  </w:style>
  <w:style w:type="paragraph" w:styleId="2">
    <w:name w:val="heading 1"/>
    <w:basedOn w:val="1"/>
    <w:next w:val="1"/>
    <w:qFormat/>
    <w:uiPriority w:val="9"/>
    <w:pPr>
      <w:keepNext/>
      <w:keepLines/>
      <w:spacing w:before="480" w:after="0"/>
      <w:outlineLvl w:val="0"/>
    </w:pPr>
    <w:rPr>
      <w:rFonts w:asciiTheme="majorHAnsi" w:hAnsiTheme="majorHAnsi" w:eastAsiaTheme="majorEastAsia" w:cstheme="majorBidi"/>
      <w:b/>
      <w:bCs/>
      <w:sz w:val="28"/>
      <w:szCs w:val="28"/>
    </w:rPr>
  </w:style>
  <w:style w:type="paragraph" w:styleId="3">
    <w:name w:val="heading 2"/>
    <w:basedOn w:val="1"/>
    <w:next w:val="4"/>
    <w:semiHidden/>
    <w:unhideWhenUsed/>
    <w:qFormat/>
    <w:uiPriority w:val="0"/>
    <w:pPr>
      <w:numPr>
        <w:ilvl w:val="1"/>
        <w:numId w:val="1"/>
      </w:numPr>
      <w:tabs>
        <w:tab w:val="left" w:pos="0"/>
      </w:tabs>
      <w:spacing w:line="360" w:lineRule="auto"/>
      <w:ind w:left="0" w:firstLine="0"/>
      <w:outlineLvl w:val="1"/>
    </w:pPr>
    <w:rPr>
      <w:rFonts w:ascii="Arial" w:hAnsi="Arial" w:eastAsia="宋体" w:cstheme="minorBidi"/>
      <w:b/>
      <w:kern w:val="2"/>
      <w:sz w:val="24"/>
      <w:lang w:val="en-US" w:eastAsia="zh-CN" w:bidi="ar-SA"/>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Body Text"/>
    <w:basedOn w:val="1"/>
    <w:next w:val="1"/>
    <w:qFormat/>
    <w:uiPriority w:val="0"/>
    <w:pPr>
      <w:widowControl w:val="0"/>
      <w:spacing w:after="0" w:line="360" w:lineRule="auto"/>
      <w:ind w:firstLine="440" w:firstLineChars="200"/>
      <w:jc w:val="both"/>
    </w:pPr>
    <w:rPr>
      <w:rFonts w:ascii="Times New Roman" w:hAnsi="Times New Roman" w:eastAsia="宋体" w:cs="Times New Roman"/>
      <w:kern w:val="2"/>
      <w:sz w:val="28"/>
    </w:rPr>
  </w:style>
  <w:style w:type="paragraph" w:styleId="5">
    <w:name w:val="Plain Text"/>
    <w:basedOn w:val="1"/>
    <w:qFormat/>
    <w:uiPriority w:val="0"/>
    <w:rPr>
      <w:rFonts w:ascii="宋体" w:hAnsi="Courier New"/>
      <w:szCs w:val="20"/>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 w:type="paragraph" w:styleId="12">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566</Words>
  <Characters>581</Characters>
  <Lines>0</Lines>
  <Paragraphs>0</Paragraphs>
  <TotalTime>25</TotalTime>
  <ScaleCrop>false</ScaleCrop>
  <LinksUpToDate>false</LinksUpToDate>
  <CharactersWithSpaces>583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2026-06-13T19:23:00Z</dcterms:created>
  <dc:creator>还不错</dc:creator>
  <cp:lastModifiedBy>WPS_1618297894</cp:lastModifiedBy>
  <cp:lastPrinted>2026-07-03T03:37:00Z</cp:lastPrinted>
  <dcterms:modified xsi:type="dcterms:W3CDTF">2026-07-16T02:48:52Z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47B27F07E2434419A36C6DB9345B2689_13</vt:lpwstr>
  </property>
  <property fmtid="{D5CDD505-2E9C-101B-9397-08002B2CF9AE}" pid="4" name="KSOTemplateDocerSaveRecord">
    <vt:lpwstr>eyJoZGlkIjoiMzMxOTI3NTdhN2U3Y2VmZmE4NTYyNTI1NmRiZTQ1NjQiLCJ1c2VySWQiOiIxMTk3MjQ2NzM0In0=</vt:lpwstr>
  </property>
</Properties>
</file>