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27F0E">
      <w:pPr>
        <w:jc w:val="center"/>
        <w:rPr>
          <w:rFonts w:hint="eastAsia"/>
          <w:sz w:val="36"/>
          <w:szCs w:val="36"/>
          <w:lang w:eastAsia="zh-CN"/>
        </w:rPr>
      </w:pPr>
      <w:r>
        <w:rPr>
          <w:rFonts w:hint="eastAsia" w:ascii="宋体" w:hAnsi="宋体" w:eastAsia="宋体" w:cs="宋体"/>
          <w:sz w:val="36"/>
          <w:szCs w:val="36"/>
        </w:rPr>
        <w:t>2026年中山市东升医院办公家具协议定点采购项目</w:t>
      </w:r>
      <w:bookmarkStart w:id="0" w:name="_GoBack"/>
      <w:bookmarkEnd w:id="0"/>
      <w:r>
        <w:rPr>
          <w:rFonts w:hint="eastAsia"/>
          <w:sz w:val="36"/>
          <w:szCs w:val="36"/>
          <w:lang w:eastAsia="zh-CN"/>
        </w:rPr>
        <w:t>问卷调查表</w:t>
      </w:r>
    </w:p>
    <w:p w14:paraId="5966DC4E">
      <w:pPr>
        <w:spacing w:before="257" w:line="219" w:lineRule="auto"/>
      </w:pPr>
      <w:r>
        <w:rPr>
          <w:rFonts w:hint="eastAsia" w:ascii="宋体" w:hAnsi="宋体" w:eastAsia="宋体" w:cs="宋体"/>
          <w:b/>
          <w:bCs/>
          <w:spacing w:val="-7"/>
          <w:sz w:val="30"/>
          <w:szCs w:val="30"/>
          <w:lang w:eastAsia="zh-CN"/>
        </w:rPr>
        <w:t>一、采购需求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7"/>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5373"/>
        <w:gridCol w:w="1541"/>
        <w:gridCol w:w="1510"/>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705" w:type="dxa"/>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5373" w:type="dxa"/>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541" w:type="dxa"/>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1510" w:type="dxa"/>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5373" w:type="dxa"/>
            <w:vAlign w:val="top"/>
          </w:tcPr>
          <w:p w14:paraId="1F5B6B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both"/>
              <w:textAlignment w:val="baseline"/>
              <w:rPr>
                <w:rFonts w:hint="eastAsia" w:ascii="宋体" w:hAnsi="宋体" w:eastAsia="宋体" w:cs="宋体"/>
                <w:i w:val="0"/>
                <w:iCs w:val="0"/>
                <w:caps w:val="0"/>
                <w:color w:val="000000"/>
                <w:spacing w:val="0"/>
                <w:sz w:val="21"/>
                <w:szCs w:val="21"/>
              </w:rPr>
            </w:pPr>
            <w:r>
              <w:rPr>
                <w:rStyle w:val="6"/>
                <w:rFonts w:hint="eastAsia" w:ascii="宋体" w:hAnsi="宋体" w:eastAsia="宋体" w:cs="宋体"/>
                <w:i w:val="0"/>
                <w:iCs w:val="0"/>
                <w:caps w:val="0"/>
                <w:color w:val="000000"/>
                <w:spacing w:val="15"/>
                <w:sz w:val="21"/>
                <w:szCs w:val="21"/>
                <w:shd w:val="clear" w:fill="FFFFFF"/>
                <w:vertAlign w:val="baseline"/>
              </w:rPr>
              <w:t>供应商的资格要求</w:t>
            </w:r>
          </w:p>
          <w:p w14:paraId="011F7D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1"/>
                <w:szCs w:val="21"/>
                <w:shd w:val="clear" w:fill="FFFFFF"/>
                <w:lang w:eastAsia="zh-CN"/>
              </w:rPr>
              <w:t>。如</w:t>
            </w:r>
            <w:r>
              <w:rPr>
                <w:rFonts w:hint="eastAsia" w:ascii="宋体" w:hAnsi="宋体" w:eastAsia="宋体" w:cs="宋体"/>
                <w:sz w:val="21"/>
                <w:szCs w:val="21"/>
              </w:rPr>
              <w:t>分支机构投标的，须提供总公司和分公司营业执照复印件，总公司出具给分支机构的授权书</w:t>
            </w:r>
            <w:r>
              <w:rPr>
                <w:rFonts w:hint="eastAsia" w:ascii="宋体" w:hAnsi="宋体" w:eastAsia="宋体" w:cs="宋体"/>
                <w:i w:val="0"/>
                <w:iCs w:val="0"/>
                <w:caps w:val="0"/>
                <w:color w:val="000000"/>
                <w:spacing w:val="0"/>
                <w:sz w:val="21"/>
                <w:szCs w:val="21"/>
              </w:rPr>
              <w:t>；</w:t>
            </w:r>
          </w:p>
          <w:p w14:paraId="2FE52D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1"/>
                <w:szCs w:val="21"/>
                <w:u w:val="none"/>
                <w:lang w:eastAsia="zh-CN"/>
              </w:rPr>
            </w:pPr>
            <w:r>
              <w:rPr>
                <w:rFonts w:hint="eastAsia" w:ascii="宋体" w:hAnsi="宋体" w:eastAsia="宋体" w:cs="宋体"/>
                <w:i w:val="0"/>
                <w:iCs w:val="0"/>
                <w:caps w:val="0"/>
                <w:color w:val="000000"/>
                <w:spacing w:val="0"/>
                <w:sz w:val="21"/>
                <w:szCs w:val="21"/>
                <w:shd w:val="clear" w:fill="FFFFFF"/>
              </w:rPr>
              <w:t>2.响应供应商须具有效的且具备相关经营范围的营业执照</w:t>
            </w:r>
            <w:r>
              <w:rPr>
                <w:rFonts w:hint="eastAsia" w:ascii="宋体" w:hAnsi="宋体" w:eastAsia="宋体" w:cs="宋体"/>
                <w:i w:val="0"/>
                <w:iCs w:val="0"/>
                <w:caps w:val="0"/>
                <w:color w:val="000000"/>
                <w:spacing w:val="0"/>
                <w:sz w:val="21"/>
                <w:szCs w:val="21"/>
                <w:shd w:val="clear" w:fill="FFFFFF"/>
                <w:lang w:eastAsia="zh-CN"/>
              </w:rPr>
              <w:t>，并</w:t>
            </w:r>
            <w:r>
              <w:rPr>
                <w:rFonts w:hint="eastAsia" w:ascii="宋体" w:hAnsi="宋体" w:eastAsia="宋体" w:cs="宋体"/>
                <w:i w:val="0"/>
                <w:iCs w:val="0"/>
                <w:caps w:val="0"/>
                <w:color w:val="000000"/>
                <w:spacing w:val="0"/>
                <w:sz w:val="21"/>
                <w:szCs w:val="21"/>
                <w:u w:val="none"/>
                <w:shd w:val="clear" w:fill="FFFFFF"/>
              </w:rPr>
              <w:t>已入驻广东省政府采购云平台电子卖场的定点供应商</w:t>
            </w:r>
          </w:p>
          <w:p w14:paraId="4672C1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3.响应供应商应具有项目的承接能力、合同的履约能力、售后供应能力和良好的信誉；</w:t>
            </w:r>
          </w:p>
          <w:p w14:paraId="2DF0D5FE">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fill="FFFFFF"/>
              </w:rPr>
              <w:t>4.响应供应商在参与公开招标活动中未有违法违纪行为并受过处罚，响应供应商无围标、串标行为。</w:t>
            </w:r>
          </w:p>
        </w:tc>
        <w:tc>
          <w:tcPr>
            <w:tcW w:w="1541" w:type="dxa"/>
            <w:vAlign w:val="top"/>
          </w:tcPr>
          <w:p w14:paraId="0D59DF74">
            <w:pPr>
              <w:pStyle w:val="8"/>
              <w:rPr>
                <w:rFonts w:hint="eastAsia" w:ascii="宋体" w:hAnsi="宋体" w:eastAsia="宋体" w:cs="宋体"/>
                <w:sz w:val="21"/>
                <w:szCs w:val="21"/>
              </w:rPr>
            </w:pPr>
          </w:p>
        </w:tc>
        <w:tc>
          <w:tcPr>
            <w:tcW w:w="1510" w:type="dxa"/>
            <w:vAlign w:val="top"/>
          </w:tcPr>
          <w:p w14:paraId="414828D7">
            <w:pPr>
              <w:pStyle w:val="8"/>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5373" w:type="dxa"/>
            <w:vAlign w:val="top"/>
          </w:tcPr>
          <w:p w14:paraId="4C4D7322">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sz w:val="21"/>
              </w:rPr>
              <w:t>合同履行期限：自服务合同生效之日起一年。备注：（1）当在服务期限内结算金额达到采购预算金额时，采购人不再继续委托成交供应商提供服务，并终止合同。（2）合同期限期满时，结算金额未达到采购预算金额的，按实结算，合同终止。</w:t>
            </w:r>
          </w:p>
        </w:tc>
        <w:tc>
          <w:tcPr>
            <w:tcW w:w="1541" w:type="dxa"/>
            <w:vAlign w:val="top"/>
          </w:tcPr>
          <w:p w14:paraId="27900034">
            <w:pPr>
              <w:pStyle w:val="8"/>
              <w:rPr>
                <w:rFonts w:hint="eastAsia" w:ascii="宋体" w:hAnsi="宋体" w:eastAsia="宋体" w:cs="宋体"/>
                <w:sz w:val="21"/>
                <w:szCs w:val="21"/>
              </w:rPr>
            </w:pPr>
          </w:p>
        </w:tc>
        <w:tc>
          <w:tcPr>
            <w:tcW w:w="1510" w:type="dxa"/>
            <w:vAlign w:val="top"/>
          </w:tcPr>
          <w:p w14:paraId="7326CAC2">
            <w:pPr>
              <w:pStyle w:val="8"/>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2" w:hRule="atLeast"/>
        </w:trPr>
        <w:tc>
          <w:tcPr>
            <w:tcW w:w="705" w:type="dxa"/>
            <w:vAlign w:val="center"/>
          </w:tcPr>
          <w:p w14:paraId="329017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5373" w:type="dxa"/>
            <w:vAlign w:val="top"/>
          </w:tcPr>
          <w:p w14:paraId="181C09B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质保要求</w:t>
            </w:r>
          </w:p>
          <w:p w14:paraId="6E6875F1">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1.货物的保修期为 3年或以上，保修期自货物最终验收合格之日起算。保修期满后产品出现质量问题时，成交供应商只收回工料费。非保修范围：产品因用户场地环境影响或人为损坏或使用不当及管理不当等因素造成的故障或者损坏。 </w:t>
            </w:r>
          </w:p>
          <w:p w14:paraId="2BEE91AA">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2.货物运输和安装：成交供应商负责运输、卸货、安装、调试，并配合采购人完成该项目整体验收。 </w:t>
            </w:r>
          </w:p>
          <w:p w14:paraId="7E0582AF">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3.质保期内，成交供应商提供 24 小时响应服务，到达现场时间为2 小时内，解决问题的时限为到达现场后 4 小时内。紧急情况的时限为1小时内到达现场，若规定时间内仍未能有效解决，成交供应商向采购人说明原因并经采购人同意后提供等同或优于原参数的产品供采购人使用。如因此造成采购人损失的，由成交供应商承担赔偿责任。</w:t>
            </w:r>
          </w:p>
        </w:tc>
        <w:tc>
          <w:tcPr>
            <w:tcW w:w="1541" w:type="dxa"/>
            <w:vAlign w:val="top"/>
          </w:tcPr>
          <w:p w14:paraId="41626F82">
            <w:pPr>
              <w:pStyle w:val="8"/>
              <w:rPr>
                <w:rFonts w:hint="eastAsia" w:ascii="宋体" w:hAnsi="宋体" w:eastAsia="宋体" w:cs="宋体"/>
                <w:sz w:val="21"/>
                <w:szCs w:val="21"/>
              </w:rPr>
            </w:pPr>
          </w:p>
        </w:tc>
        <w:tc>
          <w:tcPr>
            <w:tcW w:w="1510" w:type="dxa"/>
            <w:vAlign w:val="top"/>
          </w:tcPr>
          <w:p w14:paraId="03D77C60">
            <w:pPr>
              <w:pStyle w:val="8"/>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F60DF1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5373" w:type="dxa"/>
            <w:vAlign w:val="top"/>
          </w:tcPr>
          <w:p w14:paraId="5DC062AE">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安装要求 </w:t>
            </w:r>
          </w:p>
          <w:p w14:paraId="23B02FB0">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1.严格按照采购人用户需求要求进行安装，主材及关系到安装效果的材料在需经采购人确认。 </w:t>
            </w:r>
          </w:p>
          <w:p w14:paraId="153F6696">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2.成交供应商安装方案应依据采购人的平面图及效果图设计基础上制定，如有修改需经采购人确认后方可进行制定安装。 </w:t>
            </w:r>
          </w:p>
          <w:p w14:paraId="6FA59A64">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3.货物质量、安装标准须满足国家现行相关建筑规范及标准要求，安装过程中须按照国家现行相关安全管理规范及标准做好现场安全文明措施。 </w:t>
            </w:r>
          </w:p>
          <w:p w14:paraId="36913A94">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4.成交供应商应按安全安装的要求，遵守一切采购人的规章制度，采取严格科学的安全措施，确保人员及第三者的安全，承担由于自身安全措施不力造成事故责任和发生的费用。 </w:t>
            </w:r>
          </w:p>
          <w:p w14:paraId="4422A6F9">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5.成交供应商安装时需对各安装现场内的装修、设备设施有良好保护措施，如安装中因施工不当造成场地及现场的设备设施损坏，由采购人在合同货款中扣除相应的维修费用。 </w:t>
            </w:r>
          </w:p>
          <w:p w14:paraId="7C5A5DF1">
            <w:pPr>
              <w:numPr>
                <w:ilvl w:val="0"/>
                <w:numId w:val="0"/>
              </w:numPr>
              <w:ind w:leftChars="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6.成交供应商应负责所有安装完成后的剩余物料及垃圾全部清理运走，不能影响采购人的正常营业，垃圾不得堆放在医院内，未按要求清理的，由采购人在合同货款中扣除相应的垃圾清运及清洁费用。</w:t>
            </w:r>
          </w:p>
        </w:tc>
        <w:tc>
          <w:tcPr>
            <w:tcW w:w="1541" w:type="dxa"/>
            <w:vAlign w:val="top"/>
          </w:tcPr>
          <w:p w14:paraId="0A74B89D">
            <w:pPr>
              <w:pStyle w:val="8"/>
              <w:rPr>
                <w:rFonts w:hint="eastAsia" w:ascii="宋体" w:hAnsi="宋体" w:eastAsia="宋体" w:cs="宋体"/>
                <w:sz w:val="21"/>
                <w:szCs w:val="21"/>
              </w:rPr>
            </w:pPr>
          </w:p>
        </w:tc>
        <w:tc>
          <w:tcPr>
            <w:tcW w:w="1510" w:type="dxa"/>
            <w:vAlign w:val="top"/>
          </w:tcPr>
          <w:p w14:paraId="521DB8CF">
            <w:pPr>
              <w:pStyle w:val="8"/>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050866F">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5373" w:type="dxa"/>
            <w:vAlign w:val="top"/>
          </w:tcPr>
          <w:p w14:paraId="5CEDC43C">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包装、装卸、运输及保险 </w:t>
            </w:r>
          </w:p>
          <w:p w14:paraId="323AF05B">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1.成交供应商所供货物包装质量必须符合国家相关标准，货物的包装均应有良好的防锈、防腐的措施，货物要求有包装保护运至现场。凡由于包装不良造成的损失和由此产生的费用均由成交供应商承担。 </w:t>
            </w:r>
          </w:p>
          <w:p w14:paraId="5C64B320">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2.成交供应商负责根据用户指定的地点，将货物送到现场过程中的全部运输，包括装卸车、货物现场的搬运，由此产生的费用均由成交供应商承担。 </w:t>
            </w:r>
          </w:p>
          <w:p w14:paraId="735D4702">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3.如货物运输过程中因事故造成货物短缺、损坏，成交供应商应及时安排换货，以保证合同货物及时交付，换货的相关费用由成交供应商承担。 </w:t>
            </w:r>
          </w:p>
          <w:p w14:paraId="5729E4C1">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4.货物的质量保险由成交供应商负责，成交供应商负责其派出的现场服务人员人身意外保险。</w:t>
            </w:r>
          </w:p>
        </w:tc>
        <w:tc>
          <w:tcPr>
            <w:tcW w:w="1541" w:type="dxa"/>
            <w:vAlign w:val="top"/>
          </w:tcPr>
          <w:p w14:paraId="659B76A9">
            <w:pPr>
              <w:pStyle w:val="8"/>
              <w:rPr>
                <w:rFonts w:hint="eastAsia" w:ascii="宋体" w:hAnsi="宋体" w:eastAsia="宋体" w:cs="宋体"/>
                <w:sz w:val="21"/>
                <w:szCs w:val="21"/>
              </w:rPr>
            </w:pPr>
          </w:p>
        </w:tc>
        <w:tc>
          <w:tcPr>
            <w:tcW w:w="1510" w:type="dxa"/>
            <w:vAlign w:val="top"/>
          </w:tcPr>
          <w:p w14:paraId="4B54845C">
            <w:pPr>
              <w:pStyle w:val="8"/>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80C9119">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5373" w:type="dxa"/>
            <w:vAlign w:val="top"/>
          </w:tcPr>
          <w:p w14:paraId="0A627AFB">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验收方式 </w:t>
            </w:r>
          </w:p>
          <w:p w14:paraId="3FF52A38">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1.成交供应商将货物送货至采购人指定地点后，由采购人按照采购合同、相关采购文件要求进行核对，根据国家相关法律法规、质量标准，对货物的规格参数和质量进行验收。 </w:t>
            </w:r>
          </w:p>
          <w:p w14:paraId="1502D012">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2.货物在验收过程中发现所交付的货物有短缺、次品、损坏或其他不符合采购文件、合同规定之情形者，采购人有权拒付该批货物的费用，并由成交供应商承担由此发生的一切费用和损失。 </w:t>
            </w:r>
          </w:p>
          <w:p w14:paraId="2F400473">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3.所有货物在使用过程中发现以次充好或使用假冒伪劣产品的，成交供应商须无条件更换货物，否则采购人有权拒收。 </w:t>
            </w:r>
          </w:p>
          <w:p w14:paraId="33DDEFEC">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4.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w:t>
            </w:r>
          </w:p>
          <w:p w14:paraId="48F45D76">
            <w:pPr>
              <w:keepNext w:val="0"/>
              <w:keepLines w:val="0"/>
              <w:widowControl/>
              <w:suppressLineNumbers w:val="0"/>
              <w:jc w:val="left"/>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5.若成交供应商提供的产品发生知识产权纠纷的，由成交供应商执行处置与原知识产权所有者协商解决，采购人不承担与之相关的任何经济和法律责任。</w:t>
            </w:r>
          </w:p>
        </w:tc>
        <w:tc>
          <w:tcPr>
            <w:tcW w:w="1541" w:type="dxa"/>
            <w:vAlign w:val="top"/>
          </w:tcPr>
          <w:p w14:paraId="0F2EBC3F">
            <w:pPr>
              <w:pStyle w:val="8"/>
              <w:rPr>
                <w:rFonts w:hint="eastAsia" w:ascii="宋体" w:hAnsi="宋体" w:eastAsia="宋体" w:cs="宋体"/>
                <w:sz w:val="21"/>
                <w:szCs w:val="21"/>
              </w:rPr>
            </w:pPr>
          </w:p>
        </w:tc>
        <w:tc>
          <w:tcPr>
            <w:tcW w:w="1510" w:type="dxa"/>
            <w:vAlign w:val="top"/>
          </w:tcPr>
          <w:p w14:paraId="0FDABF3E">
            <w:pPr>
              <w:pStyle w:val="8"/>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52EB871">
            <w:pPr>
              <w:keepNext w:val="0"/>
              <w:keepLines w:val="0"/>
              <w:pageBreakBefore w:val="0"/>
              <w:widowControl w:val="0"/>
              <w:kinsoku/>
              <w:wordWrap/>
              <w:overflowPunct/>
              <w:topLinePunct w:val="0"/>
              <w:autoSpaceDE/>
              <w:autoSpaceDN/>
              <w:bidi w:val="0"/>
              <w:adjustRightInd/>
              <w:snapToGrid/>
              <w:spacing w:before="65" w:line="240" w:lineRule="exact"/>
              <w:jc w:val="center"/>
              <w:textAlignment w:val="auto"/>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5373" w:type="dxa"/>
            <w:vAlign w:val="top"/>
          </w:tcPr>
          <w:p w14:paraId="41E4F76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报价方式：</w:t>
            </w:r>
          </w:p>
          <w:p w14:paraId="16D7065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 报价方式：</w:t>
            </w:r>
          </w:p>
          <w:p w14:paraId="07DE7CE2">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(1)本项目采用下浮率报价，</w:t>
            </w:r>
            <w:r>
              <w:rPr>
                <w:rFonts w:hint="eastAsia" w:ascii="宋体" w:hAnsi="宋体" w:eastAsia="宋体" w:cs="宋体"/>
                <w:sz w:val="21"/>
                <w:szCs w:val="21"/>
                <w:lang w:eastAsia="zh-CN"/>
              </w:rPr>
              <w:t>成交供应商</w:t>
            </w:r>
            <w:r>
              <w:rPr>
                <w:rFonts w:hint="eastAsia" w:ascii="宋体" w:hAnsi="宋体" w:eastAsia="宋体" w:cs="宋体"/>
                <w:sz w:val="21"/>
                <w:szCs w:val="21"/>
              </w:rPr>
              <w:t>需根据自身成本、利润预期和市场策略，报出一个唯一、明确的下浮率；</w:t>
            </w:r>
          </w:p>
          <w:p w14:paraId="2C82EEA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(2)下浮率取值范围为0%(含)至</w:t>
            </w:r>
            <w:r>
              <w:rPr>
                <w:rFonts w:hint="eastAsia" w:ascii="宋体" w:hAnsi="宋体" w:eastAsia="宋体" w:cs="宋体"/>
                <w:sz w:val="21"/>
                <w:szCs w:val="21"/>
                <w:lang w:val="en-US" w:eastAsia="zh-CN"/>
              </w:rPr>
              <w:t>10</w:t>
            </w:r>
            <w:r>
              <w:rPr>
                <w:rFonts w:hint="eastAsia" w:ascii="宋体" w:hAnsi="宋体" w:eastAsia="宋体" w:cs="宋体"/>
                <w:sz w:val="21"/>
                <w:szCs w:val="21"/>
              </w:rPr>
              <w:t>0%(含),报价精确到小数点后两位；</w:t>
            </w:r>
          </w:p>
          <w:p w14:paraId="23BD9599">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(3)任何超出此范围、未填写或填写不清的报价均视为无效报价；</w:t>
            </w:r>
          </w:p>
          <w:p w14:paraId="7D44655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 结算公式：</w:t>
            </w:r>
            <w:r>
              <w:rPr>
                <w:rFonts w:hint="eastAsia" w:ascii="宋体" w:hAnsi="宋体" w:eastAsia="宋体" w:cs="宋体"/>
                <w:sz w:val="21"/>
                <w:szCs w:val="21"/>
                <w:lang w:eastAsia="zh-CN"/>
              </w:rPr>
              <w:t>项目费用</w:t>
            </w:r>
            <w:r>
              <w:rPr>
                <w:rFonts w:hint="eastAsia" w:ascii="宋体" w:hAnsi="宋体" w:eastAsia="宋体" w:cs="宋体"/>
                <w:sz w:val="21"/>
                <w:szCs w:val="21"/>
              </w:rPr>
              <w:t>=</w:t>
            </w:r>
            <w:r>
              <w:rPr>
                <w:rFonts w:hint="eastAsia" w:ascii="宋体" w:hAnsi="宋体" w:eastAsia="宋体" w:cs="宋体"/>
                <w:sz w:val="21"/>
                <w:szCs w:val="21"/>
                <w:lang w:eastAsia="zh-CN"/>
              </w:rPr>
              <w:t>品种最高限价</w:t>
            </w:r>
            <w:r>
              <w:rPr>
                <w:rFonts w:hint="eastAsia" w:ascii="宋体" w:hAnsi="宋体" w:eastAsia="宋体" w:cs="宋体"/>
                <w:sz w:val="21"/>
                <w:szCs w:val="21"/>
              </w:rPr>
              <w:t>×(1-中选下浮率)</w:t>
            </w:r>
            <w:r>
              <w:rPr>
                <w:rFonts w:hint="eastAsia" w:ascii="宋体" w:hAnsi="宋体" w:eastAsia="宋体" w:cs="宋体"/>
                <w:sz w:val="21"/>
                <w:szCs w:val="21"/>
                <w:lang w:val="en-US" w:eastAsia="zh-CN"/>
              </w:rPr>
              <w:t>×采购数量</w:t>
            </w:r>
            <w:r>
              <w:rPr>
                <w:rFonts w:hint="eastAsia" w:ascii="宋体" w:hAnsi="宋体" w:eastAsia="宋体" w:cs="宋体"/>
                <w:sz w:val="21"/>
                <w:szCs w:val="21"/>
              </w:rPr>
              <w:t>。</w:t>
            </w:r>
          </w:p>
          <w:p w14:paraId="4EE9C59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 费用涵盖：</w:t>
            </w:r>
            <w:r>
              <w:rPr>
                <w:rFonts w:hint="eastAsia" w:ascii="宋体" w:hAnsi="宋体" w:eastAsia="宋体" w:cs="宋体"/>
                <w:sz w:val="21"/>
                <w:szCs w:val="21"/>
                <w:lang w:eastAsia="zh-CN"/>
              </w:rPr>
              <w:t>报价</w:t>
            </w:r>
            <w:r>
              <w:rPr>
                <w:rFonts w:hint="eastAsia" w:ascii="宋体" w:hAnsi="宋体" w:eastAsia="宋体" w:cs="宋体"/>
                <w:sz w:val="21"/>
                <w:szCs w:val="21"/>
              </w:rPr>
              <w:t>下浮率已涵盖</w:t>
            </w:r>
            <w:r>
              <w:rPr>
                <w:rFonts w:hint="eastAsia" w:ascii="宋体" w:hAnsi="宋体" w:eastAsia="宋体" w:cs="宋体"/>
                <w:sz w:val="21"/>
                <w:szCs w:val="21"/>
                <w:lang w:eastAsia="zh-CN"/>
              </w:rPr>
              <w:t>供应商</w:t>
            </w:r>
            <w:r>
              <w:rPr>
                <w:rFonts w:hint="eastAsia" w:ascii="宋体" w:hAnsi="宋体" w:eastAsia="宋体" w:cs="宋体"/>
                <w:sz w:val="21"/>
                <w:szCs w:val="21"/>
              </w:rPr>
              <w:t>为完成本项目所需的一切费用，采购人不再支付任何额外费用。</w:t>
            </w:r>
          </w:p>
        </w:tc>
        <w:tc>
          <w:tcPr>
            <w:tcW w:w="1541" w:type="dxa"/>
            <w:vAlign w:val="top"/>
          </w:tcPr>
          <w:p w14:paraId="07F62CFD">
            <w:pPr>
              <w:pStyle w:val="8"/>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p>
        </w:tc>
        <w:tc>
          <w:tcPr>
            <w:tcW w:w="1510" w:type="dxa"/>
            <w:vAlign w:val="top"/>
          </w:tcPr>
          <w:p w14:paraId="5AFF3CB9">
            <w:pPr>
              <w:pStyle w:val="8"/>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p>
        </w:tc>
      </w:tr>
      <w:tr w14:paraId="6DE63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57BBA819">
            <w:pPr>
              <w:keepNext w:val="0"/>
              <w:keepLines w:val="0"/>
              <w:pageBreakBefore w:val="0"/>
              <w:widowControl w:val="0"/>
              <w:kinsoku/>
              <w:wordWrap/>
              <w:overflowPunct/>
              <w:topLinePunct w:val="0"/>
              <w:autoSpaceDE/>
              <w:autoSpaceDN/>
              <w:bidi w:val="0"/>
              <w:adjustRightInd/>
              <w:snapToGrid/>
              <w:spacing w:before="65" w:line="240" w:lineRule="exact"/>
              <w:jc w:val="center"/>
              <w:textAlignment w:val="auto"/>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5373" w:type="dxa"/>
            <w:vAlign w:val="top"/>
          </w:tcPr>
          <w:p w14:paraId="5777460F">
            <w:pPr>
              <w:keepNext w:val="0"/>
              <w:keepLines w:val="0"/>
              <w:pageBreakBefore w:val="0"/>
              <w:widowControl w:val="0"/>
              <w:kinsoku/>
              <w:wordWrap/>
              <w:overflowPunct/>
              <w:topLinePunct w:val="0"/>
              <w:autoSpaceDE/>
              <w:autoSpaceDN/>
              <w:bidi w:val="0"/>
              <w:adjustRightInd/>
              <w:snapToGrid/>
              <w:spacing w:before="157" w:beforeLines="50" w:line="240" w:lineRule="exact"/>
              <w:jc w:val="left"/>
              <w:textAlignment w:val="auto"/>
              <w:rPr>
                <w:rFonts w:hint="eastAsia" w:ascii="宋体" w:hAnsi="宋体" w:eastAsia="宋体" w:cs="宋体"/>
                <w:b/>
                <w:bCs/>
                <w:color w:val="auto"/>
                <w:spacing w:val="-2"/>
                <w:sz w:val="21"/>
                <w:szCs w:val="21"/>
                <w:highlight w:val="none"/>
                <w:lang w:eastAsia="zh-CN"/>
              </w:rPr>
            </w:pPr>
            <w:r>
              <w:rPr>
                <w:rFonts w:hint="eastAsia" w:ascii="宋体" w:hAnsi="宋体" w:eastAsia="宋体" w:cs="宋体"/>
                <w:b/>
                <w:bCs/>
                <w:color w:val="auto"/>
                <w:spacing w:val="-2"/>
                <w:sz w:val="21"/>
                <w:szCs w:val="21"/>
                <w:highlight w:val="none"/>
              </w:rPr>
              <w:t>付款方式</w:t>
            </w:r>
            <w:r>
              <w:rPr>
                <w:rFonts w:hint="eastAsia" w:ascii="宋体" w:hAnsi="宋体" w:eastAsia="宋体" w:cs="宋体"/>
                <w:b/>
                <w:bCs/>
                <w:color w:val="auto"/>
                <w:spacing w:val="-2"/>
                <w:sz w:val="21"/>
                <w:szCs w:val="21"/>
                <w:highlight w:val="none"/>
                <w:lang w:eastAsia="zh-CN"/>
              </w:rPr>
              <w:t>：</w:t>
            </w:r>
          </w:p>
          <w:p w14:paraId="5E63498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color w:val="auto"/>
                <w:spacing w:val="-2"/>
                <w:sz w:val="21"/>
                <w:szCs w:val="21"/>
                <w:highlight w:val="none"/>
                <w:lang w:eastAsia="zh-CN"/>
              </w:rPr>
            </w:pPr>
            <w:r>
              <w:rPr>
                <w:rFonts w:hint="eastAsia" w:ascii="宋体" w:hAnsi="宋体" w:eastAsia="宋体" w:cs="宋体"/>
                <w:b w:val="0"/>
                <w:bCs w:val="0"/>
                <w:color w:val="auto"/>
                <w:spacing w:val="-2"/>
                <w:sz w:val="21"/>
                <w:szCs w:val="21"/>
                <w:highlight w:val="none"/>
                <w:lang w:eastAsia="zh-CN"/>
              </w:rPr>
              <w:t>1. 按单个项目结算：</w:t>
            </w:r>
            <w:r>
              <w:rPr>
                <w:rFonts w:hint="eastAsia" w:ascii="宋体" w:hAnsi="宋体" w:eastAsia="宋体" w:cs="宋体"/>
                <w:b w:val="0"/>
                <w:bCs w:val="0"/>
                <w:color w:val="auto"/>
                <w:spacing w:val="-2"/>
                <w:sz w:val="21"/>
                <w:szCs w:val="21"/>
                <w:highlight w:val="none"/>
                <w:lang w:val="en-US" w:eastAsia="zh-CN"/>
              </w:rPr>
              <w:t>成交供应商</w:t>
            </w:r>
            <w:r>
              <w:rPr>
                <w:rFonts w:hint="eastAsia" w:ascii="宋体" w:hAnsi="宋体" w:eastAsia="宋体" w:cs="宋体"/>
                <w:b w:val="0"/>
                <w:bCs w:val="0"/>
                <w:color w:val="auto"/>
                <w:spacing w:val="-2"/>
                <w:sz w:val="21"/>
                <w:szCs w:val="21"/>
                <w:highlight w:val="none"/>
                <w:lang w:eastAsia="zh-CN"/>
              </w:rPr>
              <w:t>按照采购清单完成项目交货、安装和调试并通过验收后，由成交供应商开具工程结算价全额发票，医院核对无误后60 个工作日内支付。</w:t>
            </w:r>
          </w:p>
          <w:p w14:paraId="568EAC1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b w:val="0"/>
                <w:bCs w:val="0"/>
                <w:color w:val="auto"/>
                <w:spacing w:val="-2"/>
                <w:sz w:val="21"/>
                <w:szCs w:val="21"/>
                <w:highlight w:val="none"/>
                <w:lang w:eastAsia="zh-CN"/>
              </w:rPr>
              <w:t>2.特别说明：合同约定的付款期限，遵守《保障中小企业款项支付条例》的规定。如中介机构为中小企业，付款期限最长不超过60日。</w:t>
            </w:r>
          </w:p>
        </w:tc>
        <w:tc>
          <w:tcPr>
            <w:tcW w:w="1541" w:type="dxa"/>
            <w:vAlign w:val="top"/>
          </w:tcPr>
          <w:p w14:paraId="1BED2EAB">
            <w:pPr>
              <w:pStyle w:val="8"/>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p>
        </w:tc>
        <w:tc>
          <w:tcPr>
            <w:tcW w:w="1510" w:type="dxa"/>
            <w:vAlign w:val="top"/>
          </w:tcPr>
          <w:p w14:paraId="09B8EFBC">
            <w:pPr>
              <w:pStyle w:val="8"/>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p>
        </w:tc>
      </w:tr>
    </w:tbl>
    <w:p w14:paraId="514E0BE2">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napToGrid w:val="0"/>
          <w:color w:val="000000"/>
          <w:spacing w:val="-2"/>
          <w:kern w:val="2"/>
          <w:sz w:val="21"/>
          <w:szCs w:val="21"/>
          <w:highlight w:val="none"/>
          <w:lang w:val="en-US" w:eastAsia="zh-CN" w:bidi="ar"/>
        </w:rPr>
      </w:pPr>
    </w:p>
    <w:p w14:paraId="347074B6">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lang w:val="en-US" w:eastAsia="zh-CN" w:bidi="ar"/>
        </w:rPr>
        <w:t>二、</w:t>
      </w: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67353"/>
    <w:rsid w:val="004B0085"/>
    <w:rsid w:val="4E5B2D9E"/>
    <w:rsid w:val="714957D1"/>
    <w:rsid w:val="72867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qFormat/>
    <w:uiPriority w:val="0"/>
    <w:rPr>
      <w:b/>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2702</Words>
  <Characters>2774</Characters>
  <Lines>0</Lines>
  <Paragraphs>0</Paragraphs>
  <TotalTime>11</TotalTime>
  <ScaleCrop>false</ScaleCrop>
  <LinksUpToDate>false</LinksUpToDate>
  <CharactersWithSpaces>2777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18924981193</dc:creator>
  <cp:lastModifiedBy>18924981193</cp:lastModifiedBy>
  <dcterms:modified xsi:type="dcterms:W3CDTF">2026-03-20T07:10:04Z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8F9AE296E2D9497D98503E90364D4CE2_11</vt:lpwstr>
  </property>
  <property fmtid="{D5CDD505-2E9C-101B-9397-08002B2CF9AE}" pid="4" name="KSOTemplateDocerSaveRecord">
    <vt:lpwstr>eyJoZGlkIjoiMDI1YTQ0MGQ2NDc4NmQ3MjU4NTFkMzZmNDA5NDM5ODgiLCJ1c2VySWQiOiI3MDcxOTEyNjEifQ==</vt:lpwstr>
  </property>
</Properties>
</file>