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0C7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25" w:lineRule="atLeast"/>
        <w:ind w:left="0" w:right="0" w:firstLine="0"/>
        <w:jc w:val="center"/>
        <w:rPr>
          <w:rFonts w:hint="eastAsia" w:ascii="宋体" w:hAnsi="宋体" w:eastAsia="宋体" w:cs="宋体"/>
          <w:b/>
          <w:bCs/>
          <w:i w:val="0"/>
          <w:iCs w:val="0"/>
          <w:caps w:val="0"/>
          <w:color w:val="auto"/>
          <w:spacing w:val="0"/>
          <w:sz w:val="36"/>
          <w:szCs w:val="36"/>
          <w:shd w:val="clear" w:fill="FFFFFF"/>
        </w:rPr>
      </w:pPr>
      <w:r>
        <w:rPr>
          <w:rFonts w:hint="eastAsia"/>
          <w:b/>
          <w:bCs/>
          <w:color w:val="auto"/>
          <w:sz w:val="36"/>
          <w:szCs w:val="36"/>
          <w:lang w:eastAsia="zh-CN"/>
        </w:rPr>
        <w:t>中</w:t>
      </w:r>
      <w:r>
        <w:rPr>
          <w:rFonts w:hint="eastAsia" w:ascii="宋体" w:hAnsi="宋体" w:eastAsia="宋体" w:cs="宋体"/>
          <w:b/>
          <w:bCs/>
          <w:color w:val="auto"/>
          <w:sz w:val="36"/>
          <w:szCs w:val="36"/>
          <w:lang w:eastAsia="zh-CN"/>
        </w:rPr>
        <w:t>山市东升医院</w:t>
      </w:r>
      <w:r>
        <w:rPr>
          <w:rFonts w:hint="eastAsia" w:cs="宋体"/>
          <w:b/>
          <w:bCs/>
          <w:color w:val="auto"/>
          <w:sz w:val="36"/>
          <w:szCs w:val="36"/>
          <w:lang w:eastAsia="zh-CN"/>
        </w:rPr>
        <w:t>家具定制采购项目</w:t>
      </w:r>
      <w:r>
        <w:rPr>
          <w:rFonts w:hint="eastAsia" w:cs="宋体"/>
          <w:b/>
          <w:bCs/>
          <w:i w:val="0"/>
          <w:iCs w:val="0"/>
          <w:caps w:val="0"/>
          <w:color w:val="auto"/>
          <w:spacing w:val="0"/>
          <w:sz w:val="36"/>
          <w:szCs w:val="36"/>
          <w:shd w:val="clear" w:fill="FFFFFF"/>
          <w:lang w:eastAsia="zh-CN"/>
        </w:rPr>
        <w:t>询价</w:t>
      </w:r>
      <w:r>
        <w:rPr>
          <w:rFonts w:hint="eastAsia" w:ascii="宋体" w:hAnsi="宋体" w:eastAsia="宋体" w:cs="宋体"/>
          <w:b/>
          <w:bCs/>
          <w:i w:val="0"/>
          <w:iCs w:val="0"/>
          <w:caps w:val="0"/>
          <w:color w:val="auto"/>
          <w:spacing w:val="0"/>
          <w:sz w:val="36"/>
          <w:szCs w:val="36"/>
          <w:shd w:val="clear" w:fill="FFFFFF"/>
        </w:rPr>
        <w:t>公告</w:t>
      </w:r>
    </w:p>
    <w:p w14:paraId="4BF5E54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both"/>
        <w:rPr>
          <w:rFonts w:hint="eastAsia" w:ascii="宋体" w:hAnsi="宋体" w:eastAsia="宋体" w:cs="宋体"/>
          <w:i w:val="0"/>
          <w:iCs w:val="0"/>
          <w:caps w:val="0"/>
          <w:color w:val="000000"/>
          <w:spacing w:val="0"/>
          <w:sz w:val="28"/>
          <w:szCs w:val="28"/>
        </w:rPr>
      </w:pPr>
      <w:bookmarkStart w:id="21" w:name="_GoBack"/>
      <w:r>
        <w:rPr>
          <w:rFonts w:hint="eastAsia"/>
          <w:sz w:val="28"/>
          <w:szCs w:val="28"/>
          <w:lang w:eastAsia="zh-CN"/>
        </w:rPr>
        <w:t>我院拟采购定制家具一批，</w:t>
      </w:r>
      <w:r>
        <w:rPr>
          <w:rFonts w:hint="eastAsia" w:ascii="宋体" w:hAnsi="宋体" w:eastAsia="宋体" w:cs="宋体"/>
          <w:i w:val="0"/>
          <w:iCs w:val="0"/>
          <w:caps w:val="0"/>
          <w:color w:val="000000"/>
          <w:spacing w:val="0"/>
          <w:sz w:val="28"/>
          <w:szCs w:val="28"/>
        </w:rPr>
        <w:t>现向社会邀请符合条件的供应商，对以下服务内容和要求进行询价，请有意向参加本项目的各供应商根据采购需求情况提供报价，文件中标有“★”的地方均被视为重要的响应条款，供应商必须完全响应。若有一项带“★”的要求未响应或不满足，将不通过资格性、符合性审查。具体情况如下：</w:t>
      </w:r>
    </w:p>
    <w:p w14:paraId="79B067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一、</w:t>
      </w:r>
      <w:r>
        <w:rPr>
          <w:rStyle w:val="7"/>
          <w:rFonts w:hint="eastAsia" w:ascii="宋体" w:hAnsi="宋体" w:eastAsia="宋体" w:cs="宋体"/>
          <w:i w:val="0"/>
          <w:iCs w:val="0"/>
          <w:caps w:val="0"/>
          <w:color w:val="000000"/>
          <w:spacing w:val="0"/>
          <w:sz w:val="28"/>
          <w:szCs w:val="28"/>
          <w:shd w:val="clear" w:fill="FFFFFF"/>
        </w:rPr>
        <w:t>项目概况：</w:t>
      </w:r>
    </w:p>
    <w:p w14:paraId="24BDB2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b w:val="0"/>
          <w:bCs w:val="0"/>
          <w:color w:val="auto"/>
          <w:sz w:val="28"/>
          <w:szCs w:val="28"/>
          <w:lang w:eastAsia="zh-CN"/>
        </w:rPr>
        <w:t>中山市东升医院家具定制采购项目</w:t>
      </w:r>
    </w:p>
    <w:p w14:paraId="79412C5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2.项目编号：HW-CW-CW-2025</w:t>
      </w:r>
      <w:r>
        <w:rPr>
          <w:rFonts w:hint="eastAsia" w:ascii="宋体" w:hAnsi="宋体" w:eastAsia="宋体" w:cs="宋体"/>
          <w:i w:val="0"/>
          <w:iCs w:val="0"/>
          <w:caps w:val="0"/>
          <w:color w:val="000000"/>
          <w:spacing w:val="0"/>
          <w:sz w:val="28"/>
          <w:szCs w:val="28"/>
          <w:shd w:val="clear" w:fill="FFFFFF"/>
          <w:lang w:val="en-US" w:eastAsia="zh-CN"/>
        </w:rPr>
        <w:t>119</w:t>
      </w:r>
    </w:p>
    <w:p w14:paraId="2B3F6F4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3.项目配送地点：</w:t>
      </w:r>
      <w:r>
        <w:rPr>
          <w:rFonts w:hint="eastAsia" w:ascii="宋体" w:hAnsi="宋体" w:eastAsia="宋体" w:cs="宋体"/>
          <w:i w:val="0"/>
          <w:iCs w:val="0"/>
          <w:caps w:val="0"/>
          <w:color w:val="000000"/>
          <w:spacing w:val="0"/>
          <w:sz w:val="28"/>
          <w:szCs w:val="28"/>
          <w:shd w:val="clear" w:fill="FFFFFF"/>
          <w:lang w:eastAsia="zh-CN"/>
        </w:rPr>
        <w:t>中山市</w:t>
      </w:r>
      <w:r>
        <w:rPr>
          <w:rFonts w:hint="eastAsia" w:ascii="宋体" w:hAnsi="宋体" w:eastAsia="宋体" w:cs="宋体"/>
          <w:i w:val="0"/>
          <w:iCs w:val="0"/>
          <w:caps w:val="0"/>
          <w:color w:val="000000"/>
          <w:spacing w:val="0"/>
          <w:sz w:val="28"/>
          <w:szCs w:val="28"/>
          <w:shd w:val="clear" w:fill="FFFFFF"/>
        </w:rPr>
        <w:t>东升医院指定范围内</w:t>
      </w:r>
    </w:p>
    <w:p w14:paraId="69DB189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4.</w:t>
      </w:r>
      <w:r>
        <w:rPr>
          <w:rFonts w:hint="eastAsia" w:ascii="宋体" w:hAnsi="宋体" w:eastAsia="宋体" w:cs="宋体"/>
          <w:bCs/>
          <w:kern w:val="2"/>
          <w:sz w:val="28"/>
          <w:szCs w:val="28"/>
        </w:rPr>
        <w:t>本项目的</w:t>
      </w:r>
      <w:r>
        <w:rPr>
          <w:rFonts w:hint="eastAsia" w:ascii="宋体" w:hAnsi="宋体" w:eastAsia="宋体" w:cs="宋体"/>
          <w:bCs/>
          <w:kern w:val="2"/>
          <w:sz w:val="28"/>
          <w:szCs w:val="28"/>
          <w:lang w:eastAsia="zh-CN"/>
        </w:rPr>
        <w:t>评审</w:t>
      </w:r>
      <w:r>
        <w:rPr>
          <w:rFonts w:hint="eastAsia" w:ascii="宋体" w:hAnsi="宋体" w:eastAsia="宋体" w:cs="宋体"/>
          <w:bCs/>
          <w:kern w:val="2"/>
          <w:sz w:val="28"/>
          <w:szCs w:val="28"/>
          <w:lang w:val="en-US" w:eastAsia="zh-CN"/>
        </w:rPr>
        <w:t>采用最低价法方式</w:t>
      </w:r>
    </w:p>
    <w:p w14:paraId="2BCA661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Style w:val="7"/>
          <w:rFonts w:hint="eastAsia" w:ascii="宋体" w:hAnsi="宋体" w:eastAsia="宋体" w:cs="宋体"/>
          <w:b w:val="0"/>
          <w:bCs/>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val="en-US" w:eastAsia="zh-CN"/>
        </w:rPr>
        <w:t>5.</w:t>
      </w:r>
      <w:r>
        <w:rPr>
          <w:rStyle w:val="7"/>
          <w:rFonts w:hint="eastAsia" w:ascii="宋体" w:hAnsi="宋体" w:eastAsia="宋体" w:cs="宋体"/>
          <w:b w:val="0"/>
          <w:bCs/>
          <w:i w:val="0"/>
          <w:iCs w:val="0"/>
          <w:caps w:val="0"/>
          <w:color w:val="000000"/>
          <w:spacing w:val="0"/>
          <w:sz w:val="28"/>
          <w:szCs w:val="28"/>
          <w:shd w:val="clear" w:fill="FFFFFF"/>
          <w:lang w:eastAsia="zh-CN"/>
        </w:rPr>
        <w:t>定制家具</w:t>
      </w:r>
      <w:r>
        <w:rPr>
          <w:rStyle w:val="7"/>
          <w:rFonts w:hint="eastAsia" w:ascii="宋体" w:hAnsi="宋体" w:eastAsia="宋体" w:cs="宋体"/>
          <w:b w:val="0"/>
          <w:bCs/>
          <w:i w:val="0"/>
          <w:iCs w:val="0"/>
          <w:caps w:val="0"/>
          <w:color w:val="000000"/>
          <w:spacing w:val="0"/>
          <w:sz w:val="28"/>
          <w:szCs w:val="28"/>
          <w:shd w:val="clear" w:fill="FFFFFF"/>
        </w:rPr>
        <w:t>清单</w:t>
      </w:r>
      <w:r>
        <w:rPr>
          <w:rStyle w:val="7"/>
          <w:rFonts w:hint="eastAsia" w:ascii="宋体" w:hAnsi="宋体" w:eastAsia="宋体" w:cs="宋体"/>
          <w:b w:val="0"/>
          <w:bCs/>
          <w:i w:val="0"/>
          <w:iCs w:val="0"/>
          <w:caps w:val="0"/>
          <w:color w:val="000000"/>
          <w:spacing w:val="0"/>
          <w:sz w:val="28"/>
          <w:szCs w:val="28"/>
          <w:shd w:val="clear" w:fill="FFFFFF"/>
          <w:lang w:eastAsia="zh-CN"/>
        </w:rPr>
        <w:t>：</w:t>
      </w:r>
    </w:p>
    <w:tbl>
      <w:tblPr>
        <w:tblStyle w:val="4"/>
        <w:tblpPr w:leftFromText="180" w:rightFromText="180" w:vertAnchor="text" w:horzAnchor="page" w:tblpXSpec="center" w:tblpY="603"/>
        <w:tblOverlap w:val="never"/>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6"/>
        <w:gridCol w:w="986"/>
        <w:gridCol w:w="3978"/>
        <w:gridCol w:w="776"/>
        <w:gridCol w:w="776"/>
        <w:gridCol w:w="2524"/>
      </w:tblGrid>
      <w:tr w14:paraId="5D2C6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7" w:hRule="atLeast"/>
          <w:jc w:val="center"/>
        </w:trPr>
        <w:tc>
          <w:tcPr>
            <w:tcW w:w="315" w:type="pct"/>
            <w:tcBorders>
              <w:top w:val="single" w:color="000000" w:sz="4" w:space="0"/>
              <w:left w:val="single" w:color="000000" w:sz="4" w:space="0"/>
              <w:bottom w:val="nil"/>
              <w:right w:val="single" w:color="000000" w:sz="4" w:space="0"/>
            </w:tcBorders>
            <w:shd w:val="clear" w:color="auto" w:fill="auto"/>
            <w:noWrap/>
            <w:vAlign w:val="center"/>
          </w:tcPr>
          <w:p w14:paraId="2131D80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编号</w:t>
            </w:r>
          </w:p>
        </w:tc>
        <w:tc>
          <w:tcPr>
            <w:tcW w:w="616" w:type="pct"/>
            <w:tcBorders>
              <w:top w:val="single" w:color="000000" w:sz="4" w:space="0"/>
              <w:left w:val="single" w:color="000000" w:sz="4" w:space="0"/>
              <w:bottom w:val="nil"/>
              <w:right w:val="single" w:color="000000" w:sz="4" w:space="0"/>
            </w:tcBorders>
            <w:shd w:val="clear" w:color="auto" w:fill="auto"/>
            <w:noWrap/>
            <w:vAlign w:val="center"/>
          </w:tcPr>
          <w:p w14:paraId="1709C8B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名称</w:t>
            </w:r>
          </w:p>
        </w:tc>
        <w:tc>
          <w:tcPr>
            <w:tcW w:w="2139" w:type="pct"/>
            <w:tcBorders>
              <w:top w:val="single" w:color="000000" w:sz="4" w:space="0"/>
              <w:left w:val="single" w:color="000000" w:sz="4" w:space="0"/>
              <w:bottom w:val="nil"/>
              <w:right w:val="nil"/>
            </w:tcBorders>
            <w:shd w:val="clear" w:color="auto" w:fill="auto"/>
            <w:vAlign w:val="center"/>
          </w:tcPr>
          <w:p w14:paraId="600630F1">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规格参数</w:t>
            </w:r>
          </w:p>
        </w:tc>
        <w:tc>
          <w:tcPr>
            <w:tcW w:w="263" w:type="pct"/>
            <w:tcBorders>
              <w:top w:val="single" w:color="000000" w:sz="4" w:space="0"/>
              <w:left w:val="single" w:color="000000" w:sz="4" w:space="0"/>
              <w:bottom w:val="nil"/>
              <w:right w:val="single" w:color="000000" w:sz="4" w:space="0"/>
            </w:tcBorders>
            <w:shd w:val="clear" w:color="auto" w:fill="auto"/>
            <w:noWrap/>
            <w:vAlign w:val="center"/>
          </w:tcPr>
          <w:p w14:paraId="3CA87EE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单位</w:t>
            </w:r>
          </w:p>
        </w:tc>
        <w:tc>
          <w:tcPr>
            <w:tcW w:w="265" w:type="pct"/>
            <w:tcBorders>
              <w:top w:val="single" w:color="000000" w:sz="4" w:space="0"/>
              <w:left w:val="single" w:color="000000" w:sz="4" w:space="0"/>
              <w:bottom w:val="nil"/>
              <w:right w:val="single" w:color="000000" w:sz="4" w:space="0"/>
            </w:tcBorders>
            <w:shd w:val="clear" w:color="auto" w:fill="auto"/>
            <w:noWrap/>
            <w:vAlign w:val="center"/>
          </w:tcPr>
          <w:p w14:paraId="2A854F2A">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数量</w:t>
            </w:r>
          </w:p>
        </w:tc>
        <w:tc>
          <w:tcPr>
            <w:tcW w:w="1399" w:type="pct"/>
            <w:tcBorders>
              <w:top w:val="single" w:color="000000" w:sz="4" w:space="0"/>
              <w:left w:val="single" w:color="000000" w:sz="4" w:space="0"/>
              <w:bottom w:val="nil"/>
              <w:right w:val="single" w:color="000000" w:sz="4" w:space="0"/>
            </w:tcBorders>
            <w:shd w:val="clear" w:color="auto" w:fill="auto"/>
            <w:noWrap/>
            <w:vAlign w:val="center"/>
          </w:tcPr>
          <w:p w14:paraId="6D4EB2CD">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bdr w:val="single" w:color="000000" w:sz="4" w:space="0"/>
                <w:lang w:val="en-US" w:eastAsia="zh-CN" w:bidi="ar"/>
              </w:rPr>
            </w:pPr>
          </w:p>
        </w:tc>
      </w:tr>
      <w:tr w14:paraId="13CAE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jc w:val="center"/>
        </w:trPr>
        <w:tc>
          <w:tcPr>
            <w:tcW w:w="315" w:type="pct"/>
            <w:tcBorders>
              <w:top w:val="single" w:color="000000" w:sz="4" w:space="0"/>
              <w:left w:val="single" w:color="000000" w:sz="4" w:space="0"/>
              <w:bottom w:val="nil"/>
              <w:right w:val="single" w:color="000000" w:sz="4" w:space="0"/>
            </w:tcBorders>
            <w:shd w:val="clear" w:color="auto" w:fill="auto"/>
            <w:noWrap/>
            <w:vAlign w:val="center"/>
          </w:tcPr>
          <w:p w14:paraId="4E8FED7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616" w:type="pct"/>
            <w:tcBorders>
              <w:top w:val="single" w:color="000000" w:sz="4" w:space="0"/>
              <w:left w:val="single" w:color="000000" w:sz="4" w:space="0"/>
              <w:bottom w:val="nil"/>
              <w:right w:val="single" w:color="000000" w:sz="4" w:space="0"/>
            </w:tcBorders>
            <w:shd w:val="clear" w:color="auto" w:fill="auto"/>
            <w:noWrap/>
            <w:vAlign w:val="center"/>
          </w:tcPr>
          <w:p w14:paraId="3D431DD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柜</w:t>
            </w:r>
          </w:p>
        </w:tc>
        <w:tc>
          <w:tcPr>
            <w:tcW w:w="2139" w:type="pct"/>
            <w:tcBorders>
              <w:top w:val="single" w:color="000000" w:sz="4" w:space="0"/>
              <w:left w:val="single" w:color="000000" w:sz="4" w:space="0"/>
              <w:bottom w:val="nil"/>
              <w:right w:val="nil"/>
            </w:tcBorders>
            <w:shd w:val="clear" w:color="auto" w:fill="auto"/>
            <w:vAlign w:val="center"/>
          </w:tcPr>
          <w:p w14:paraId="2AE709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环保18厘多层板，定制长200*宽50*高277CM，</w:t>
            </w:r>
          </w:p>
        </w:tc>
        <w:tc>
          <w:tcPr>
            <w:tcW w:w="263" w:type="pct"/>
            <w:tcBorders>
              <w:top w:val="single" w:color="000000" w:sz="4" w:space="0"/>
              <w:left w:val="single" w:color="000000" w:sz="4" w:space="0"/>
              <w:bottom w:val="nil"/>
              <w:right w:val="single" w:color="000000" w:sz="4" w:space="0"/>
            </w:tcBorders>
            <w:shd w:val="clear" w:color="auto" w:fill="auto"/>
            <w:noWrap/>
            <w:vAlign w:val="center"/>
          </w:tcPr>
          <w:p w14:paraId="72B92E7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个</w:t>
            </w:r>
          </w:p>
        </w:tc>
        <w:tc>
          <w:tcPr>
            <w:tcW w:w="265" w:type="pct"/>
            <w:tcBorders>
              <w:top w:val="single" w:color="000000" w:sz="4" w:space="0"/>
              <w:left w:val="single" w:color="000000" w:sz="4" w:space="0"/>
              <w:bottom w:val="nil"/>
              <w:right w:val="single" w:color="000000" w:sz="4" w:space="0"/>
            </w:tcBorders>
            <w:shd w:val="clear" w:color="auto" w:fill="auto"/>
            <w:noWrap/>
            <w:vAlign w:val="center"/>
          </w:tcPr>
          <w:p w14:paraId="6BD4DB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1399" w:type="pct"/>
            <w:tcBorders>
              <w:top w:val="single" w:color="000000" w:sz="4" w:space="0"/>
              <w:left w:val="single" w:color="000000" w:sz="4" w:space="0"/>
              <w:bottom w:val="nil"/>
              <w:right w:val="single" w:color="000000" w:sz="4" w:space="0"/>
            </w:tcBorders>
            <w:shd w:val="clear" w:color="auto" w:fill="auto"/>
            <w:noWrap/>
            <w:vAlign w:val="center"/>
          </w:tcPr>
          <w:p w14:paraId="48F37AF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155575</wp:posOffset>
                  </wp:positionH>
                  <wp:positionV relativeFrom="paragraph">
                    <wp:posOffset>76835</wp:posOffset>
                  </wp:positionV>
                  <wp:extent cx="1232535" cy="798830"/>
                  <wp:effectExtent l="0" t="0" r="5715" b="1270"/>
                  <wp:wrapNone/>
                  <wp:docPr id="1" name="图片_1"/>
                  <wp:cNvGraphicFramePr/>
                  <a:graphic xmlns:a="http://schemas.openxmlformats.org/drawingml/2006/main">
                    <a:graphicData uri="http://schemas.openxmlformats.org/drawingml/2006/picture">
                      <pic:pic xmlns:pic="http://schemas.openxmlformats.org/drawingml/2006/picture">
                        <pic:nvPicPr>
                          <pic:cNvPr id="1" name="图片_1"/>
                          <pic:cNvPicPr/>
                        </pic:nvPicPr>
                        <pic:blipFill>
                          <a:blip r:embed="rId4"/>
                          <a:stretch>
                            <a:fillRect/>
                          </a:stretch>
                        </pic:blipFill>
                        <pic:spPr>
                          <a:xfrm>
                            <a:off x="0" y="0"/>
                            <a:ext cx="1232535" cy="798830"/>
                          </a:xfrm>
                          <a:prstGeom prst="rect">
                            <a:avLst/>
                          </a:prstGeom>
                          <a:noFill/>
                          <a:ln>
                            <a:noFill/>
                          </a:ln>
                        </pic:spPr>
                      </pic:pic>
                    </a:graphicData>
                  </a:graphic>
                </wp:anchor>
              </w:drawing>
            </w:r>
          </w:p>
        </w:tc>
      </w:tr>
      <w:tr w14:paraId="26F57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7744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EED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柜</w:t>
            </w:r>
          </w:p>
        </w:tc>
        <w:tc>
          <w:tcPr>
            <w:tcW w:w="2139" w:type="pct"/>
            <w:tcBorders>
              <w:top w:val="single" w:color="000000" w:sz="4" w:space="0"/>
              <w:left w:val="single" w:color="000000" w:sz="4" w:space="0"/>
              <w:bottom w:val="single" w:color="000000" w:sz="4" w:space="0"/>
              <w:right w:val="nil"/>
            </w:tcBorders>
            <w:shd w:val="clear" w:color="auto" w:fill="auto"/>
            <w:vAlign w:val="center"/>
          </w:tcPr>
          <w:p w14:paraId="14FCA9F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环保18厘多层板，定制长260*宽50*高220CM，</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9670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个</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FB4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139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C3636">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140335</wp:posOffset>
                  </wp:positionH>
                  <wp:positionV relativeFrom="paragraph">
                    <wp:posOffset>-539115</wp:posOffset>
                  </wp:positionV>
                  <wp:extent cx="1130300" cy="744220"/>
                  <wp:effectExtent l="0" t="0" r="12700" b="17780"/>
                  <wp:wrapNone/>
                  <wp:docPr id="2" name="图片_3"/>
                  <wp:cNvGraphicFramePr/>
                  <a:graphic xmlns:a="http://schemas.openxmlformats.org/drawingml/2006/main">
                    <a:graphicData uri="http://schemas.openxmlformats.org/drawingml/2006/picture">
                      <pic:pic xmlns:pic="http://schemas.openxmlformats.org/drawingml/2006/picture">
                        <pic:nvPicPr>
                          <pic:cNvPr id="2" name="图片_3"/>
                          <pic:cNvPicPr/>
                        </pic:nvPicPr>
                        <pic:blipFill>
                          <a:blip r:embed="rId5"/>
                          <a:stretch>
                            <a:fillRect/>
                          </a:stretch>
                        </pic:blipFill>
                        <pic:spPr>
                          <a:xfrm>
                            <a:off x="0" y="0"/>
                            <a:ext cx="1130300" cy="744220"/>
                          </a:xfrm>
                          <a:prstGeom prst="rect">
                            <a:avLst/>
                          </a:prstGeom>
                          <a:noFill/>
                          <a:ln>
                            <a:noFill/>
                          </a:ln>
                        </pic:spPr>
                      </pic:pic>
                    </a:graphicData>
                  </a:graphic>
                </wp:anchor>
              </w:drawing>
            </w:r>
          </w:p>
        </w:tc>
      </w:tr>
    </w:tbl>
    <w:p w14:paraId="7EF6A5E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Style w:val="7"/>
          <w:rFonts w:hint="eastAsia" w:ascii="宋体" w:hAnsi="宋体" w:eastAsia="宋体" w:cs="宋体"/>
          <w:b w:val="0"/>
          <w:bCs/>
          <w:i w:val="0"/>
          <w:iCs w:val="0"/>
          <w:caps w:val="0"/>
          <w:color w:val="000000"/>
          <w:spacing w:val="0"/>
          <w:sz w:val="28"/>
          <w:szCs w:val="28"/>
          <w:shd w:val="clear" w:fill="FFFFFF"/>
          <w:lang w:eastAsia="zh-CN"/>
        </w:rPr>
      </w:pPr>
    </w:p>
    <w:p w14:paraId="351EC3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Style w:val="7"/>
          <w:rFonts w:hint="eastAsia" w:ascii="宋体" w:hAnsi="宋体" w:eastAsia="宋体" w:cs="宋体"/>
          <w:b w:val="0"/>
          <w:bCs/>
          <w:i w:val="0"/>
          <w:iCs w:val="0"/>
          <w:caps w:val="0"/>
          <w:color w:val="000000"/>
          <w:spacing w:val="0"/>
          <w:sz w:val="24"/>
          <w:szCs w:val="24"/>
          <w:shd w:val="clear" w:fill="FFFFFF"/>
          <w:lang w:eastAsia="zh-CN"/>
        </w:rPr>
      </w:pPr>
      <w:r>
        <w:rPr>
          <w:rStyle w:val="7"/>
          <w:rFonts w:hint="eastAsia" w:ascii="宋体" w:hAnsi="宋体" w:eastAsia="宋体" w:cs="宋体"/>
          <w:b w:val="0"/>
          <w:bCs/>
          <w:i w:val="0"/>
          <w:iCs w:val="0"/>
          <w:caps w:val="0"/>
          <w:color w:val="000000"/>
          <w:spacing w:val="0"/>
          <w:sz w:val="28"/>
          <w:szCs w:val="28"/>
          <w:shd w:val="clear" w:fill="FFFFFF"/>
          <w:lang w:eastAsia="zh-CN"/>
        </w:rPr>
        <w:t>中山市东升医院图纸和清单的数量为预计发生量，最终按</w:t>
      </w:r>
      <w:r>
        <w:rPr>
          <w:rFonts w:hint="eastAsia" w:ascii="宋体" w:hAnsi="宋体" w:eastAsia="宋体" w:cs="宋体"/>
          <w:i w:val="0"/>
          <w:iCs w:val="0"/>
          <w:caps w:val="0"/>
          <w:color w:val="000000"/>
          <w:spacing w:val="0"/>
          <w:sz w:val="27"/>
          <w:szCs w:val="27"/>
          <w:u w:val="none"/>
          <w:shd w:val="clear" w:fill="FFFFFF"/>
        </w:rPr>
        <w:t>广东省政府采购云平台电子卖场</w:t>
      </w:r>
      <w:r>
        <w:rPr>
          <w:rFonts w:hint="eastAsia" w:ascii="宋体" w:hAnsi="宋体" w:eastAsia="宋体" w:cs="宋体"/>
          <w:i w:val="0"/>
          <w:iCs w:val="0"/>
          <w:caps w:val="0"/>
          <w:color w:val="000000"/>
          <w:spacing w:val="0"/>
          <w:sz w:val="27"/>
          <w:szCs w:val="27"/>
          <w:u w:val="none"/>
          <w:shd w:val="clear" w:fill="FFFFFF"/>
          <w:lang w:eastAsia="zh-CN"/>
        </w:rPr>
        <w:t>的计划为准。</w:t>
      </w:r>
    </w:p>
    <w:p w14:paraId="1F5B6B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both"/>
        <w:textAlignment w:val="baseline"/>
        <w:rPr>
          <w:rFonts w:ascii="Helvetica" w:hAnsi="Helvetica" w:eastAsia="Helvetica" w:cs="Helvetica"/>
          <w:i w:val="0"/>
          <w:iCs w:val="0"/>
          <w:caps w:val="0"/>
          <w:color w:val="000000"/>
          <w:spacing w:val="0"/>
          <w:sz w:val="21"/>
          <w:szCs w:val="21"/>
        </w:rPr>
      </w:pPr>
      <w:r>
        <w:rPr>
          <w:rStyle w:val="7"/>
          <w:rFonts w:hint="eastAsia" w:ascii="宋体" w:hAnsi="宋体" w:eastAsia="宋体" w:cs="宋体"/>
          <w:i w:val="0"/>
          <w:iCs w:val="0"/>
          <w:caps w:val="0"/>
          <w:color w:val="000000"/>
          <w:spacing w:val="15"/>
          <w:sz w:val="28"/>
          <w:szCs w:val="28"/>
          <w:shd w:val="clear" w:fill="FFFFFF"/>
          <w:vertAlign w:val="baseline"/>
        </w:rPr>
        <w:t>二、供应商的资格要求</w:t>
      </w:r>
    </w:p>
    <w:p w14:paraId="011F7D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1.响应供应商必须是具有独立承担民事责任能力的在中华人民共和国境内注册的企业法人或其他组织或自然人；</w:t>
      </w:r>
    </w:p>
    <w:p w14:paraId="2FE52D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Helvetica" w:hAnsi="Helvetica" w:eastAsia="宋体" w:cs="Helvetica"/>
          <w:i w:val="0"/>
          <w:iCs w:val="0"/>
          <w:caps w:val="0"/>
          <w:color w:val="000000"/>
          <w:spacing w:val="0"/>
          <w:sz w:val="21"/>
          <w:szCs w:val="21"/>
          <w:u w:val="none"/>
          <w:lang w:eastAsia="zh-CN"/>
        </w:rPr>
      </w:pPr>
      <w:r>
        <w:rPr>
          <w:rFonts w:hint="eastAsia" w:ascii="宋体" w:hAnsi="宋体" w:eastAsia="宋体" w:cs="宋体"/>
          <w:i w:val="0"/>
          <w:iCs w:val="0"/>
          <w:caps w:val="0"/>
          <w:color w:val="000000"/>
          <w:spacing w:val="0"/>
          <w:sz w:val="28"/>
          <w:szCs w:val="28"/>
        </w:rPr>
        <w:t>★</w:t>
      </w:r>
      <w:r>
        <w:rPr>
          <w:rFonts w:hint="eastAsia" w:ascii="宋体" w:hAnsi="宋体" w:eastAsia="宋体" w:cs="宋体"/>
          <w:i w:val="0"/>
          <w:iCs w:val="0"/>
          <w:caps w:val="0"/>
          <w:color w:val="000000"/>
          <w:spacing w:val="0"/>
          <w:sz w:val="28"/>
          <w:szCs w:val="28"/>
          <w:shd w:val="clear" w:fill="FFFFFF"/>
        </w:rPr>
        <w:t>2.响应供应商须具有效的且具备相关经营范围的营业执照</w:t>
      </w:r>
      <w:r>
        <w:rPr>
          <w:rFonts w:hint="eastAsia" w:ascii="宋体" w:hAnsi="宋体" w:eastAsia="宋体" w:cs="宋体"/>
          <w:i w:val="0"/>
          <w:iCs w:val="0"/>
          <w:caps w:val="0"/>
          <w:color w:val="000000"/>
          <w:spacing w:val="0"/>
          <w:sz w:val="28"/>
          <w:szCs w:val="28"/>
          <w:shd w:val="clear" w:fill="FFFFFF"/>
          <w:lang w:eastAsia="zh-CN"/>
        </w:rPr>
        <w:t>，并</w:t>
      </w:r>
      <w:r>
        <w:rPr>
          <w:rFonts w:hint="eastAsia" w:ascii="宋体" w:hAnsi="宋体" w:eastAsia="宋体" w:cs="宋体"/>
          <w:i w:val="0"/>
          <w:iCs w:val="0"/>
          <w:caps w:val="0"/>
          <w:color w:val="000000"/>
          <w:spacing w:val="0"/>
          <w:sz w:val="27"/>
          <w:szCs w:val="27"/>
          <w:u w:val="none"/>
          <w:shd w:val="clear" w:fill="FFFFFF"/>
        </w:rPr>
        <w:t>已入驻广东省政府采购云平台电子卖场的定点供应商</w:t>
      </w:r>
    </w:p>
    <w:p w14:paraId="4672C1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3.响应供应商应具有项目的承接能力、合同的履约能力、售后供应能力和良好的信誉；</w:t>
      </w:r>
    </w:p>
    <w:p w14:paraId="5BCDE95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shd w:val="clear" w:fill="FFFFFF"/>
        </w:rPr>
        <w:t>4.响应供应商在参与公开招标活动中未有违法违纪行为并受过处罚，响应供应商无围标、串标行为。</w:t>
      </w:r>
    </w:p>
    <w:p w14:paraId="181C09BE">
      <w:pPr>
        <w:keepNext w:val="0"/>
        <w:keepLines w:val="0"/>
        <w:widowControl/>
        <w:suppressLineNumbers w:val="0"/>
        <w:jc w:val="left"/>
        <w:rPr>
          <w:rFonts w:hint="eastAsia" w:ascii="宋体" w:hAnsi="宋体" w:eastAsia="宋体" w:cs="宋体"/>
          <w:b/>
          <w:bCs/>
          <w:color w:val="000000"/>
          <w:kern w:val="0"/>
          <w:sz w:val="28"/>
          <w:szCs w:val="28"/>
          <w:lang w:val="en-US" w:eastAsia="zh-CN" w:bidi="ar"/>
        </w:rPr>
      </w:pPr>
      <w:r>
        <w:rPr>
          <w:rStyle w:val="7"/>
          <w:rFonts w:hint="eastAsia" w:ascii="宋体" w:hAnsi="宋体" w:eastAsia="宋体" w:cs="宋体"/>
          <w:i w:val="0"/>
          <w:iCs w:val="0"/>
          <w:caps w:val="0"/>
          <w:color w:val="000000"/>
          <w:spacing w:val="0"/>
          <w:sz w:val="28"/>
          <w:szCs w:val="28"/>
          <w:lang w:eastAsia="zh-CN"/>
        </w:rPr>
        <w:t>三、</w:t>
      </w:r>
      <w:r>
        <w:rPr>
          <w:rFonts w:hint="eastAsia" w:ascii="宋体" w:hAnsi="宋体" w:eastAsia="宋体" w:cs="宋体"/>
          <w:b/>
          <w:bCs/>
          <w:color w:val="000000"/>
          <w:kern w:val="0"/>
          <w:sz w:val="28"/>
          <w:szCs w:val="28"/>
          <w:lang w:val="en-US" w:eastAsia="zh-CN" w:bidi="ar"/>
        </w:rPr>
        <w:t>质保要求</w:t>
      </w:r>
    </w:p>
    <w:p w14:paraId="6E6875F1">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1.货物的保修期为 1年，保修期自货物最终验收合格之日起算。保修期满后产品出现质量问题时，成交供应商只收回工料费。非保修范围：产品因用户场地环境影响或人为损坏或使用不当及管理不当等因素造成的故障或者损坏。 </w:t>
      </w:r>
    </w:p>
    <w:p w14:paraId="2BEE91AA">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2.货物运输和安装：成交供应商负责运输、卸货、安装、调试，并配合采购人完成该项目整体验收。 </w:t>
      </w:r>
    </w:p>
    <w:p w14:paraId="79B9272B">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3.质保期内，成交供应商提供 24 小时响应服务，到达现场时间为2 小时内，解决问题的时限为到达现场后 4 小时内。若在到场 4 小时后仍未能有效解决，成交供应商向采购人说明原因并经采购人同意后提供等同或优于原参数的产品供采购人使用。如因此造成采购人损失的，由成交供应商承担赔偿责任。</w:t>
      </w:r>
    </w:p>
    <w:p w14:paraId="5DC062AE">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四、安装要求 </w:t>
      </w:r>
    </w:p>
    <w:p w14:paraId="23B02FB0">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1.严格按照采购人用户需求要求进行安装，主材及关系到安装效果的材料在需经采购人确认。 </w:t>
      </w:r>
    </w:p>
    <w:p w14:paraId="153F6696">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2.成交供应商安装方案应依据采购人的平面图及效果图设计基础上制定，如有修改需经采购人确认后方可进行制定安装。 </w:t>
      </w:r>
    </w:p>
    <w:p w14:paraId="6FA59A64">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3.货物质量、安装标准须满足国家现行相关建筑规范及标准要求，安装过程中须按照国家现行相关安全管理规范及标准做好现场安全文明措施。 </w:t>
      </w:r>
    </w:p>
    <w:p w14:paraId="36913A94">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4.成交供应商应按安全安装的要求，遵守一切采购人的规章制度，采取严格科学的安全措施，确保人员及第三者的安全，承担由于自身安全措施不力造成事故责任和发生的费用。 </w:t>
      </w:r>
    </w:p>
    <w:p w14:paraId="4422A6F9">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5.成交供应商安装时需对各安装现场内的装修、设备设施有良好保护措施，如安装中因施工不当造成场地及现场的设备设施损坏，由采购人在合同货款中扣除相应的维修费用。 </w:t>
      </w:r>
    </w:p>
    <w:p w14:paraId="65411EF1">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6.成交供应商应负责所有安装完成后的剩余物料及垃圾全部清理运走，不能影响采购人的正常营业，垃圾不得堆放在医院内，未按要求清理的，由采购人在合同货款中扣除相应的垃圾清运及清洁费用。 </w:t>
      </w:r>
    </w:p>
    <w:p w14:paraId="5CEDC43C">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五、包装、装卸、运输及保险 </w:t>
      </w:r>
    </w:p>
    <w:p w14:paraId="323AF05B">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1.成交供应商所供货物包装质量必须符合国家相关标准，货物的包装均应有良好的防锈、防腐的措施，货物要求有包装保护运至现场。凡由于包装不良造成的损失和由此产生的费用均由成交供应商承担。 </w:t>
      </w:r>
    </w:p>
    <w:p w14:paraId="5C64B320">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2.成交供应商负责根据用户指定的地点，将货物送到现场过程中的全部运输，包括装卸车、货物现场的搬运，由此产生的费用均由成交供应商承担。 </w:t>
      </w:r>
    </w:p>
    <w:p w14:paraId="735D4702">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3.如货物运输过程中因事故造成货物短缺、损坏，成交供应商应及时安排换货，以保证合同货物及时交付，换货的相关费用由成交供应商承担。 </w:t>
      </w:r>
    </w:p>
    <w:p w14:paraId="625550D8">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4.货物的质量保险由成交供应商负责，成交供应商负责其派出的现场服务人员人身意外保险。</w:t>
      </w:r>
    </w:p>
    <w:p w14:paraId="0A627AFB">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六、验收方式 </w:t>
      </w:r>
    </w:p>
    <w:p w14:paraId="3FF52A38">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1.成交供应商将货物送货至采购人指定地点后，由采购人按照采购合同、相关采购文件要求进行核对，根据国家相关法律法规、质量标准，对货物的规格参数和质量进行验收。 </w:t>
      </w:r>
    </w:p>
    <w:p w14:paraId="1502D012">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2.货物在验收过程中发现所交付的货物有短缺、次品、损坏或其他不符合采购文件、合同规定之情形者，采购人有权拒付该批货物的费用，并由成交供应商承担由此发生的一切费用和损失。 </w:t>
      </w:r>
    </w:p>
    <w:p w14:paraId="2F400473">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3.所有货物在使用过程中发现以次充好或使用假冒伪劣产品的，成交供应商须无条件更换货物，否则采购人有权拒收。 </w:t>
      </w:r>
    </w:p>
    <w:p w14:paraId="33DDEFEC">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4.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w:t>
      </w:r>
    </w:p>
    <w:p w14:paraId="62E66406">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5.若成交供应商提供的产品发生知识产权纠纷的，由成交供应商执行处置与原知识产权所有者协商解决，采购人不承担与之相关的任何经济和法律责任。</w:t>
      </w:r>
    </w:p>
    <w:p w14:paraId="27A60DDC">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七、违约责任 </w:t>
      </w:r>
    </w:p>
    <w:p w14:paraId="373DCB14">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1.成交供应商逾期交货的，则每逾期一天按合同总价的 5‰支付违约金给采购人。如超过合同规定交货期限15天成交供应商仍不能交货的，则视为成交供应商不能交货，成交供应商不能交货的，则按合同总价30%支付违约金给采购人。如上述违约金的金额仍不足以补偿采购人因成交供应商违约造成的损失，采购人有权进一步向成交供应商提出索赔。如超过合同规定交货期限30天成交供应商仍不能交货的，采购人有权单方终止合同。 </w:t>
      </w:r>
    </w:p>
    <w:p w14:paraId="70D477D5">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2.成交供应商交付的货物不符合合同规定的，采购人有权拒收，成交供应商向采购人支付合同金额的 5％的违约金。 </w:t>
      </w:r>
    </w:p>
    <w:p w14:paraId="4A8AB600">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3.所有货物在使用过程中发现以次充好或使用假冒伪劣产品的，成交供应商除无条件更换货物外，采购人将按成交货物价格×更换货物数量之总值的 5 倍金额对成交供应商予以扣罚。情况严重的，采购人有权单方终止合同。 </w:t>
      </w:r>
    </w:p>
    <w:p w14:paraId="7D5B63E6">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4.成交供应商保证因执行本项目向采购人提供的所有货物、材料、工序工艺等产品不侵犯第三方知识产权、商业秘密等权利。若发生侵犯第三方权利的情况,成交供应商应负责与第三方交涉,并承担由此而产生的一切法律责任,采购人不承担与之相关的任何经济和法律责任。如采购人因此而遭受损失，成交供应商应承担全部的赔偿责任。 </w:t>
      </w:r>
    </w:p>
    <w:p w14:paraId="1F918310">
      <w:pPr>
        <w:keepNext w:val="0"/>
        <w:keepLines w:val="0"/>
        <w:widowControl/>
        <w:suppressLineNumbers w:val="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color w:val="000000"/>
          <w:kern w:val="0"/>
          <w:sz w:val="28"/>
          <w:szCs w:val="28"/>
          <w:lang w:val="en-US" w:eastAsia="zh-CN" w:bidi="ar"/>
        </w:rPr>
        <w:t>5.成交供应商不得以任何方式转包或分包本项目，否则视为成交供应商毁约。</w:t>
      </w:r>
    </w:p>
    <w:p w14:paraId="458BFA4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ascii="Helvetica" w:hAnsi="Helvetica" w:eastAsia="Helvetica" w:cs="Helvetica"/>
          <w:i w:val="0"/>
          <w:iCs w:val="0"/>
          <w:caps w:val="0"/>
          <w:color w:val="000000"/>
          <w:spacing w:val="0"/>
          <w:sz w:val="21"/>
          <w:szCs w:val="21"/>
        </w:rPr>
      </w:pPr>
      <w:r>
        <w:rPr>
          <w:rStyle w:val="7"/>
          <w:rFonts w:hint="eastAsia" w:ascii="宋体" w:hAnsi="宋体" w:eastAsia="宋体" w:cs="宋体"/>
          <w:i w:val="0"/>
          <w:iCs w:val="0"/>
          <w:caps w:val="0"/>
          <w:color w:val="000000"/>
          <w:spacing w:val="0"/>
          <w:sz w:val="28"/>
          <w:szCs w:val="28"/>
          <w:lang w:eastAsia="zh-CN"/>
        </w:rPr>
        <w:t>八</w:t>
      </w:r>
      <w:r>
        <w:rPr>
          <w:rStyle w:val="7"/>
          <w:rFonts w:hint="eastAsia" w:ascii="宋体" w:hAnsi="宋体" w:eastAsia="宋体" w:cs="宋体"/>
          <w:i w:val="0"/>
          <w:iCs w:val="0"/>
          <w:caps w:val="0"/>
          <w:color w:val="000000"/>
          <w:spacing w:val="0"/>
          <w:sz w:val="28"/>
          <w:szCs w:val="28"/>
        </w:rPr>
        <w:t>、</w:t>
      </w:r>
      <w:r>
        <w:rPr>
          <w:rStyle w:val="7"/>
          <w:rFonts w:hint="eastAsia" w:ascii="宋体" w:hAnsi="宋体" w:eastAsia="宋体" w:cs="宋体"/>
          <w:i w:val="0"/>
          <w:iCs w:val="0"/>
          <w:caps w:val="0"/>
          <w:color w:val="000000"/>
          <w:spacing w:val="0"/>
          <w:sz w:val="28"/>
          <w:szCs w:val="28"/>
        </w:rPr>
        <w:t>参与项目所需资料及提交报价资料方式</w:t>
      </w:r>
    </w:p>
    <w:p w14:paraId="7C3AD5C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1.投标函</w:t>
      </w:r>
    </w:p>
    <w:p w14:paraId="0BB9D4C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2.法定代表人证明和营业执照复印件及相关证件</w:t>
      </w:r>
    </w:p>
    <w:p w14:paraId="6D1BCD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3.法定代表人授权委托书</w:t>
      </w:r>
    </w:p>
    <w:p w14:paraId="4220A5E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4.投标资格声明函</w:t>
      </w:r>
    </w:p>
    <w:p w14:paraId="0B14F6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5.投标承诺书</w:t>
      </w:r>
    </w:p>
    <w:p w14:paraId="75F243C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6.招标报价单</w:t>
      </w:r>
    </w:p>
    <w:p w14:paraId="18F4897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default" w:ascii="Helvetica" w:hAnsi="Helvetica" w:eastAsia="Helvetica" w:cs="Helvetica"/>
          <w:i w:val="0"/>
          <w:iCs w:val="0"/>
          <w:caps w:val="0"/>
          <w:color w:val="000000"/>
          <w:spacing w:val="0"/>
          <w:sz w:val="21"/>
          <w:szCs w:val="21"/>
        </w:rPr>
      </w:pPr>
      <w:r>
        <w:rPr>
          <w:rFonts w:hint="eastAsia" w:ascii="宋体" w:hAnsi="宋体" w:eastAsia="宋体" w:cs="宋体"/>
          <w:i w:val="0"/>
          <w:iCs w:val="0"/>
          <w:caps w:val="0"/>
          <w:color w:val="000000"/>
          <w:spacing w:val="0"/>
          <w:sz w:val="28"/>
          <w:szCs w:val="28"/>
          <w:bdr w:val="none" w:color="auto" w:sz="0" w:space="0"/>
          <w:shd w:val="clear" w:fill="FFFFFF"/>
        </w:rPr>
        <w:t>7.供应商情况介绍表</w:t>
      </w:r>
    </w:p>
    <w:p w14:paraId="4D2522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bdr w:val="none" w:color="auto" w:sz="0" w:space="0"/>
          <w:shd w:val="clear" w:fill="FFFFFF"/>
        </w:rPr>
        <w:t>8.项目实施方案（包含售后服务方案）</w:t>
      </w:r>
    </w:p>
    <w:p w14:paraId="7BC4A14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560" w:firstLineChars="20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请符合资格要求供应商2025年</w:t>
      </w:r>
      <w:r>
        <w:rPr>
          <w:rFonts w:hint="eastAsia" w:ascii="宋体" w:hAnsi="宋体" w:eastAsia="宋体" w:cs="宋体"/>
          <w:i w:val="0"/>
          <w:iCs w:val="0"/>
          <w:caps w:val="0"/>
          <w:color w:val="000000"/>
          <w:spacing w:val="0"/>
          <w:sz w:val="28"/>
          <w:szCs w:val="28"/>
          <w:shd w:val="clear" w:fill="FFFFFF"/>
          <w:lang w:val="en-US" w:eastAsia="zh-CN"/>
        </w:rPr>
        <w:t>12</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17</w:t>
      </w:r>
      <w:r>
        <w:rPr>
          <w:rFonts w:hint="eastAsia" w:ascii="宋体" w:hAnsi="宋体" w:eastAsia="宋体" w:cs="宋体"/>
          <w:i w:val="0"/>
          <w:iCs w:val="0"/>
          <w:caps w:val="0"/>
          <w:color w:val="000000"/>
          <w:spacing w:val="0"/>
          <w:sz w:val="28"/>
          <w:szCs w:val="28"/>
          <w:shd w:val="clear" w:fill="FFFFFF"/>
        </w:rPr>
        <w:t>日1</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时前</w:t>
      </w:r>
      <w:r>
        <w:rPr>
          <w:rFonts w:hint="eastAsia" w:ascii="宋体" w:hAnsi="宋体" w:eastAsia="宋体" w:cs="宋体"/>
          <w:i w:val="0"/>
          <w:iCs w:val="0"/>
          <w:caps w:val="0"/>
          <w:color w:val="000000"/>
          <w:spacing w:val="0"/>
          <w:sz w:val="28"/>
          <w:szCs w:val="28"/>
          <w:shd w:val="clear" w:fill="FFFFFF"/>
        </w:rPr>
        <w:t>将以上资料（询价文件格式附模版）可通过现场提交或邮寄方式提交，递交地址：中山市小榄镇兆隆路一号东升医院行政楼三楼总务科。</w:t>
      </w:r>
    </w:p>
    <w:p w14:paraId="0DC939A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Helvetica" w:hAnsi="Helvetica" w:eastAsia="宋体" w:cs="Helvetica"/>
          <w:i w:val="0"/>
          <w:iCs w:val="0"/>
          <w:caps w:val="0"/>
          <w:color w:val="000000"/>
          <w:spacing w:val="0"/>
          <w:sz w:val="21"/>
          <w:szCs w:val="21"/>
          <w:lang w:val="en-US" w:eastAsia="zh-CN"/>
        </w:rPr>
      </w:pPr>
      <w:r>
        <w:rPr>
          <w:rFonts w:hint="eastAsia" w:ascii="宋体" w:hAnsi="宋体" w:eastAsia="宋体" w:cs="宋体"/>
          <w:i w:val="0"/>
          <w:iCs w:val="0"/>
          <w:caps w:val="0"/>
          <w:color w:val="000000"/>
          <w:spacing w:val="0"/>
          <w:sz w:val="28"/>
          <w:szCs w:val="28"/>
          <w:shd w:val="clear" w:fill="FFFFFF"/>
        </w:rPr>
        <w:t>联系人：梁工</w:t>
      </w:r>
    </w:p>
    <w:p w14:paraId="21F8388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rPr>
        <w:t>联系电话：0760-88889925</w:t>
      </w:r>
    </w:p>
    <w:p w14:paraId="7CC1BB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lang w:val="en-US" w:eastAsia="zh-CN"/>
        </w:rPr>
        <w:t>地址：</w:t>
      </w:r>
      <w:r>
        <w:rPr>
          <w:rFonts w:hint="eastAsia" w:ascii="宋体" w:hAnsi="宋体" w:eastAsia="宋体" w:cs="宋体"/>
          <w:bCs/>
          <w:kern w:val="2"/>
          <w:sz w:val="28"/>
          <w:szCs w:val="28"/>
          <w:lang w:val="en-US" w:eastAsia="zh-CN"/>
        </w:rPr>
        <w:t>中山市小榄镇兆隆路一号之2东升医院行政楼三楼总务科</w:t>
      </w:r>
    </w:p>
    <w:p w14:paraId="5CCABE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邮箱：</w:t>
      </w:r>
      <w:r>
        <w:rPr>
          <w:rFonts w:hint="eastAsia" w:ascii="宋体" w:hAnsi="宋体" w:eastAsia="宋体" w:cs="宋体"/>
          <w:i w:val="0"/>
          <w:iCs w:val="0"/>
          <w:caps w:val="0"/>
          <w:color w:val="000000"/>
          <w:spacing w:val="0"/>
          <w:sz w:val="28"/>
          <w:szCs w:val="28"/>
          <w:shd w:val="clear" w:fill="FFFFFF"/>
        </w:rPr>
        <w:fldChar w:fldCharType="begin"/>
      </w:r>
      <w:r>
        <w:rPr>
          <w:rFonts w:hint="eastAsia" w:ascii="宋体" w:hAnsi="宋体" w:eastAsia="宋体" w:cs="宋体"/>
          <w:i w:val="0"/>
          <w:iCs w:val="0"/>
          <w:caps w:val="0"/>
          <w:color w:val="000000"/>
          <w:spacing w:val="0"/>
          <w:sz w:val="28"/>
          <w:szCs w:val="28"/>
          <w:shd w:val="clear" w:fill="FFFFFF"/>
        </w:rPr>
        <w:instrText xml:space="preserve"> HYPERLINK "mailto:zssdsyyzbk@126.com" </w:instrText>
      </w:r>
      <w:r>
        <w:rPr>
          <w:rFonts w:hint="eastAsia" w:ascii="宋体" w:hAnsi="宋体" w:eastAsia="宋体" w:cs="宋体"/>
          <w:i w:val="0"/>
          <w:iCs w:val="0"/>
          <w:caps w:val="0"/>
          <w:color w:val="000000"/>
          <w:spacing w:val="0"/>
          <w:sz w:val="28"/>
          <w:szCs w:val="28"/>
          <w:shd w:val="clear" w:fill="FFFFFF"/>
        </w:rPr>
        <w:fldChar w:fldCharType="separate"/>
      </w:r>
      <w:r>
        <w:rPr>
          <w:rStyle w:val="8"/>
          <w:rFonts w:hint="eastAsia" w:ascii="宋体" w:hAnsi="宋体" w:eastAsia="宋体" w:cs="宋体"/>
          <w:i w:val="0"/>
          <w:iCs w:val="0"/>
          <w:caps w:val="0"/>
          <w:spacing w:val="0"/>
          <w:sz w:val="28"/>
          <w:szCs w:val="28"/>
          <w:shd w:val="clear" w:fill="FFFFFF"/>
        </w:rPr>
        <w:t>zssdsyyzbk@126.com</w:t>
      </w:r>
      <w:r>
        <w:rPr>
          <w:rFonts w:hint="eastAsia" w:ascii="宋体" w:hAnsi="宋体" w:eastAsia="宋体" w:cs="宋体"/>
          <w:i w:val="0"/>
          <w:iCs w:val="0"/>
          <w:caps w:val="0"/>
          <w:color w:val="000000"/>
          <w:spacing w:val="0"/>
          <w:sz w:val="28"/>
          <w:szCs w:val="28"/>
          <w:shd w:val="clear" w:fill="FFFFFF"/>
        </w:rPr>
        <w:fldChar w:fldCharType="end"/>
      </w:r>
    </w:p>
    <w:bookmarkEnd w:id="21"/>
    <w:p w14:paraId="18A0DF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宋体" w:hAnsi="宋体" w:eastAsia="宋体" w:cs="宋体"/>
          <w:i w:val="0"/>
          <w:iCs w:val="0"/>
          <w:caps w:val="0"/>
          <w:color w:val="000000"/>
          <w:spacing w:val="0"/>
          <w:sz w:val="28"/>
          <w:szCs w:val="28"/>
          <w:shd w:val="clear" w:fill="FFFFFF"/>
        </w:rPr>
      </w:pPr>
    </w:p>
    <w:p w14:paraId="5F94AC8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宋体" w:hAnsi="宋体" w:eastAsia="宋体" w:cs="宋体"/>
          <w:i w:val="0"/>
          <w:iCs w:val="0"/>
          <w:caps w:val="0"/>
          <w:color w:val="000000"/>
          <w:spacing w:val="0"/>
          <w:sz w:val="28"/>
          <w:szCs w:val="28"/>
          <w:shd w:val="clear" w:fill="FFFFFF"/>
        </w:rPr>
      </w:pPr>
    </w:p>
    <w:p w14:paraId="21281EFE">
      <w:pPr>
        <w:keepNext/>
        <w:adjustRightInd w:val="0"/>
        <w:snapToGrid w:val="0"/>
        <w:spacing w:line="360" w:lineRule="auto"/>
        <w:jc w:val="center"/>
        <w:outlineLvl w:val="1"/>
        <w:rPr>
          <w:rFonts w:hint="eastAsia" w:ascii="宋体" w:hAnsi="宋体" w:eastAsia="宋体" w:cs="Arial"/>
          <w:b/>
          <w:kern w:val="0"/>
          <w:szCs w:val="21"/>
        </w:rPr>
      </w:pPr>
      <w:r>
        <w:rPr>
          <w:rFonts w:hint="eastAsia" w:ascii="宋体" w:hAnsi="宋体" w:eastAsia="宋体" w:cs="Arial"/>
          <w:b/>
          <w:kern w:val="0"/>
          <w:sz w:val="36"/>
          <w:szCs w:val="36"/>
          <w:lang w:val="en-US" w:eastAsia="zh-CN"/>
        </w:rPr>
        <w:t>投标文件格式</w:t>
      </w:r>
    </w:p>
    <w:p w14:paraId="477587B7">
      <w:pPr>
        <w:keepNext/>
        <w:adjustRightInd w:val="0"/>
        <w:snapToGrid w:val="0"/>
        <w:jc w:val="center"/>
        <w:outlineLvl w:val="1"/>
        <w:rPr>
          <w:rFonts w:hint="eastAsia" w:ascii="宋体" w:hAnsi="宋体" w:eastAsia="宋体" w:cs="Arial"/>
          <w:b/>
          <w:kern w:val="0"/>
          <w:szCs w:val="21"/>
        </w:rPr>
      </w:pP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0475B148">
      <w:pPr>
        <w:widowControl/>
        <w:spacing w:beforeAutospacing="1" w:afterAutospacing="1"/>
        <w:jc w:val="left"/>
        <w:rPr>
          <w:rFonts w:ascii="宋体" w:hAnsi="宋体" w:eastAsia="宋体" w:cs="宋体"/>
          <w:kern w:val="0"/>
          <w:szCs w:val="21"/>
        </w:rPr>
        <w:sectPr>
          <w:pgSz w:w="11906" w:h="16838"/>
          <w:pgMar w:top="1094" w:right="1140" w:bottom="1077" w:left="1162"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3" name="图片 3"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ksohtml1640\wps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49E8CD78">
      <w:pPr>
        <w:widowControl/>
        <w:spacing w:line="480" w:lineRule="auto"/>
        <w:jc w:val="left"/>
        <w:rPr>
          <w:rFonts w:hint="eastAsia" w:ascii="宋体" w:hAnsi="宋体" w:eastAsia="宋体" w:cs="Times New Roman"/>
          <w:kern w:val="0"/>
          <w:szCs w:val="21"/>
          <w:u w:val="single"/>
        </w:rPr>
      </w:pPr>
      <w:bookmarkStart w:id="3" w:name="_Toc292801998"/>
      <w:bookmarkEnd w:id="3"/>
      <w:bookmarkStart w:id="4" w:name="_Toc269222887"/>
      <w:bookmarkEnd w:id="4"/>
      <w:r>
        <w:rPr>
          <w:rFonts w:hint="eastAsia" w:ascii="宋体" w:hAnsi="宋体" w:eastAsia="宋体" w:cs="Times New Roman"/>
          <w:kern w:val="0"/>
          <w:szCs w:val="21"/>
        </w:rPr>
        <w:t xml:space="preserve">                                               </w:t>
      </w:r>
      <w:bookmarkStart w:id="5" w:name="_Toc32644"/>
      <w:bookmarkEnd w:id="5"/>
    </w:p>
    <w:p w14:paraId="147999EA">
      <w:pPr>
        <w:widowControl/>
        <w:jc w:val="left"/>
        <w:rPr>
          <w:rFonts w:hint="eastAsia" w:ascii="宋体" w:hAnsi="宋体" w:eastAsia="宋体" w:cs="Times New Roman"/>
          <w:kern w:val="0"/>
          <w:szCs w:val="21"/>
        </w:rPr>
      </w:pPr>
      <w:bookmarkStart w:id="6" w:name="_Toc292801999"/>
      <w:bookmarkEnd w:id="6"/>
      <w:bookmarkStart w:id="7" w:name="_Toc269222888"/>
      <w:bookmarkEnd w:id="7"/>
      <w:bookmarkStart w:id="8" w:name="_Toc373575517"/>
      <w:r>
        <w:rPr>
          <w:rFonts w:hint="eastAsia" w:ascii="宋体" w:hAnsi="宋体" w:eastAsia="宋体" w:cs="Times New Roman"/>
          <w:kern w:val="0"/>
          <w:szCs w:val="21"/>
        </w:rPr>
        <w:t xml:space="preserve"> </w:t>
      </w:r>
      <w:bookmarkEnd w:id="8"/>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rPr>
        <w:t>3</w:t>
      </w:r>
      <w:r>
        <w:rPr>
          <w:rFonts w:hint="eastAsia" w:ascii="宋体" w:hAnsi="宋体" w:eastAsia="宋体" w:cs="Arial"/>
          <w:b/>
          <w:kern w:val="0"/>
          <w:szCs w:val="21"/>
          <w:lang w:eastAsia="zh-CN"/>
        </w:rPr>
        <w:t>、</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4" name="图片 4"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ksohtml1640\wps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6479484B">
      <w:pPr>
        <w:keepNext/>
        <w:adjustRightInd w:val="0"/>
        <w:snapToGrid w:val="0"/>
        <w:jc w:val="center"/>
        <w:outlineLvl w:val="1"/>
        <w:rPr>
          <w:rFonts w:ascii="Times New Roman" w:hAnsi="Times New Roman" w:eastAsia="宋体" w:cs="Times New Roman"/>
          <w:kern w:val="0"/>
          <w:szCs w:val="21"/>
        </w:rPr>
      </w:pP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lang w:eastAsia="zh-CN"/>
        </w:rPr>
        <w:t>、</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4DDC019F">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附资格文件如下：</w:t>
      </w:r>
    </w:p>
    <w:p w14:paraId="5BA275E9">
      <w:pPr>
        <w:widowControl/>
        <w:autoSpaceDE w:val="0"/>
        <w:autoSpaceDN w:val="0"/>
        <w:adjustRightInd w:val="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按招标文件第一部分投标邀请函第六大点供应商资格条件提供相关证明材料</w:t>
      </w:r>
    </w:p>
    <w:p w14:paraId="2A957F69">
      <w:pPr>
        <w:widowControl/>
        <w:autoSpaceDE w:val="0"/>
        <w:autoSpaceDN w:val="0"/>
        <w:adjustRightInd w:val="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供应商认为其他有必要的说明</w:t>
      </w: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553A15B1">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9" w:name="_Toc269222889"/>
      <w:bookmarkEnd w:id="9"/>
      <w:bookmarkStart w:id="10" w:name="_Toc373575518"/>
      <w:bookmarkEnd w:id="10"/>
      <w:bookmarkStart w:id="11"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1"/>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4E8D6C27">
      <w:pPr>
        <w:widowControl/>
        <w:spacing w:before="60"/>
        <w:ind w:right="720"/>
        <w:jc w:val="left"/>
        <w:rPr>
          <w:rFonts w:hint="eastAsia" w:ascii="宋体" w:hAnsi="宋体" w:eastAsia="宋体" w:cs="宋体"/>
          <w:kern w:val="0"/>
          <w:szCs w:val="21"/>
          <w:lang w:eastAsia="zh-CN"/>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日期：    年     月     </w:t>
      </w:r>
      <w:r>
        <w:rPr>
          <w:rFonts w:hint="eastAsia" w:ascii="宋体" w:hAnsi="宋体" w:eastAsia="宋体" w:cs="Times New Roman"/>
          <w:kern w:val="0"/>
          <w:szCs w:val="21"/>
          <w:lang w:eastAsia="zh-CN"/>
        </w:rPr>
        <w:t>日</w:t>
      </w:r>
    </w:p>
    <w:p w14:paraId="47CD9D1E">
      <w:pPr>
        <w:widowControl/>
        <w:spacing w:before="60" w:line="360" w:lineRule="auto"/>
        <w:ind w:right="720"/>
        <w:jc w:val="center"/>
        <w:rPr>
          <w:rFonts w:hint="eastAsia" w:ascii="宋体" w:hAnsi="宋体" w:eastAsia="宋体" w:cs="Times New Roman"/>
          <w:b/>
          <w:kern w:val="0"/>
          <w:szCs w:val="21"/>
          <w:lang w:eastAsia="zh-CN"/>
        </w:rPr>
      </w:pPr>
      <w:bookmarkStart w:id="12" w:name="_Toc23994_WPSOffice_Level1"/>
      <w:bookmarkEnd w:id="12"/>
      <w:bookmarkStart w:id="13" w:name="_Toc269222890"/>
      <w:bookmarkEnd w:id="13"/>
      <w:bookmarkStart w:id="14" w:name="_Toc373575519"/>
      <w:bookmarkEnd w:id="14"/>
      <w:bookmarkStart w:id="15" w:name="_Toc292802001"/>
      <w:bookmarkEnd w:id="15"/>
      <w:r>
        <w:rPr>
          <w:rFonts w:hint="eastAsia" w:ascii="宋体" w:hAnsi="宋体" w:eastAsia="宋体" w:cs="Times New Roman"/>
          <w:b/>
          <w:kern w:val="0"/>
          <w:szCs w:val="21"/>
          <w:lang w:val="en-US" w:eastAsia="zh-CN"/>
        </w:rPr>
        <w:t>6、</w:t>
      </w:r>
      <w:r>
        <w:rPr>
          <w:rFonts w:hint="eastAsia" w:ascii="宋体" w:hAnsi="宋体" w:eastAsia="宋体" w:cs="Times New Roman"/>
          <w:b/>
          <w:kern w:val="0"/>
          <w:szCs w:val="21"/>
          <w:lang w:eastAsia="zh-CN"/>
        </w:rPr>
        <w:t>招标报价单</w:t>
      </w:r>
    </w:p>
    <w:p w14:paraId="49830D34">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2518E9A1">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4"/>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78E9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720502CC">
            <w:pPr>
              <w:widowControl/>
              <w:adjustRightInd w:val="0"/>
              <w:snapToGrid w:val="0"/>
              <w:jc w:val="center"/>
              <w:rPr>
                <w:rFonts w:ascii="宋体" w:hAnsi="宋体" w:eastAsia="宋体" w:cs="Times New Roman"/>
                <w:bCs/>
                <w:kern w:val="0"/>
                <w:szCs w:val="21"/>
              </w:rPr>
            </w:pPr>
            <w:r>
              <w:rPr>
                <w:rFonts w:hint="eastAsia" w:ascii="宋体" w:hAnsi="宋体" w:eastAsia="宋体" w:cs="Times New Roman"/>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DDC28AC">
            <w:pPr>
              <w:widowControl/>
              <w:adjustRightInd w:val="0"/>
              <w:snapToGrid w:val="0"/>
              <w:jc w:val="center"/>
              <w:rPr>
                <w:rFonts w:ascii="宋体" w:hAnsi="宋体" w:eastAsia="宋体" w:cs="Times New Roman"/>
                <w:bCs/>
                <w:kern w:val="0"/>
                <w:szCs w:val="21"/>
                <w:u w:val="single"/>
              </w:rPr>
            </w:pPr>
            <w:r>
              <w:rPr>
                <w:rFonts w:hint="eastAsia" w:ascii="宋体" w:hAnsi="宋体" w:eastAsia="宋体" w:cs="Times New Roman"/>
                <w:kern w:val="0"/>
                <w:szCs w:val="21"/>
              </w:rPr>
              <w:t>投标</w:t>
            </w:r>
            <w:r>
              <w:rPr>
                <w:rFonts w:hint="eastAsia" w:ascii="宋体" w:hAnsi="宋体" w:eastAsia="宋体" w:cs="Times New Roman"/>
                <w:kern w:val="0"/>
                <w:szCs w:val="21"/>
                <w:lang w:eastAsia="zh-CN"/>
              </w:rPr>
              <w:t>价格</w:t>
            </w:r>
            <w:r>
              <w:rPr>
                <w:rFonts w:hint="eastAsia" w:ascii="宋体" w:hAnsi="宋体" w:eastAsia="宋体" w:cs="Times New Roman"/>
                <w:kern w:val="0"/>
                <w:szCs w:val="21"/>
              </w:rPr>
              <w:t>（单位：</w:t>
            </w:r>
            <w:r>
              <w:rPr>
                <w:rFonts w:hint="eastAsia" w:ascii="宋体" w:hAnsi="宋体" w:eastAsia="宋体" w:cs="Times New Roman"/>
                <w:kern w:val="0"/>
                <w:szCs w:val="21"/>
                <w:lang w:eastAsia="zh-CN"/>
              </w:rPr>
              <w:t>元</w:t>
            </w:r>
            <w:r>
              <w:rPr>
                <w:rFonts w:hint="eastAsia" w:ascii="宋体" w:hAnsi="宋体" w:eastAsia="宋体" w:cs="Times New Roman"/>
                <w:kern w:val="0"/>
                <w:szCs w:val="21"/>
              </w:rPr>
              <w:t>）</w:t>
            </w:r>
          </w:p>
        </w:tc>
        <w:tc>
          <w:tcPr>
            <w:tcW w:w="2313" w:type="dxa"/>
            <w:tcBorders>
              <w:top w:val="single" w:color="auto" w:sz="4" w:space="0"/>
              <w:left w:val="single" w:color="auto" w:sz="4" w:space="0"/>
              <w:bottom w:val="single" w:color="auto" w:sz="4" w:space="0"/>
              <w:right w:val="single" w:color="auto" w:sz="4" w:space="0"/>
            </w:tcBorders>
            <w:vAlign w:val="center"/>
          </w:tcPr>
          <w:p w14:paraId="0114C776">
            <w:pPr>
              <w:widowControl/>
              <w:adjustRightInd w:val="0"/>
              <w:snapToGrid w:val="0"/>
              <w:jc w:val="center"/>
              <w:rPr>
                <w:rFonts w:ascii="宋体" w:hAnsi="宋体" w:eastAsia="宋体" w:cs="Times New Roman"/>
                <w:kern w:val="0"/>
                <w:szCs w:val="21"/>
              </w:rPr>
            </w:pPr>
            <w:r>
              <w:rPr>
                <w:rFonts w:hint="eastAsia" w:ascii="宋体" w:hAnsi="宋体" w:eastAsia="宋体" w:cs="Times New Roman"/>
                <w:kern w:val="0"/>
                <w:szCs w:val="21"/>
              </w:rPr>
              <w:t>备注</w:t>
            </w:r>
          </w:p>
        </w:tc>
      </w:tr>
      <w:tr w14:paraId="5571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4DFAADBD">
            <w:pPr>
              <w:widowControl/>
              <w:adjustRightInd w:val="0"/>
              <w:snapToGrid w:val="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079788D">
            <w:pPr>
              <w:widowControl/>
              <w:adjustRightInd w:val="0"/>
              <w:snapToGrid w:val="0"/>
              <w:jc w:val="left"/>
              <w:rPr>
                <w:rFonts w:hint="default" w:ascii="宋体" w:hAnsi="宋体" w:cs="Times New Roman"/>
                <w:kern w:val="0"/>
                <w:szCs w:val="21"/>
                <w:u w:val="none"/>
                <w:lang w:val="en-US" w:eastAsia="zh-CN"/>
              </w:rPr>
            </w:pPr>
            <w:r>
              <w:rPr>
                <w:rFonts w:hint="eastAsia" w:ascii="宋体" w:hAnsi="宋体" w:eastAsia="宋体" w:cs="Times New Roman"/>
                <w:kern w:val="0"/>
                <w:szCs w:val="21"/>
              </w:rPr>
              <w:t>投标</w:t>
            </w:r>
            <w:r>
              <w:rPr>
                <w:rFonts w:hint="eastAsia" w:ascii="宋体" w:hAnsi="宋体" w:eastAsia="宋体" w:cs="Times New Roman"/>
                <w:kern w:val="0"/>
                <w:szCs w:val="21"/>
                <w:lang w:eastAsia="zh-CN"/>
              </w:rPr>
              <w:t>价格</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p>
        </w:tc>
        <w:tc>
          <w:tcPr>
            <w:tcW w:w="2313" w:type="dxa"/>
            <w:tcBorders>
              <w:top w:val="single" w:color="auto" w:sz="4" w:space="0"/>
              <w:left w:val="single" w:color="auto" w:sz="4" w:space="0"/>
              <w:bottom w:val="single" w:color="auto" w:sz="4" w:space="0"/>
              <w:right w:val="single" w:color="auto" w:sz="4" w:space="0"/>
            </w:tcBorders>
            <w:vAlign w:val="center"/>
          </w:tcPr>
          <w:p w14:paraId="132FE62D">
            <w:pPr>
              <w:widowControl/>
              <w:adjustRightInd w:val="0"/>
              <w:snapToGrid w:val="0"/>
              <w:jc w:val="center"/>
              <w:rPr>
                <w:rFonts w:hint="eastAsia" w:ascii="宋体" w:hAnsi="宋体" w:eastAsia="宋体" w:cs="Times New Roman"/>
                <w:kern w:val="0"/>
                <w:szCs w:val="21"/>
                <w:lang w:eastAsia="zh-CN"/>
              </w:rPr>
            </w:pPr>
            <w:r>
              <w:rPr>
                <w:rFonts w:hint="eastAsia" w:ascii="宋体" w:hAnsi="宋体" w:eastAsia="宋体" w:cs="Times New Roman"/>
                <w:kern w:val="0"/>
                <w:szCs w:val="21"/>
                <w:lang w:eastAsia="zh-CN"/>
              </w:rPr>
              <w:t>附报价清单明细</w:t>
            </w:r>
          </w:p>
        </w:tc>
      </w:tr>
    </w:tbl>
    <w:p w14:paraId="3FA20BB9">
      <w:pPr>
        <w:widowControl/>
        <w:spacing w:line="360" w:lineRule="auto"/>
        <w:jc w:val="left"/>
        <w:rPr>
          <w:rFonts w:hint="eastAsia" w:ascii="宋体" w:hAnsi="宋体" w:eastAsia="宋体" w:cs="Times New Roman"/>
          <w:kern w:val="0"/>
          <w:szCs w:val="21"/>
        </w:rPr>
      </w:pPr>
    </w:p>
    <w:p w14:paraId="7D1384E2">
      <w:pPr>
        <w:widowControl/>
        <w:jc w:val="left"/>
        <w:rPr>
          <w:rFonts w:hint="eastAsia" w:ascii="宋体" w:hAnsi="宋体" w:eastAsia="宋体" w:cs="Times New Roman"/>
          <w:kern w:val="0"/>
          <w:szCs w:val="21"/>
        </w:rPr>
      </w:pPr>
      <w:r>
        <w:rPr>
          <w:rFonts w:hint="eastAsia" w:ascii="宋体" w:hAnsi="宋体" w:eastAsia="宋体" w:cs="Times New Roman"/>
          <w:kern w:val="0"/>
          <w:szCs w:val="21"/>
        </w:rPr>
        <w:t>注：1、供应商须按要求填写所有信息，</w:t>
      </w:r>
      <w:r>
        <w:rPr>
          <w:rFonts w:hint="eastAsia" w:ascii="宋体" w:hAnsi="宋体" w:eastAsia="宋体" w:cs="Times New Roman"/>
          <w:kern w:val="0"/>
          <w:szCs w:val="21"/>
          <w:lang w:eastAsia="zh-CN"/>
        </w:rPr>
        <w:t>供货标的报价为项目总费用，</w:t>
      </w:r>
      <w:r>
        <w:rPr>
          <w:rFonts w:hint="eastAsia" w:ascii="宋体" w:hAnsi="宋体" w:eastAsia="宋体" w:cs="Times New Roman"/>
          <w:kern w:val="0"/>
          <w:szCs w:val="21"/>
        </w:rPr>
        <w:t>报价</w:t>
      </w:r>
      <w:r>
        <w:rPr>
          <w:rFonts w:hint="eastAsia" w:ascii="宋体" w:hAnsi="宋体" w:eastAsia="宋体" w:cs="Times New Roman"/>
          <w:kern w:val="0"/>
          <w:szCs w:val="21"/>
          <w:lang w:eastAsia="zh-CN"/>
        </w:rPr>
        <w:t>的金额</w:t>
      </w:r>
      <w:r>
        <w:rPr>
          <w:rFonts w:hint="eastAsia" w:ascii="宋体" w:hAnsi="宋体" w:eastAsia="宋体" w:cs="Times New Roman"/>
          <w:kern w:val="0"/>
          <w:szCs w:val="21"/>
        </w:rPr>
        <w:t>最多保留</w:t>
      </w:r>
      <w:r>
        <w:rPr>
          <w:rFonts w:hint="eastAsia" w:ascii="宋体" w:hAnsi="宋体" w:eastAsia="宋体" w:cs="Times New Roman"/>
          <w:kern w:val="0"/>
          <w:szCs w:val="21"/>
          <w:lang w:eastAsia="zh-CN"/>
        </w:rPr>
        <w:t>一</w:t>
      </w:r>
      <w:r>
        <w:rPr>
          <w:rFonts w:hint="eastAsia" w:ascii="宋体" w:hAnsi="宋体" w:eastAsia="宋体" w:cs="Times New Roman"/>
          <w:kern w:val="0"/>
          <w:szCs w:val="21"/>
        </w:rPr>
        <w:t>位小点，不得随意更改本表格式。</w:t>
      </w:r>
    </w:p>
    <w:p w14:paraId="671D72CD">
      <w:pPr>
        <w:widowControl/>
        <w:numPr>
          <w:ilvl w:val="0"/>
          <w:numId w:val="2"/>
        </w:numPr>
        <w:ind w:firstLine="420" w:firstLineChars="200"/>
        <w:jc w:val="left"/>
        <w:rPr>
          <w:rFonts w:ascii="Times New Roman" w:hAnsi="Times New Roman" w:eastAsia="宋体" w:cs="Times New Roman"/>
          <w:kern w:val="0"/>
          <w:szCs w:val="21"/>
        </w:rPr>
      </w:pPr>
      <w:r>
        <w:rPr>
          <w:rFonts w:hint="eastAsia" w:ascii="宋体" w:hAnsi="宋体" w:eastAsia="宋体" w:cs="宋体"/>
          <w:kern w:val="0"/>
          <w:sz w:val="21"/>
          <w:szCs w:val="21"/>
          <w:lang w:eastAsia="zh-CN"/>
        </w:rPr>
        <w:t>评</w:t>
      </w:r>
      <w:r>
        <w:rPr>
          <w:rFonts w:hint="eastAsia" w:ascii="宋体" w:hAnsi="宋体" w:cs="宋体"/>
          <w:kern w:val="0"/>
          <w:sz w:val="21"/>
          <w:szCs w:val="21"/>
          <w:lang w:eastAsia="zh-CN"/>
        </w:rPr>
        <w:t>审</w:t>
      </w:r>
      <w:r>
        <w:rPr>
          <w:rFonts w:hint="eastAsia" w:ascii="宋体" w:hAnsi="宋体" w:eastAsia="宋体" w:cs="宋体"/>
          <w:kern w:val="0"/>
          <w:sz w:val="21"/>
          <w:szCs w:val="21"/>
          <w:lang w:eastAsia="zh-CN"/>
        </w:rPr>
        <w:t>方式</w:t>
      </w:r>
      <w:r>
        <w:rPr>
          <w:rFonts w:hint="eastAsia" w:ascii="宋体" w:hAnsi="宋体" w:eastAsia="宋体" w:cs="Times New Roman"/>
          <w:kern w:val="0"/>
          <w:szCs w:val="21"/>
          <w:lang w:eastAsia="zh-CN"/>
        </w:rPr>
        <w:t>：</w:t>
      </w:r>
      <w:r>
        <w:rPr>
          <w:rFonts w:hint="eastAsia" w:ascii="宋体" w:hAnsi="宋体" w:eastAsia="宋体" w:cs="宋体"/>
          <w:bCs/>
          <w:kern w:val="2"/>
          <w:sz w:val="21"/>
          <w:szCs w:val="21"/>
          <w:lang w:val="en-US" w:eastAsia="zh-CN"/>
        </w:rPr>
        <w:t>符合采购需求的供应商以最低价法选定成交供应商</w:t>
      </w:r>
      <w:r>
        <w:rPr>
          <w:rFonts w:hint="eastAsia" w:ascii="宋体" w:hAnsi="宋体" w:cs="宋体"/>
          <w:bCs/>
          <w:kern w:val="2"/>
          <w:sz w:val="21"/>
          <w:szCs w:val="21"/>
          <w:lang w:val="en-US" w:eastAsia="zh-CN"/>
        </w:rPr>
        <w:t>，</w:t>
      </w:r>
      <w:r>
        <w:rPr>
          <w:rFonts w:hint="eastAsia" w:ascii="宋体" w:hAnsi="宋体" w:eastAsia="宋体" w:cs="宋体"/>
          <w:bCs/>
          <w:kern w:val="2"/>
          <w:sz w:val="21"/>
          <w:szCs w:val="21"/>
          <w:lang w:val="en-US" w:eastAsia="zh-CN"/>
        </w:rPr>
        <w:t>报价不能高于预算金额，</w:t>
      </w:r>
      <w:r>
        <w:rPr>
          <w:rFonts w:hint="eastAsia" w:ascii="宋体" w:hAnsi="宋体" w:eastAsia="宋体" w:cs="宋体"/>
          <w:bCs/>
          <w:kern w:val="2"/>
          <w:sz w:val="21"/>
          <w:szCs w:val="21"/>
        </w:rPr>
        <w:t>否则按无效报价处理</w:t>
      </w:r>
      <w:r>
        <w:rPr>
          <w:rFonts w:hint="eastAsia" w:ascii="宋体" w:hAnsi="宋体" w:eastAsia="宋体" w:cs="宋体"/>
          <w:bCs/>
          <w:kern w:val="2"/>
          <w:sz w:val="21"/>
          <w:szCs w:val="21"/>
          <w:lang w:eastAsia="zh-CN"/>
        </w:rPr>
        <w:t>。</w:t>
      </w:r>
    </w:p>
    <w:p w14:paraId="589AA583">
      <w:pPr>
        <w:widowControl/>
        <w:ind w:firstLine="420" w:firstLineChars="200"/>
        <w:jc w:val="left"/>
        <w:rPr>
          <w:rFonts w:ascii="宋体" w:hAnsi="宋体" w:eastAsia="宋体" w:cs="Times New Roman"/>
          <w:kern w:val="0"/>
          <w:szCs w:val="21"/>
        </w:rPr>
      </w:pPr>
    </w:p>
    <w:p w14:paraId="2D024983">
      <w:pPr>
        <w:widowControl/>
        <w:spacing w:line="360" w:lineRule="auto"/>
        <w:ind w:right="420" w:firstLine="5145" w:firstLineChars="2450"/>
        <w:jc w:val="left"/>
        <w:rPr>
          <w:rFonts w:hint="eastAsia" w:ascii="宋体" w:hAnsi="宋体" w:eastAsia="宋体" w:cs="Times New Roman"/>
          <w:kern w:val="0"/>
          <w:szCs w:val="21"/>
        </w:rPr>
      </w:pPr>
    </w:p>
    <w:p w14:paraId="66F35615">
      <w:pPr>
        <w:widowControl/>
        <w:spacing w:line="360" w:lineRule="auto"/>
        <w:ind w:right="420" w:firstLine="5145" w:firstLineChars="2450"/>
        <w:jc w:val="left"/>
        <w:rPr>
          <w:rFonts w:hint="eastAsia" w:ascii="宋体" w:hAnsi="宋体" w:eastAsia="宋体" w:cs="Times New Roman"/>
          <w:kern w:val="0"/>
          <w:szCs w:val="21"/>
        </w:rPr>
      </w:pPr>
    </w:p>
    <w:p w14:paraId="209237D6">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BA1B05">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DA8C752">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6A55E3D8">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6" w:name="_Toc292802003"/>
      <w:bookmarkEnd w:id="16"/>
      <w:bookmarkStart w:id="17" w:name="_Toc269222892"/>
      <w:bookmarkEnd w:id="17"/>
      <w:bookmarkStart w:id="18"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8"/>
    </w:p>
    <w:tbl>
      <w:tblPr>
        <w:tblStyle w:val="4"/>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11A70BA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9" w:name="_Toc292802005"/>
      <w:bookmarkEnd w:id="19"/>
      <w:bookmarkStart w:id="20" w:name="_Toc373575523"/>
      <w:bookmarkEnd w:id="20"/>
    </w:p>
    <w:p w14:paraId="37277A49">
      <w:pPr>
        <w:widowControl/>
        <w:spacing w:line="360" w:lineRule="auto"/>
        <w:jc w:val="center"/>
        <w:rPr>
          <w:rFonts w:hint="eastAsia" w:ascii="宋体" w:hAnsi="宋体" w:eastAsia="宋体" w:cs="Times New Roman"/>
          <w:b/>
          <w:kern w:val="0"/>
          <w:szCs w:val="21"/>
        </w:rPr>
      </w:pPr>
      <w:r>
        <w:rPr>
          <w:rFonts w:hint="eastAsia" w:ascii="宋体" w:hAnsi="宋体" w:cs="Times New Roman"/>
          <w:b/>
          <w:kern w:val="0"/>
          <w:szCs w:val="21"/>
          <w:lang w:val="en-US" w:eastAsia="zh-CN"/>
        </w:rPr>
        <w:t>8</w:t>
      </w:r>
      <w:r>
        <w:rPr>
          <w:rFonts w:hint="eastAsia" w:ascii="宋体" w:hAnsi="宋体" w:eastAsia="宋体" w:cs="Times New Roman"/>
          <w:b/>
          <w:kern w:val="0"/>
          <w:szCs w:val="21"/>
          <w:lang w:val="en-US" w:eastAsia="zh-CN"/>
        </w:rPr>
        <w:t>、</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4"/>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D5CA4F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宋体" w:hAnsi="宋体" w:eastAsia="宋体" w:cs="宋体"/>
          <w:i w:val="0"/>
          <w:iCs w:val="0"/>
          <w:caps w:val="0"/>
          <w:color w:val="000000"/>
          <w:spacing w:val="0"/>
          <w:sz w:val="28"/>
          <w:szCs w:val="28"/>
          <w:shd w:val="clear" w:fill="FFFFFF"/>
        </w:rPr>
      </w:pPr>
      <w:r>
        <w:rPr>
          <w:rFonts w:hint="eastAsia" w:ascii="宋体" w:hAnsi="宋体" w:eastAsia="宋体" w:cs="Times New Roman"/>
          <w:kern w:val="0"/>
          <w:szCs w:val="21"/>
        </w:rPr>
        <w:t>日期：    年     月     日</w:t>
      </w:r>
    </w:p>
    <w:p w14:paraId="41540001"/>
    <w:sectPr>
      <w:pgSz w:w="11906" w:h="16838"/>
      <w:pgMar w:top="1440" w:right="1123" w:bottom="1440" w:left="112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F2640C"/>
    <w:rsid w:val="08B82D1E"/>
    <w:rsid w:val="18041008"/>
    <w:rsid w:val="2A0C6D50"/>
    <w:rsid w:val="2F7E3ACA"/>
    <w:rsid w:val="40662D1D"/>
    <w:rsid w:val="45B36660"/>
    <w:rsid w:val="47F2640C"/>
    <w:rsid w:val="6C007039"/>
    <w:rsid w:val="6D254FA9"/>
    <w:rsid w:val="732E26DE"/>
    <w:rsid w:val="745D2CF4"/>
    <w:rsid w:val="765C07A3"/>
    <w:rsid w:val="7EC65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2642</Words>
  <Characters>2763</Characters>
  <Lines>0</Lines>
  <Paragraphs>0</Paragraphs>
  <TotalTime>182</TotalTime>
  <ScaleCrop>false</ScaleCrop>
  <LinksUpToDate>false</LinksUpToDate>
  <CharactersWithSpaces>2797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2025-03-04T01:19:00Z</dcterms:created>
  <dc:creator>小军</dc:creator>
  <cp:lastModifiedBy>小军</cp:lastModifiedBy>
  <cp:lastPrinted>2025-12-09T07:05:04Z</cp:lastPrinted>
  <dcterms:modified xsi:type="dcterms:W3CDTF">2025-12-09T07:11:51Z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76AABF25365D4AF9BC5C1215FA137825_11</vt:lpwstr>
  </property>
  <property fmtid="{D5CDD505-2E9C-101B-9397-08002B2CF9AE}" pid="4" name="KSOTemplateDocerSaveRecord">
    <vt:lpwstr>eyJoZGlkIjoiMDI1YTQ0MGQ2NDc4NmQ3MjU4NTFkMzZmNDA5NDM5ODgiLCJ1c2VySWQiOiIxMTY5NzIyNzgyIn0=</vt:lpwstr>
  </property>
</Properties>
</file>