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997A58">
      <w:pPr>
        <w:spacing w:line="360" w:lineRule="auto"/>
        <w:jc w:val="center"/>
        <w:rPr>
          <w:rFonts w:hint="eastAsia" w:ascii="仿宋" w:hAnsi="仿宋" w:eastAsia="仿宋" w:cs="仿宋"/>
          <w:b/>
          <w:color w:val="auto"/>
          <w:kern w:val="28"/>
          <w:sz w:val="44"/>
          <w:szCs w:val="36"/>
          <w:highlight w:val="none"/>
        </w:rPr>
      </w:pPr>
      <w:r>
        <w:rPr>
          <w:rFonts w:hint="eastAsia" w:ascii="仿宋" w:hAnsi="仿宋" w:eastAsia="仿宋" w:cs="仿宋"/>
          <w:b/>
          <w:color w:val="auto"/>
          <w:kern w:val="28"/>
          <w:sz w:val="44"/>
          <w:szCs w:val="36"/>
          <w:highlight w:val="none"/>
        </w:rPr>
        <w:t>采购</w:t>
      </w:r>
      <w:r>
        <w:rPr>
          <w:rFonts w:hint="eastAsia" w:ascii="仿宋" w:hAnsi="仿宋" w:eastAsia="仿宋" w:cs="仿宋"/>
          <w:b/>
          <w:color w:val="auto"/>
          <w:kern w:val="28"/>
          <w:sz w:val="44"/>
          <w:szCs w:val="36"/>
          <w:highlight w:val="none"/>
        </w:rPr>
        <w:t>需求书</w:t>
      </w:r>
    </w:p>
    <w:p w14:paraId="7DD53085">
      <w:pPr>
        <w:numPr>
          <w:ilvl w:val="0"/>
          <w:numId w:val="1"/>
        </w:num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总则：</w:t>
      </w:r>
    </w:p>
    <w:p w14:paraId="273441D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222A570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257C540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lang w:val="en-US" w:eastAsia="zh-CN"/>
        </w:rPr>
        <w:t>若本投标产品属于医疗器械，则</w:t>
      </w:r>
      <w:r>
        <w:rPr>
          <w:rFonts w:hint="eastAsia" w:ascii="仿宋" w:hAnsi="仿宋" w:eastAsia="仿宋" w:cs="仿宋"/>
          <w:color w:val="auto"/>
          <w:sz w:val="24"/>
          <w:highlight w:val="none"/>
        </w:rPr>
        <w:t>投标供应商应该符合《医疗器械经营质量管理规范》和《医疗器械监督管理条例》规定，并结合本项目特性提供有效的医疗器械产品注册/备案证明材料和投标供应商的经营许可/备案证明材料。</w:t>
      </w:r>
    </w:p>
    <w:p w14:paraId="4F8ED3D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4.本文的“质保期”是指中标标的物经约定的验收机构完成验收之日起算，截止承诺的期限。</w:t>
      </w:r>
    </w:p>
    <w:p w14:paraId="77C786B9">
      <w:pPr>
        <w:numPr>
          <w:ilvl w:val="0"/>
          <w:numId w:val="1"/>
        </w:num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基本需求</w:t>
      </w:r>
    </w:p>
    <w:tbl>
      <w:tblPr>
        <w:tblStyle w:val="11"/>
        <w:tblW w:w="6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8"/>
        <w:gridCol w:w="1833"/>
        <w:gridCol w:w="2131"/>
      </w:tblGrid>
      <w:tr w14:paraId="2C3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2598" w:type="dxa"/>
          </w:tcPr>
          <w:p w14:paraId="7474D141">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p>
        </w:tc>
        <w:tc>
          <w:tcPr>
            <w:tcW w:w="1833" w:type="dxa"/>
          </w:tcPr>
          <w:p w14:paraId="5291AE2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需求科室/部门</w:t>
            </w:r>
          </w:p>
        </w:tc>
        <w:tc>
          <w:tcPr>
            <w:tcW w:w="2131" w:type="dxa"/>
          </w:tcPr>
          <w:p w14:paraId="226C1BB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数量（套）</w:t>
            </w:r>
          </w:p>
        </w:tc>
      </w:tr>
      <w:tr w14:paraId="4044B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598" w:type="dxa"/>
          </w:tcPr>
          <w:p w14:paraId="3442A629">
            <w:pPr>
              <w:spacing w:line="360" w:lineRule="auto"/>
              <w:ind w:firstLine="57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钬</w:t>
            </w:r>
            <w:r>
              <w:rPr>
                <w:rFonts w:hint="eastAsia" w:ascii="仿宋" w:hAnsi="仿宋" w:eastAsia="仿宋" w:cs="仿宋"/>
                <w:color w:val="auto"/>
                <w:sz w:val="24"/>
                <w:szCs w:val="24"/>
                <w:highlight w:val="none"/>
              </w:rPr>
              <w:t>激光治疗</w:t>
            </w:r>
            <w:r>
              <w:rPr>
                <w:rFonts w:hint="eastAsia" w:ascii="仿宋" w:hAnsi="仿宋" w:eastAsia="仿宋" w:cs="仿宋"/>
                <w:color w:val="auto"/>
                <w:sz w:val="24"/>
                <w:szCs w:val="24"/>
                <w:highlight w:val="none"/>
                <w:lang w:val="en-US" w:eastAsia="zh-CN"/>
              </w:rPr>
              <w:t>仪</w:t>
            </w:r>
          </w:p>
          <w:p w14:paraId="4F9B322B">
            <w:pPr>
              <w:spacing w:line="360" w:lineRule="auto"/>
              <w:rPr>
                <w:rFonts w:hint="eastAsia" w:ascii="仿宋" w:hAnsi="仿宋" w:eastAsia="仿宋" w:cs="仿宋"/>
                <w:color w:val="auto"/>
                <w:sz w:val="24"/>
                <w:highlight w:val="none"/>
              </w:rPr>
            </w:pPr>
          </w:p>
        </w:tc>
        <w:tc>
          <w:tcPr>
            <w:tcW w:w="1833" w:type="dxa"/>
          </w:tcPr>
          <w:p w14:paraId="167100A9">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泌尿外科</w:t>
            </w:r>
          </w:p>
        </w:tc>
        <w:tc>
          <w:tcPr>
            <w:tcW w:w="2131" w:type="dxa"/>
          </w:tcPr>
          <w:p w14:paraId="3D290E42">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r>
    </w:tbl>
    <w:p w14:paraId="5B1D428E">
      <w:pPr>
        <w:spacing w:line="360" w:lineRule="auto"/>
        <w:ind w:firstLine="570"/>
        <w:rPr>
          <w:rFonts w:hint="eastAsia" w:ascii="仿宋" w:hAnsi="仿宋" w:eastAsia="仿宋" w:cs="仿宋"/>
          <w:color w:val="auto"/>
          <w:highlight w:val="none"/>
          <w:lang w:val="en-US" w:eastAsia="zh-CN"/>
        </w:rPr>
      </w:pPr>
      <w:r>
        <w:rPr>
          <w:rFonts w:hint="eastAsia" w:ascii="仿宋" w:hAnsi="仿宋" w:eastAsia="仿宋" w:cs="仿宋"/>
          <w:color w:val="auto"/>
          <w:sz w:val="24"/>
          <w:highlight w:val="none"/>
        </w:rPr>
        <w:t>核心产品：</w:t>
      </w:r>
      <w:r>
        <w:rPr>
          <w:rFonts w:hint="eastAsia" w:ascii="仿宋" w:hAnsi="仿宋" w:eastAsia="仿宋" w:cs="仿宋"/>
          <w:color w:val="auto"/>
          <w:sz w:val="24"/>
          <w:szCs w:val="24"/>
          <w:highlight w:val="none"/>
          <w:lang w:val="en-US" w:eastAsia="zh-CN"/>
        </w:rPr>
        <w:t>钬</w:t>
      </w:r>
      <w:r>
        <w:rPr>
          <w:rFonts w:hint="eastAsia" w:ascii="仿宋" w:hAnsi="仿宋" w:eastAsia="仿宋" w:cs="仿宋"/>
          <w:color w:val="auto"/>
          <w:sz w:val="24"/>
          <w:szCs w:val="24"/>
          <w:highlight w:val="none"/>
        </w:rPr>
        <w:t>激光治疗</w:t>
      </w:r>
      <w:r>
        <w:rPr>
          <w:rFonts w:hint="eastAsia" w:ascii="仿宋" w:hAnsi="仿宋" w:eastAsia="仿宋" w:cs="仿宋"/>
          <w:color w:val="auto"/>
          <w:sz w:val="24"/>
          <w:szCs w:val="24"/>
          <w:highlight w:val="none"/>
          <w:lang w:val="en-US" w:eastAsia="zh-CN"/>
        </w:rPr>
        <w:t>仪</w:t>
      </w:r>
    </w:p>
    <w:p w14:paraId="5FAA8B56">
      <w:pPr>
        <w:spacing w:line="360" w:lineRule="auto"/>
        <w:rPr>
          <w:rFonts w:hint="eastAsia" w:ascii="仿宋" w:hAnsi="仿宋" w:eastAsia="仿宋" w:cs="仿宋"/>
          <w:color w:val="auto"/>
          <w:sz w:val="24"/>
          <w:highlight w:val="none"/>
        </w:rPr>
      </w:pPr>
    </w:p>
    <w:p w14:paraId="46C969F6">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用途：</w:t>
      </w:r>
      <w:r>
        <w:rPr>
          <w:rFonts w:hint="eastAsia" w:ascii="仿宋" w:hAnsi="仿宋" w:eastAsia="仿宋" w:cs="仿宋"/>
          <w:color w:val="auto"/>
          <w:sz w:val="24"/>
          <w:highlight w:val="none"/>
          <w:lang w:val="en-US" w:eastAsia="zh-CN"/>
        </w:rPr>
        <w:t>腔内碎石、前列腺增生/尿路上皮肿瘤的腔内切除</w:t>
      </w:r>
    </w:p>
    <w:p w14:paraId="3AEF8477">
      <w:pPr>
        <w:spacing w:line="360" w:lineRule="auto"/>
        <w:rPr>
          <w:rFonts w:hint="eastAsia" w:ascii="仿宋" w:hAnsi="仿宋" w:eastAsia="仿宋" w:cs="仿宋"/>
          <w:b/>
          <w:color w:val="auto"/>
          <w:sz w:val="24"/>
          <w:highlight w:val="none"/>
        </w:rPr>
      </w:pPr>
    </w:p>
    <w:p w14:paraId="3F41A7D6">
      <w:pPr>
        <w:numPr>
          <w:ilvl w:val="0"/>
          <w:numId w:val="1"/>
        </w:num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技术参数：</w:t>
      </w:r>
    </w:p>
    <w:p w14:paraId="56D93E9C">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设备用途：包括但不限于泌尿系结石碎石，泌尿系肿瘤的汽化与凝固治疗</w:t>
      </w:r>
    </w:p>
    <w:p w14:paraId="168BF737">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设备使用年限不低于8年</w:t>
      </w:r>
    </w:p>
    <w:p w14:paraId="311D3ED7">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最大输出功率≥80W</w:t>
      </w:r>
    </w:p>
    <w:p w14:paraId="0008453A">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脚踏开关具有双脚踏功能，支持至少两种独立操作模式（如激光输出启停与功率/模式调节）</w:t>
      </w:r>
    </w:p>
    <w:p w14:paraId="7EE513E1">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i w:val="0"/>
          <w:iCs w:val="0"/>
          <w:caps w:val="0"/>
          <w:color w:val="auto"/>
          <w:spacing w:val="0"/>
          <w:sz w:val="22"/>
          <w:szCs w:val="22"/>
          <w:highlight w:val="none"/>
          <w:shd w:val="clear" w:fill="FFFFFF"/>
        </w:rPr>
        <w:t>激光能量输出不稳定度 ≤ ±5%，功率复现性 ≤ ±5%</w:t>
      </w:r>
    </w:p>
    <w:p w14:paraId="37B71B52">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i w:val="0"/>
          <w:iCs w:val="0"/>
          <w:caps w:val="0"/>
          <w:color w:val="auto"/>
          <w:spacing w:val="0"/>
          <w:sz w:val="22"/>
          <w:szCs w:val="22"/>
          <w:highlight w:val="none"/>
          <w:shd w:val="clear" w:fill="FFFFFF"/>
        </w:rPr>
        <w:t xml:space="preserve">脉冲宽度：具备宽窄脉宽可调功能。窄脉宽 ≤ 300μs，宽脉宽 ≥ 800μs，宽窄脉宽间距 ≥ </w:t>
      </w:r>
      <w:r>
        <w:rPr>
          <w:rFonts w:hint="eastAsia" w:ascii="仿宋" w:hAnsi="仿宋" w:eastAsia="仿宋" w:cs="仿宋"/>
          <w:i w:val="0"/>
          <w:iCs w:val="0"/>
          <w:caps w:val="0"/>
          <w:color w:val="auto"/>
          <w:spacing w:val="0"/>
          <w:sz w:val="22"/>
          <w:szCs w:val="22"/>
          <w:highlight w:val="none"/>
          <w:shd w:val="clear" w:fill="FFFFFF"/>
          <w:lang w:val="en-US" w:eastAsia="zh-CN"/>
        </w:rPr>
        <w:t>5</w:t>
      </w:r>
      <w:r>
        <w:rPr>
          <w:rFonts w:hint="eastAsia" w:ascii="仿宋" w:hAnsi="仿宋" w:eastAsia="仿宋" w:cs="仿宋"/>
          <w:i w:val="0"/>
          <w:iCs w:val="0"/>
          <w:caps w:val="0"/>
          <w:color w:val="auto"/>
          <w:spacing w:val="0"/>
          <w:sz w:val="22"/>
          <w:szCs w:val="22"/>
          <w:highlight w:val="none"/>
          <w:shd w:val="clear" w:fill="FFFFFF"/>
        </w:rPr>
        <w:t>00μs</w:t>
      </w:r>
    </w:p>
    <w:p w14:paraId="126E60A9">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i w:val="0"/>
          <w:iCs w:val="0"/>
          <w:caps w:val="0"/>
          <w:color w:val="auto"/>
          <w:spacing w:val="0"/>
          <w:sz w:val="22"/>
          <w:szCs w:val="22"/>
          <w:highlight w:val="none"/>
          <w:shd w:val="clear" w:fill="FFFFFF"/>
        </w:rPr>
        <w:t>光纤传输系统：可兼容多种规格光纤</w:t>
      </w:r>
      <w:r>
        <w:rPr>
          <w:rFonts w:hint="eastAsia" w:ascii="仿宋" w:hAnsi="仿宋" w:eastAsia="仿宋" w:cs="仿宋"/>
          <w:i w:val="0"/>
          <w:iCs w:val="0"/>
          <w:caps w:val="0"/>
          <w:color w:val="auto"/>
          <w:spacing w:val="0"/>
          <w:sz w:val="22"/>
          <w:szCs w:val="22"/>
          <w:highlight w:val="none"/>
          <w:shd w:val="clear" w:fill="FFFFFF"/>
          <w:lang w:eastAsia="zh-CN"/>
        </w:rPr>
        <w:t>，</w:t>
      </w:r>
      <w:r>
        <w:rPr>
          <w:rFonts w:hint="eastAsia" w:ascii="仿宋" w:hAnsi="仿宋" w:eastAsia="仿宋" w:cs="仿宋"/>
          <w:i w:val="0"/>
          <w:iCs w:val="0"/>
          <w:caps w:val="0"/>
          <w:color w:val="auto"/>
          <w:spacing w:val="0"/>
          <w:sz w:val="22"/>
          <w:szCs w:val="22"/>
          <w:highlight w:val="none"/>
          <w:shd w:val="clear" w:fill="FFFFFF"/>
          <w:lang w:val="en-US" w:eastAsia="zh-CN"/>
        </w:rPr>
        <w:t>包括但不限于：</w:t>
      </w:r>
      <w:r>
        <w:rPr>
          <w:rFonts w:hint="eastAsia" w:ascii="仿宋" w:hAnsi="仿宋" w:eastAsia="仿宋" w:cs="仿宋"/>
          <w:i w:val="0"/>
          <w:iCs w:val="0"/>
          <w:caps w:val="0"/>
          <w:color w:val="auto"/>
          <w:spacing w:val="0"/>
          <w:sz w:val="22"/>
          <w:szCs w:val="22"/>
          <w:highlight w:val="none"/>
          <w:shd w:val="clear" w:fill="FFFFFF"/>
        </w:rPr>
        <w:t>200μm</w:t>
      </w:r>
      <w:r>
        <w:rPr>
          <w:rFonts w:hint="eastAsia" w:ascii="仿宋" w:hAnsi="仿宋" w:eastAsia="仿宋" w:cs="仿宋"/>
          <w:i w:val="0"/>
          <w:iCs w:val="0"/>
          <w:caps w:val="0"/>
          <w:color w:val="auto"/>
          <w:spacing w:val="0"/>
          <w:sz w:val="22"/>
          <w:szCs w:val="22"/>
          <w:highlight w:val="none"/>
          <w:shd w:val="clear" w:fill="FFFFFF"/>
          <w:lang w:val="en-US" w:eastAsia="zh-CN"/>
        </w:rPr>
        <w:t>±10%</w:t>
      </w:r>
      <w:r>
        <w:rPr>
          <w:rFonts w:hint="eastAsia" w:ascii="仿宋" w:hAnsi="仿宋" w:eastAsia="仿宋" w:cs="仿宋"/>
          <w:i w:val="0"/>
          <w:iCs w:val="0"/>
          <w:caps w:val="0"/>
          <w:color w:val="auto"/>
          <w:spacing w:val="0"/>
          <w:sz w:val="22"/>
          <w:szCs w:val="22"/>
          <w:highlight w:val="none"/>
          <w:shd w:val="clear" w:fill="FFFFFF"/>
        </w:rPr>
        <w:t>、272μm</w:t>
      </w:r>
      <w:r>
        <w:rPr>
          <w:rFonts w:hint="eastAsia" w:ascii="仿宋" w:hAnsi="仿宋" w:eastAsia="仿宋" w:cs="仿宋"/>
          <w:i w:val="0"/>
          <w:iCs w:val="0"/>
          <w:caps w:val="0"/>
          <w:color w:val="auto"/>
          <w:spacing w:val="0"/>
          <w:sz w:val="22"/>
          <w:szCs w:val="22"/>
          <w:highlight w:val="none"/>
          <w:shd w:val="clear" w:fill="FFFFFF"/>
          <w:lang w:val="en-US" w:eastAsia="zh-CN"/>
        </w:rPr>
        <w:t>±10%</w:t>
      </w:r>
      <w:r>
        <w:rPr>
          <w:rFonts w:hint="eastAsia" w:ascii="仿宋" w:hAnsi="仿宋" w:eastAsia="仿宋" w:cs="仿宋"/>
          <w:i w:val="0"/>
          <w:iCs w:val="0"/>
          <w:caps w:val="0"/>
          <w:color w:val="auto"/>
          <w:spacing w:val="0"/>
          <w:sz w:val="22"/>
          <w:szCs w:val="22"/>
          <w:highlight w:val="none"/>
          <w:shd w:val="clear" w:fill="FFFFFF"/>
        </w:rPr>
        <w:t>、365μm</w:t>
      </w:r>
      <w:r>
        <w:rPr>
          <w:rFonts w:hint="eastAsia" w:ascii="仿宋" w:hAnsi="仿宋" w:eastAsia="仿宋" w:cs="仿宋"/>
          <w:i w:val="0"/>
          <w:iCs w:val="0"/>
          <w:caps w:val="0"/>
          <w:color w:val="auto"/>
          <w:spacing w:val="0"/>
          <w:sz w:val="22"/>
          <w:szCs w:val="22"/>
          <w:highlight w:val="none"/>
          <w:shd w:val="clear" w:fill="FFFFFF"/>
          <w:lang w:val="en-US" w:eastAsia="zh-CN"/>
        </w:rPr>
        <w:t>±10%</w:t>
      </w:r>
      <w:r>
        <w:rPr>
          <w:rFonts w:hint="eastAsia" w:ascii="仿宋" w:hAnsi="仿宋" w:eastAsia="仿宋" w:cs="仿宋"/>
          <w:i w:val="0"/>
          <w:iCs w:val="0"/>
          <w:caps w:val="0"/>
          <w:color w:val="auto"/>
          <w:spacing w:val="0"/>
          <w:sz w:val="22"/>
          <w:szCs w:val="22"/>
          <w:highlight w:val="none"/>
          <w:shd w:val="clear" w:fill="FFFFFF"/>
        </w:rPr>
        <w:t>、550μm</w:t>
      </w:r>
      <w:r>
        <w:rPr>
          <w:rFonts w:hint="eastAsia" w:ascii="仿宋" w:hAnsi="仿宋" w:eastAsia="仿宋" w:cs="仿宋"/>
          <w:i w:val="0"/>
          <w:iCs w:val="0"/>
          <w:caps w:val="0"/>
          <w:color w:val="auto"/>
          <w:spacing w:val="0"/>
          <w:sz w:val="22"/>
          <w:szCs w:val="22"/>
          <w:highlight w:val="none"/>
          <w:shd w:val="clear" w:fill="FFFFFF"/>
          <w:lang w:val="en-US" w:eastAsia="zh-CN"/>
        </w:rPr>
        <w:t>±10%</w:t>
      </w:r>
    </w:p>
    <w:p w14:paraId="23594DD3">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i w:val="0"/>
          <w:iCs w:val="0"/>
          <w:caps w:val="0"/>
          <w:color w:val="auto"/>
          <w:spacing w:val="0"/>
          <w:sz w:val="22"/>
          <w:szCs w:val="22"/>
          <w:highlight w:val="none"/>
          <w:shd w:val="clear" w:fill="FFFFFF"/>
          <w:lang w:val="en-US" w:eastAsia="zh-CN"/>
        </w:rPr>
        <w:t>冷却系统：</w:t>
      </w:r>
      <w:r>
        <w:rPr>
          <w:rFonts w:hint="eastAsia" w:ascii="仿宋" w:hAnsi="仿宋" w:eastAsia="仿宋" w:cs="仿宋"/>
          <w:i w:val="0"/>
          <w:iCs w:val="0"/>
          <w:caps w:val="0"/>
          <w:color w:val="auto"/>
          <w:spacing w:val="0"/>
          <w:sz w:val="22"/>
          <w:szCs w:val="22"/>
          <w:highlight w:val="none"/>
          <w:shd w:val="clear" w:fill="FFFFFF"/>
          <w:lang w:val="en-US" w:eastAsia="zh-CN"/>
        </w:rPr>
        <w:t>采用</w:t>
      </w:r>
      <w:r>
        <w:rPr>
          <w:rFonts w:hint="eastAsia" w:ascii="仿宋" w:hAnsi="仿宋" w:eastAsia="仿宋" w:cs="仿宋"/>
          <w:i w:val="0"/>
          <w:iCs w:val="0"/>
          <w:caps w:val="0"/>
          <w:color w:val="auto"/>
          <w:spacing w:val="0"/>
          <w:sz w:val="22"/>
          <w:szCs w:val="22"/>
          <w:highlight w:val="none"/>
          <w:shd w:val="clear" w:fill="FFFFFF"/>
          <w:lang w:val="en-US" w:eastAsia="zh-CN"/>
        </w:rPr>
        <w:t>内置循环水冷</w:t>
      </w:r>
      <w:r>
        <w:rPr>
          <w:rFonts w:hint="eastAsia" w:ascii="仿宋" w:hAnsi="仿宋" w:eastAsia="仿宋" w:cs="仿宋"/>
          <w:i w:val="0"/>
          <w:iCs w:val="0"/>
          <w:caps w:val="0"/>
          <w:color w:val="auto"/>
          <w:spacing w:val="0"/>
          <w:sz w:val="22"/>
          <w:szCs w:val="22"/>
          <w:highlight w:val="none"/>
          <w:shd w:val="clear" w:fill="FFFFFF"/>
          <w:lang w:val="en-US" w:eastAsia="zh-CN"/>
        </w:rPr>
        <w:t>、</w:t>
      </w:r>
      <w:r>
        <w:rPr>
          <w:rFonts w:hint="eastAsia" w:ascii="仿宋" w:hAnsi="仿宋" w:eastAsia="仿宋" w:cs="仿宋"/>
          <w:i w:val="0"/>
          <w:iCs w:val="0"/>
          <w:caps w:val="0"/>
          <w:color w:val="auto"/>
          <w:spacing w:val="0"/>
          <w:sz w:val="22"/>
          <w:szCs w:val="22"/>
          <w:highlight w:val="none"/>
          <w:shd w:val="clear" w:fill="FFFFFF"/>
          <w:lang w:val="en-US" w:eastAsia="zh-CN"/>
        </w:rPr>
        <w:t>压缩机制冷</w:t>
      </w:r>
      <w:r>
        <w:rPr>
          <w:rFonts w:hint="eastAsia" w:ascii="仿宋" w:hAnsi="仿宋" w:eastAsia="仿宋" w:cs="仿宋"/>
          <w:i w:val="0"/>
          <w:iCs w:val="0"/>
          <w:caps w:val="0"/>
          <w:color w:val="auto"/>
          <w:spacing w:val="0"/>
          <w:sz w:val="22"/>
          <w:szCs w:val="22"/>
          <w:highlight w:val="none"/>
          <w:shd w:val="clear" w:fill="FFFFFF"/>
          <w:lang w:val="en-US" w:eastAsia="zh-CN"/>
        </w:rPr>
        <w:t>或其他有效冷却技术</w:t>
      </w:r>
    </w:p>
    <w:p w14:paraId="0D1B4650">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i w:val="0"/>
          <w:iCs w:val="0"/>
          <w:caps w:val="0"/>
          <w:color w:val="auto"/>
          <w:spacing w:val="0"/>
          <w:sz w:val="22"/>
          <w:szCs w:val="22"/>
          <w:highlight w:val="none"/>
          <w:shd w:val="clear" w:fill="FFFFFF"/>
        </w:rPr>
        <w:t>激光器工作方式：脉冲</w:t>
      </w:r>
    </w:p>
    <w:p w14:paraId="4EAA9DE2">
      <w:pPr>
        <w:numPr>
          <w:ilvl w:val="0"/>
          <w:numId w:val="2"/>
        </w:numPr>
        <w:spacing w:line="360" w:lineRule="auto"/>
        <w:ind w:left="0" w:leftChars="0" w:firstLine="0" w:firstLineChars="0"/>
        <w:rPr>
          <w:rFonts w:hint="eastAsia" w:ascii="仿宋" w:hAnsi="仿宋" w:eastAsia="仿宋" w:cs="仿宋"/>
          <w:color w:val="auto"/>
          <w:sz w:val="24"/>
          <w:highlight w:val="none"/>
          <w:lang w:val="en-US" w:eastAsia="zh-CN"/>
        </w:rPr>
      </w:pPr>
      <w:r>
        <w:rPr>
          <w:rFonts w:hint="eastAsia" w:ascii="仿宋" w:hAnsi="仿宋" w:eastAsia="仿宋" w:cs="仿宋"/>
          <w:i w:val="0"/>
          <w:iCs w:val="0"/>
          <w:caps w:val="0"/>
          <w:color w:val="auto"/>
          <w:spacing w:val="0"/>
          <w:sz w:val="22"/>
          <w:szCs w:val="22"/>
          <w:highlight w:val="none"/>
          <w:shd w:val="clear" w:fill="FFFFFF"/>
        </w:rPr>
        <w:t>激光模式：多模</w:t>
      </w:r>
    </w:p>
    <w:p w14:paraId="2800121B">
      <w:pPr>
        <w:pStyle w:val="2"/>
        <w:spacing w:line="360" w:lineRule="auto"/>
        <w:rPr>
          <w:rFonts w:hint="eastAsia" w:ascii="仿宋" w:hAnsi="仿宋" w:eastAsia="仿宋" w:cs="仿宋"/>
          <w:i w:val="0"/>
          <w:iCs w:val="0"/>
          <w:caps w:val="0"/>
          <w:color w:val="auto"/>
          <w:spacing w:val="0"/>
          <w:kern w:val="2"/>
          <w:sz w:val="22"/>
          <w:szCs w:val="22"/>
          <w:highlight w:val="none"/>
          <w:shd w:val="clear" w:fill="FFFFFF"/>
          <w:lang w:val="en-US" w:eastAsia="zh-CN" w:bidi="ar-SA"/>
        </w:rPr>
      </w:pPr>
      <w:r>
        <w:rPr>
          <w:rFonts w:hint="eastAsia" w:ascii="仿宋" w:hAnsi="仿宋" w:eastAsia="仿宋" w:cs="仿宋"/>
          <w:i w:val="0"/>
          <w:iCs w:val="0"/>
          <w:caps w:val="0"/>
          <w:color w:val="auto"/>
          <w:spacing w:val="0"/>
          <w:kern w:val="2"/>
          <w:sz w:val="22"/>
          <w:szCs w:val="22"/>
          <w:highlight w:val="none"/>
          <w:shd w:val="clear" w:fill="FFFFFF"/>
          <w:lang w:val="en-US" w:eastAsia="zh-CN" w:bidi="ar-SA"/>
        </w:rPr>
        <w:t>11.★设备所使用的光纤耗材须（规格包括但不限于200μm±10%、272μm±10%、365μm±10%、550μm±10%）均为可</w:t>
      </w:r>
      <w:r>
        <w:rPr>
          <w:rFonts w:hint="eastAsia" w:ascii="仿宋" w:hAnsi="仿宋" w:eastAsia="仿宋" w:cs="仿宋"/>
          <w:b/>
          <w:bCs/>
          <w:i w:val="0"/>
          <w:iCs w:val="0"/>
          <w:caps w:val="0"/>
          <w:color w:val="auto"/>
          <w:spacing w:val="0"/>
          <w:kern w:val="2"/>
          <w:sz w:val="22"/>
          <w:szCs w:val="22"/>
          <w:highlight w:val="none"/>
          <w:shd w:val="clear" w:fill="FFFFFF"/>
          <w:lang w:val="en-US" w:eastAsia="zh-CN" w:bidi="ar-SA"/>
        </w:rPr>
        <w:t>重复使用的通用耗材</w:t>
      </w:r>
      <w:r>
        <w:rPr>
          <w:rFonts w:hint="eastAsia" w:ascii="仿宋" w:hAnsi="仿宋" w:eastAsia="仿宋" w:cs="仿宋"/>
          <w:i w:val="0"/>
          <w:iCs w:val="0"/>
          <w:caps w:val="0"/>
          <w:color w:val="auto"/>
          <w:spacing w:val="0"/>
          <w:kern w:val="2"/>
          <w:sz w:val="22"/>
          <w:szCs w:val="22"/>
          <w:highlight w:val="none"/>
          <w:shd w:val="clear" w:fill="FFFFFF"/>
          <w:lang w:val="en-US" w:eastAsia="zh-CN" w:bidi="ar-SA"/>
        </w:rPr>
        <w:t>。</w:t>
      </w:r>
    </w:p>
    <w:p w14:paraId="43B41578">
      <w:pPr>
        <w:numPr>
          <w:ilvl w:val="0"/>
          <w:numId w:val="1"/>
        </w:num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每套设备配置要求：</w:t>
      </w:r>
    </w:p>
    <w:tbl>
      <w:tblPr>
        <w:tblStyle w:val="11"/>
        <w:tblW w:w="78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3304"/>
        <w:gridCol w:w="1996"/>
        <w:gridCol w:w="969"/>
        <w:gridCol w:w="920"/>
      </w:tblGrid>
      <w:tr w14:paraId="041C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9B8ED8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304" w:type="dxa"/>
          </w:tcPr>
          <w:p w14:paraId="2CA505E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996" w:type="dxa"/>
          </w:tcPr>
          <w:p w14:paraId="2D5BB4C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要求</w:t>
            </w:r>
          </w:p>
        </w:tc>
        <w:tc>
          <w:tcPr>
            <w:tcW w:w="969" w:type="dxa"/>
          </w:tcPr>
          <w:p w14:paraId="18F0D697">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920" w:type="dxa"/>
          </w:tcPr>
          <w:p w14:paraId="2810EB0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单位</w:t>
            </w:r>
          </w:p>
        </w:tc>
      </w:tr>
      <w:tr w14:paraId="7057D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991777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3304" w:type="dxa"/>
          </w:tcPr>
          <w:p w14:paraId="0A7D2EC3">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合格证、使用说明书、保修卡</w:t>
            </w:r>
          </w:p>
        </w:tc>
        <w:tc>
          <w:tcPr>
            <w:tcW w:w="1996" w:type="dxa"/>
          </w:tcPr>
          <w:p w14:paraId="0C3A4790">
            <w:pPr>
              <w:spacing w:line="360" w:lineRule="auto"/>
              <w:rPr>
                <w:rFonts w:hint="eastAsia" w:ascii="仿宋" w:hAnsi="仿宋" w:eastAsia="仿宋" w:cs="仿宋"/>
                <w:b/>
                <w:color w:val="auto"/>
                <w:sz w:val="24"/>
                <w:highlight w:val="none"/>
              </w:rPr>
            </w:pPr>
          </w:p>
        </w:tc>
        <w:tc>
          <w:tcPr>
            <w:tcW w:w="969" w:type="dxa"/>
          </w:tcPr>
          <w:p w14:paraId="765B493F">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5F66FD1C">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套</w:t>
            </w:r>
          </w:p>
        </w:tc>
      </w:tr>
      <w:tr w14:paraId="57578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C64CF98">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3304" w:type="dxa"/>
          </w:tcPr>
          <w:p w14:paraId="653A6C7D">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主机</w:t>
            </w:r>
          </w:p>
        </w:tc>
        <w:tc>
          <w:tcPr>
            <w:tcW w:w="1996" w:type="dxa"/>
          </w:tcPr>
          <w:p w14:paraId="1E912764">
            <w:pPr>
              <w:spacing w:line="360" w:lineRule="auto"/>
              <w:rPr>
                <w:rFonts w:hint="eastAsia" w:ascii="仿宋" w:hAnsi="仿宋" w:eastAsia="仿宋" w:cs="仿宋"/>
                <w:b/>
                <w:color w:val="auto"/>
                <w:sz w:val="24"/>
                <w:highlight w:val="none"/>
                <w:lang w:val="en-US" w:eastAsia="zh-CN"/>
              </w:rPr>
            </w:pPr>
          </w:p>
        </w:tc>
        <w:tc>
          <w:tcPr>
            <w:tcW w:w="969" w:type="dxa"/>
          </w:tcPr>
          <w:p w14:paraId="57B1E27F">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122C140C">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台</w:t>
            </w:r>
          </w:p>
        </w:tc>
      </w:tr>
      <w:tr w14:paraId="5E63F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36ADD2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3304" w:type="dxa"/>
          </w:tcPr>
          <w:p w14:paraId="4EF6C4C1">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脚踏开关</w:t>
            </w:r>
          </w:p>
        </w:tc>
        <w:tc>
          <w:tcPr>
            <w:tcW w:w="1996" w:type="dxa"/>
          </w:tcPr>
          <w:p w14:paraId="263C8191">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支持多模式独立控制</w:t>
            </w:r>
          </w:p>
        </w:tc>
        <w:tc>
          <w:tcPr>
            <w:tcW w:w="969" w:type="dxa"/>
          </w:tcPr>
          <w:p w14:paraId="5D5C348B">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0F0EF82B">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套</w:t>
            </w:r>
          </w:p>
        </w:tc>
      </w:tr>
      <w:tr w14:paraId="6287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1D770B6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3304" w:type="dxa"/>
          </w:tcPr>
          <w:p w14:paraId="7F7EE690">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光纤</w:t>
            </w:r>
          </w:p>
        </w:tc>
        <w:tc>
          <w:tcPr>
            <w:tcW w:w="1996" w:type="dxa"/>
          </w:tcPr>
          <w:p w14:paraId="2F783D96">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200μm±10%</w:t>
            </w:r>
          </w:p>
        </w:tc>
        <w:tc>
          <w:tcPr>
            <w:tcW w:w="969" w:type="dxa"/>
          </w:tcPr>
          <w:p w14:paraId="5C789684">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485110E5">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根</w:t>
            </w:r>
          </w:p>
        </w:tc>
      </w:tr>
      <w:tr w14:paraId="6D16C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54E63F5">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3304" w:type="dxa"/>
          </w:tcPr>
          <w:p w14:paraId="0E52BE05">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光纤</w:t>
            </w:r>
          </w:p>
        </w:tc>
        <w:tc>
          <w:tcPr>
            <w:tcW w:w="1996" w:type="dxa"/>
          </w:tcPr>
          <w:p w14:paraId="04AC4AD2">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550μm±10%</w:t>
            </w:r>
          </w:p>
        </w:tc>
        <w:tc>
          <w:tcPr>
            <w:tcW w:w="969" w:type="dxa"/>
          </w:tcPr>
          <w:p w14:paraId="5B990568">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4EB3DC40">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根</w:t>
            </w:r>
          </w:p>
        </w:tc>
      </w:tr>
      <w:tr w14:paraId="7C284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4576C326">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p>
        </w:tc>
        <w:tc>
          <w:tcPr>
            <w:tcW w:w="3304" w:type="dxa"/>
          </w:tcPr>
          <w:p w14:paraId="7C64D437">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光纤剥离器</w:t>
            </w:r>
          </w:p>
        </w:tc>
        <w:tc>
          <w:tcPr>
            <w:tcW w:w="1996" w:type="dxa"/>
          </w:tcPr>
          <w:p w14:paraId="3C347C3B">
            <w:pPr>
              <w:spacing w:line="360" w:lineRule="auto"/>
              <w:rPr>
                <w:rFonts w:hint="eastAsia" w:ascii="仿宋" w:hAnsi="仿宋" w:eastAsia="仿宋" w:cs="仿宋"/>
                <w:b/>
                <w:color w:val="auto"/>
                <w:sz w:val="24"/>
                <w:highlight w:val="none"/>
              </w:rPr>
            </w:pPr>
          </w:p>
        </w:tc>
        <w:tc>
          <w:tcPr>
            <w:tcW w:w="969" w:type="dxa"/>
          </w:tcPr>
          <w:p w14:paraId="3DE9BCF7">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03FF39C2">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把</w:t>
            </w:r>
          </w:p>
        </w:tc>
      </w:tr>
      <w:tr w14:paraId="24542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497C44C0">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3304" w:type="dxa"/>
          </w:tcPr>
          <w:p w14:paraId="59852D96">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激光防护镜</w:t>
            </w:r>
          </w:p>
        </w:tc>
        <w:tc>
          <w:tcPr>
            <w:tcW w:w="1996" w:type="dxa"/>
          </w:tcPr>
          <w:p w14:paraId="5E04986F">
            <w:pPr>
              <w:spacing w:line="360" w:lineRule="auto"/>
              <w:rPr>
                <w:rFonts w:hint="eastAsia" w:ascii="仿宋" w:hAnsi="仿宋" w:eastAsia="仿宋" w:cs="仿宋"/>
                <w:b/>
                <w:color w:val="auto"/>
                <w:sz w:val="24"/>
                <w:highlight w:val="none"/>
              </w:rPr>
            </w:pPr>
          </w:p>
        </w:tc>
        <w:tc>
          <w:tcPr>
            <w:tcW w:w="969" w:type="dxa"/>
          </w:tcPr>
          <w:p w14:paraId="43586195">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4CDD6BD2">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副</w:t>
            </w:r>
          </w:p>
        </w:tc>
      </w:tr>
      <w:tr w14:paraId="1C636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2F65868B">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8</w:t>
            </w:r>
          </w:p>
        </w:tc>
        <w:tc>
          <w:tcPr>
            <w:tcW w:w="3304" w:type="dxa"/>
          </w:tcPr>
          <w:p w14:paraId="73A6BEC3">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光纤切割刀</w:t>
            </w:r>
          </w:p>
        </w:tc>
        <w:tc>
          <w:tcPr>
            <w:tcW w:w="1996" w:type="dxa"/>
          </w:tcPr>
          <w:p w14:paraId="0AAECCE7">
            <w:pPr>
              <w:spacing w:line="360" w:lineRule="auto"/>
              <w:rPr>
                <w:rFonts w:hint="eastAsia" w:ascii="仿宋" w:hAnsi="仿宋" w:eastAsia="仿宋" w:cs="仿宋"/>
                <w:b/>
                <w:color w:val="auto"/>
                <w:sz w:val="24"/>
                <w:highlight w:val="none"/>
              </w:rPr>
            </w:pPr>
          </w:p>
        </w:tc>
        <w:tc>
          <w:tcPr>
            <w:tcW w:w="969" w:type="dxa"/>
          </w:tcPr>
          <w:p w14:paraId="3B22DEED">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6E29C800">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件</w:t>
            </w:r>
          </w:p>
        </w:tc>
      </w:tr>
      <w:tr w14:paraId="0CFB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3A42C11A">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w:t>
            </w:r>
          </w:p>
        </w:tc>
        <w:tc>
          <w:tcPr>
            <w:tcW w:w="3304" w:type="dxa"/>
          </w:tcPr>
          <w:p w14:paraId="3BB06C90">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手持端面检测仪</w:t>
            </w:r>
          </w:p>
        </w:tc>
        <w:tc>
          <w:tcPr>
            <w:tcW w:w="1996" w:type="dxa"/>
          </w:tcPr>
          <w:p w14:paraId="7A254BC9">
            <w:pPr>
              <w:spacing w:line="360" w:lineRule="auto"/>
              <w:rPr>
                <w:rFonts w:hint="eastAsia" w:ascii="仿宋" w:hAnsi="仿宋" w:eastAsia="仿宋" w:cs="仿宋"/>
                <w:b/>
                <w:color w:val="auto"/>
                <w:sz w:val="24"/>
                <w:highlight w:val="none"/>
              </w:rPr>
            </w:pPr>
          </w:p>
        </w:tc>
        <w:tc>
          <w:tcPr>
            <w:tcW w:w="969" w:type="dxa"/>
          </w:tcPr>
          <w:p w14:paraId="2C6F5189">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920" w:type="dxa"/>
          </w:tcPr>
          <w:p w14:paraId="4ADEFD23">
            <w:pPr>
              <w:spacing w:line="360" w:lineRule="auto"/>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件</w:t>
            </w:r>
          </w:p>
        </w:tc>
      </w:tr>
    </w:tbl>
    <w:p w14:paraId="5B35034F">
      <w:pPr>
        <w:spacing w:line="360" w:lineRule="auto"/>
        <w:rPr>
          <w:rFonts w:hint="eastAsia" w:ascii="仿宋" w:hAnsi="仿宋" w:eastAsia="仿宋" w:cs="仿宋"/>
          <w:b/>
          <w:color w:val="auto"/>
          <w:sz w:val="24"/>
          <w:highlight w:val="none"/>
        </w:rPr>
      </w:pPr>
    </w:p>
    <w:p w14:paraId="40B9EDCD">
      <w:pPr>
        <w:numPr>
          <w:ilvl w:val="0"/>
          <w:numId w:val="1"/>
        </w:num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商务要求：</w:t>
      </w:r>
    </w:p>
    <w:p w14:paraId="6D40CCE9">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1.交货及安装、验收要求</w:t>
      </w:r>
    </w:p>
    <w:p w14:paraId="31BF49C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1.1交货地点：采购人指定地点。</w:t>
      </w:r>
    </w:p>
    <w:p w14:paraId="575F906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1.2交货期：中标供应商应当在中标通知书发出之日起30日内按采购需求及的投标文件确定的事项与采购人签订合同，签订合同后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30</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日内完成设备的安装调试。</w:t>
      </w:r>
    </w:p>
    <w:p w14:paraId="728ECDD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1.3中标供应商须保证中标后所提供的设备为原装、全新合格的产品；且原装进口产品生产日期与交货日期差值</w:t>
      </w:r>
      <w:r>
        <w:rPr>
          <w:rFonts w:hint="eastAsia" w:ascii="仿宋" w:hAnsi="仿宋" w:eastAsia="仿宋" w:cs="仿宋"/>
          <w:b/>
          <w:bCs/>
          <w:color w:val="auto"/>
          <w:sz w:val="24"/>
          <w:highlight w:val="none"/>
        </w:rPr>
        <w:t>≤6个月；</w:t>
      </w:r>
      <w:r>
        <w:rPr>
          <w:rFonts w:hint="eastAsia" w:ascii="仿宋" w:hAnsi="仿宋" w:eastAsia="仿宋" w:cs="仿宋"/>
          <w:color w:val="auto"/>
          <w:sz w:val="24"/>
          <w:highlight w:val="none"/>
        </w:rPr>
        <w:t>国产产品生产日期与交货日期差值</w:t>
      </w:r>
      <w:r>
        <w:rPr>
          <w:rFonts w:hint="eastAsia" w:ascii="仿宋" w:hAnsi="仿宋" w:eastAsia="仿宋" w:cs="仿宋"/>
          <w:b/>
          <w:bCs/>
          <w:color w:val="auto"/>
          <w:sz w:val="24"/>
          <w:highlight w:val="none"/>
        </w:rPr>
        <w:t>≤3个月。</w:t>
      </w:r>
    </w:p>
    <w:p w14:paraId="4CCC344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6F9B53B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1.5验收方式：按《小榄镇公立医院政府采购和验收办法》。</w:t>
      </w:r>
    </w:p>
    <w:p w14:paraId="700EEA7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★1.6投标供应商须在投标文件提供该项目完整的授权书。</w:t>
      </w:r>
    </w:p>
    <w:p w14:paraId="4DDE80C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1.7若</w:t>
      </w:r>
      <w:r>
        <w:rPr>
          <w:rFonts w:hint="eastAsia" w:ascii="仿宋" w:hAnsi="仿宋" w:eastAsia="仿宋" w:cs="仿宋"/>
          <w:color w:val="auto"/>
          <w:sz w:val="24"/>
          <w:highlight w:val="none"/>
        </w:rPr>
        <w:t>乙方所投设备属于计量仪器的，需通过具有国家部门颁发专业检测资质证书的第三方计量检测单位检测并提供合格报告。</w:t>
      </w:r>
    </w:p>
    <w:p w14:paraId="4934CCEF">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2.售后服务要求</w:t>
      </w:r>
    </w:p>
    <w:p w14:paraId="5209F010">
      <w:pPr>
        <w:tabs>
          <w:tab w:val="left" w:pos="420"/>
        </w:tabs>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2.1中标供应商必须在中国境内有售后服务机构，并附有售后服务能力说明。</w:t>
      </w:r>
    </w:p>
    <w:p w14:paraId="7CC16FEB">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★2.2中标供应商须提供设备原厂质保（设备原厂质量保修范围和保修期）至少为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须提供原厂质保服务售后承诺书原件加上中标供应商盖鲜章</w:t>
      </w:r>
      <w:r>
        <w:rPr>
          <w:rFonts w:hint="eastAsia" w:ascii="仿宋" w:hAnsi="仿宋" w:eastAsia="仿宋" w:cs="仿宋"/>
          <w:color w:val="auto"/>
          <w:sz w:val="24"/>
          <w:highlight w:val="none"/>
          <w:lang w:eastAsia="zh-CN"/>
        </w:rPr>
        <w:t>）</w:t>
      </w:r>
    </w:p>
    <w:p w14:paraId="0AB0BFF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2.3在售后期内，中标供应商在接到用户的维修通知，响应时间为半小时内，工程师到达现场时间为4小时内，排除故障时限为到达现场后8小时内。</w:t>
      </w:r>
    </w:p>
    <w:p w14:paraId="358E05F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2.4如果产品故障在检修12小时后仍无法排除，中标供应商应在24小时内提供不低于故障产品规格型号档次的备用产品供采购人使用，直至故障产品修复。</w:t>
      </w:r>
    </w:p>
    <w:p w14:paraId="667A6E0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★2.5</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本合同履行期间，如遇中山市医疗保障局对本合同所涉检测项目对应的医疗服务价格进行下调，双方应参照下调比例调整供应价格。</w:t>
      </w:r>
    </w:p>
    <w:p w14:paraId="152EB07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2.5.2</w:t>
      </w:r>
      <w:r>
        <w:rPr>
          <w:rFonts w:hint="eastAsia" w:ascii="仿宋" w:hAnsi="仿宋" w:eastAsia="仿宋" w:cs="仿宋"/>
          <w:color w:val="auto"/>
          <w:sz w:val="24"/>
          <w:highlight w:val="none"/>
        </w:rPr>
        <w:t>本合同履行期间，如本合同所涉检测项目被纳入国家或广东省集中带量采购范围且有中选结果的，自中选结果执行之日起，本合同项下供应价格自动调整为该集中采购中选价格，乙方应按中选价格继续供货。纳入集中采购但尚未公布中选结果的过渡期内，双方按原合同价格继续履行，待中选结果公布后按前款规定执行。</w:t>
      </w:r>
    </w:p>
    <w:p w14:paraId="3C07F57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2.5.3</w:t>
      </w:r>
      <w:r>
        <w:rPr>
          <w:rFonts w:hint="eastAsia" w:ascii="仿宋" w:hAnsi="仿宋" w:eastAsia="仿宋" w:cs="仿宋"/>
          <w:color w:val="auto"/>
          <w:sz w:val="24"/>
          <w:highlight w:val="none"/>
        </w:rPr>
        <w:t>乙方应在相关价格调整政策公布后3个工作日内书面通知甲方，并配合完成价格调整手续。乙方不得以价格调整为由单方中断或延迟供货。</w:t>
      </w:r>
    </w:p>
    <w:p w14:paraId="781F5F92">
      <w:pPr>
        <w:spacing w:line="360" w:lineRule="auto"/>
        <w:rPr>
          <w:rFonts w:hint="eastAsia" w:ascii="仿宋" w:hAnsi="仿宋" w:eastAsia="仿宋" w:cs="仿宋"/>
          <w:b/>
          <w:color w:val="auto"/>
          <w:sz w:val="24"/>
          <w:highlight w:val="none"/>
        </w:rPr>
      </w:pPr>
    </w:p>
    <w:p w14:paraId="1533462C">
      <w:pPr>
        <w:spacing w:line="360" w:lineRule="auto"/>
        <w:rPr>
          <w:rFonts w:hint="eastAsia" w:ascii="仿宋" w:hAnsi="仿宋" w:eastAsia="仿宋" w:cs="仿宋"/>
          <w:b/>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3.付款方式</w:t>
      </w:r>
    </w:p>
    <w:p w14:paraId="1BE3E546">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3.1本合同的每笔款项以人民币转账方式支付</w:t>
      </w:r>
      <w:r>
        <w:rPr>
          <w:rFonts w:hint="eastAsia" w:ascii="仿宋" w:hAnsi="仿宋" w:eastAsia="仿宋" w:cs="仿宋"/>
          <w:color w:val="auto"/>
          <w:sz w:val="24"/>
          <w:highlight w:val="none"/>
          <w:lang w:eastAsia="zh-CN"/>
        </w:rPr>
        <w:t>。</w:t>
      </w:r>
    </w:p>
    <w:p w14:paraId="2797CF2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3.2合同签订后，</w:t>
      </w:r>
      <w:r>
        <w:rPr>
          <w:rFonts w:hint="eastAsia" w:ascii="仿宋" w:hAnsi="仿宋" w:eastAsia="仿宋" w:cs="仿宋"/>
          <w:color w:val="auto"/>
          <w:sz w:val="24"/>
          <w:highlight w:val="none"/>
          <w:lang w:val="en-US" w:eastAsia="zh-CN"/>
        </w:rPr>
        <w:t>中标供应商</w:t>
      </w:r>
      <w:r>
        <w:rPr>
          <w:rFonts w:hint="eastAsia" w:ascii="仿宋" w:hAnsi="仿宋" w:eastAsia="仿宋" w:cs="仿宋"/>
          <w:color w:val="auto"/>
          <w:sz w:val="24"/>
          <w:highlight w:val="none"/>
        </w:rPr>
        <w:t>按合同协议时间提供货物</w:t>
      </w:r>
      <w:r>
        <w:rPr>
          <w:rFonts w:hint="eastAsia" w:ascii="仿宋" w:hAnsi="仿宋" w:eastAsia="仿宋" w:cs="仿宋"/>
          <w:color w:val="auto"/>
          <w:sz w:val="24"/>
          <w:highlight w:val="none"/>
          <w:lang w:val="en-US" w:eastAsia="zh-CN"/>
        </w:rPr>
        <w:t>或服务完成后</w:t>
      </w:r>
      <w:r>
        <w:rPr>
          <w:rFonts w:hint="eastAsia" w:ascii="仿宋" w:hAnsi="仿宋" w:eastAsia="仿宋" w:cs="仿宋"/>
          <w:color w:val="auto"/>
          <w:sz w:val="24"/>
          <w:highlight w:val="none"/>
        </w:rPr>
        <w:t>，经</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规定的验收人员书面确认验收合格，</w:t>
      </w:r>
      <w:r>
        <w:rPr>
          <w:rFonts w:hint="eastAsia" w:ascii="仿宋" w:hAnsi="仿宋" w:eastAsia="仿宋" w:cs="仿宋"/>
          <w:color w:val="auto"/>
          <w:sz w:val="24"/>
          <w:highlight w:val="none"/>
          <w:lang w:val="en-US" w:eastAsia="zh-CN"/>
        </w:rPr>
        <w:t>中标供应商即</w:t>
      </w:r>
      <w:r>
        <w:rPr>
          <w:rFonts w:hint="eastAsia" w:ascii="仿宋" w:hAnsi="仿宋" w:eastAsia="仿宋" w:cs="仿宋"/>
          <w:color w:val="auto"/>
          <w:sz w:val="24"/>
          <w:highlight w:val="none"/>
        </w:rPr>
        <w:t>开具</w:t>
      </w:r>
      <w:r>
        <w:rPr>
          <w:rFonts w:hint="eastAsia" w:ascii="仿宋" w:hAnsi="仿宋" w:eastAsia="仿宋" w:cs="仿宋"/>
          <w:color w:val="auto"/>
          <w:sz w:val="24"/>
          <w:highlight w:val="none"/>
          <w:lang w:val="en-US" w:eastAsia="zh-CN"/>
        </w:rPr>
        <w:t>有效</w:t>
      </w:r>
      <w:r>
        <w:rPr>
          <w:rFonts w:hint="eastAsia" w:ascii="仿宋" w:hAnsi="仿宋" w:eastAsia="仿宋" w:cs="仿宋"/>
          <w:color w:val="auto"/>
          <w:sz w:val="24"/>
          <w:highlight w:val="none"/>
        </w:rPr>
        <w:t>发票，</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加盖发票专用章（增值税普通发票）</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采购人</w:t>
      </w:r>
      <w:r>
        <w:rPr>
          <w:rFonts w:hint="eastAsia" w:ascii="仿宋" w:hAnsi="仿宋" w:eastAsia="仿宋" w:cs="仿宋"/>
          <w:color w:val="auto"/>
          <w:sz w:val="24"/>
          <w:highlight w:val="none"/>
        </w:rPr>
        <w:t>确认</w:t>
      </w:r>
      <w:r>
        <w:rPr>
          <w:rFonts w:hint="eastAsia" w:ascii="仿宋" w:hAnsi="仿宋" w:eastAsia="仿宋" w:cs="仿宋"/>
          <w:color w:val="auto"/>
          <w:sz w:val="24"/>
          <w:highlight w:val="none"/>
          <w:lang w:val="en-US" w:eastAsia="zh-CN"/>
        </w:rPr>
        <w:t>发票</w:t>
      </w:r>
      <w:r>
        <w:rPr>
          <w:rFonts w:hint="eastAsia" w:ascii="仿宋" w:hAnsi="仿宋" w:eastAsia="仿宋" w:cs="仿宋"/>
          <w:color w:val="auto"/>
          <w:sz w:val="24"/>
          <w:highlight w:val="none"/>
        </w:rPr>
        <w:t>无误后</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在收到发票之日起</w:t>
      </w:r>
      <w:r>
        <w:rPr>
          <w:rFonts w:hint="eastAsia" w:ascii="仿宋" w:hAnsi="仿宋" w:eastAsia="仿宋" w:cs="仿宋"/>
          <w:color w:val="auto"/>
          <w:sz w:val="24"/>
          <w:highlight w:val="none"/>
          <w:u w:val="single"/>
          <w:lang w:val="en-US" w:eastAsia="zh-CN"/>
        </w:rPr>
        <w:t xml:space="preserve">   30  </w:t>
      </w:r>
      <w:r>
        <w:rPr>
          <w:rFonts w:hint="eastAsia" w:ascii="仿宋" w:hAnsi="仿宋" w:eastAsia="仿宋" w:cs="仿宋"/>
          <w:color w:val="auto"/>
          <w:sz w:val="24"/>
          <w:highlight w:val="none"/>
          <w:lang w:val="en-US" w:eastAsia="zh-CN"/>
        </w:rPr>
        <w:t>日</w:t>
      </w:r>
      <w:r>
        <w:rPr>
          <w:rFonts w:hint="eastAsia" w:ascii="仿宋" w:hAnsi="仿宋" w:eastAsia="仿宋" w:cs="仿宋"/>
          <w:color w:val="auto"/>
          <w:sz w:val="24"/>
          <w:highlight w:val="none"/>
        </w:rPr>
        <w:t>内</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支付合同总金额的</w:t>
      </w: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5%；合同总金额的5%</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作为第二期款项，</w:t>
      </w:r>
      <w:r>
        <w:rPr>
          <w:rFonts w:hint="eastAsia" w:ascii="仿宋" w:hAnsi="仿宋" w:eastAsia="仿宋" w:cs="仿宋"/>
          <w:color w:val="auto"/>
          <w:sz w:val="24"/>
          <w:highlight w:val="none"/>
        </w:rPr>
        <w:t>在</w:t>
      </w:r>
      <w:r>
        <w:rPr>
          <w:rFonts w:hint="eastAsia" w:ascii="仿宋" w:hAnsi="仿宋" w:eastAsia="仿宋" w:cs="仿宋"/>
          <w:color w:val="auto"/>
          <w:sz w:val="24"/>
          <w:highlight w:val="none"/>
          <w:u w:val="single"/>
          <w:lang w:val="en-US" w:eastAsia="zh-CN"/>
        </w:rPr>
        <w:t xml:space="preserve"> 质保期满</w:t>
      </w:r>
      <w:r>
        <w:rPr>
          <w:rFonts w:hint="eastAsia" w:ascii="仿宋" w:hAnsi="仿宋" w:eastAsia="仿宋" w:cs="仿宋"/>
          <w:color w:val="auto"/>
          <w:sz w:val="24"/>
          <w:highlight w:val="none"/>
        </w:rPr>
        <w:t>后一次性无息</w:t>
      </w:r>
      <w:r>
        <w:rPr>
          <w:rFonts w:hint="eastAsia" w:ascii="仿宋" w:hAnsi="仿宋" w:eastAsia="仿宋" w:cs="仿宋"/>
          <w:color w:val="auto"/>
          <w:sz w:val="24"/>
          <w:highlight w:val="none"/>
          <w:lang w:val="en-US" w:eastAsia="zh-CN"/>
        </w:rPr>
        <w:t>支付</w:t>
      </w:r>
      <w:r>
        <w:rPr>
          <w:rFonts w:hint="eastAsia" w:ascii="仿宋" w:hAnsi="仿宋" w:eastAsia="仿宋" w:cs="仿宋"/>
          <w:color w:val="auto"/>
          <w:sz w:val="24"/>
          <w:highlight w:val="none"/>
        </w:rPr>
        <w:t>。</w:t>
      </w:r>
    </w:p>
    <w:p w14:paraId="42DA0642">
      <w:pPr>
        <w:spacing w:line="360" w:lineRule="auto"/>
        <w:rPr>
          <w:rFonts w:hint="eastAsia" w:ascii="仿宋" w:hAnsi="仿宋" w:eastAsia="仿宋" w:cs="仿宋"/>
          <w:color w:val="auto"/>
          <w:sz w:val="24"/>
          <w:highlight w:val="none"/>
        </w:rPr>
      </w:pPr>
    </w:p>
    <w:p w14:paraId="764DAB56">
      <w:pPr>
        <w:numPr>
          <w:ilvl w:val="0"/>
          <w:numId w:val="0"/>
        </w:numPr>
        <w:spacing w:line="360" w:lineRule="auto"/>
        <w:ind w:leftChars="0"/>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六、其他商务要求</w:t>
      </w:r>
    </w:p>
    <w:p w14:paraId="5148A802">
      <w:pPr>
        <w:numPr>
          <w:ilvl w:val="0"/>
          <w:numId w:val="3"/>
        </w:numPr>
        <w:spacing w:line="360" w:lineRule="auto"/>
        <w:ind w:left="0" w:leftChars="0"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sz w:val="24"/>
          <w:highlight w:val="none"/>
          <w:lang w:val="en-US" w:eastAsia="zh-CN"/>
        </w:rPr>
        <w:t>投标人须对本项目的采购标的进行整体投标，任何只对本项目采购标的其中一部分内容、数量进行的投标都被视为无效投标。</w:t>
      </w:r>
    </w:p>
    <w:p w14:paraId="60E1B4C6">
      <w:pPr>
        <w:numPr>
          <w:ilvl w:val="0"/>
          <w:numId w:val="3"/>
        </w:numPr>
        <w:spacing w:line="360" w:lineRule="auto"/>
        <w:ind w:left="0" w:leftChars="0"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1F036622">
      <w:pPr>
        <w:spacing w:line="360" w:lineRule="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投标人同意采购人以任何形式对其投标文件内容及采购人认为有必要的相关资料的真实性和有效性进行审查、验证。</w:t>
      </w:r>
    </w:p>
    <w:p w14:paraId="1B566400">
      <w:pPr>
        <w:spacing w:line="360" w:lineRule="auto"/>
        <w:jc w:val="center"/>
        <w:rPr>
          <w:rFonts w:hint="eastAsia" w:ascii="仿宋" w:hAnsi="仿宋" w:eastAsia="仿宋" w:cs="仿宋"/>
          <w:b/>
          <w:bCs/>
          <w:color w:val="auto"/>
          <w:sz w:val="24"/>
          <w:highlight w:val="none"/>
        </w:rPr>
      </w:pPr>
    </w:p>
    <w:p w14:paraId="3596FFFC">
      <w:pPr>
        <w:spacing w:line="360" w:lineRule="auto"/>
        <w:jc w:val="center"/>
        <w:rPr>
          <w:rFonts w:hint="eastAsia" w:ascii="仿宋" w:hAnsi="仿宋" w:eastAsia="仿宋" w:cs="仿宋"/>
          <w:b/>
          <w:bCs/>
          <w:color w:val="auto"/>
          <w:sz w:val="24"/>
          <w:highlight w:val="none"/>
        </w:rPr>
      </w:pPr>
    </w:p>
    <w:p w14:paraId="2FC56A74">
      <w:pPr>
        <w:spacing w:line="360" w:lineRule="auto"/>
        <w:jc w:val="center"/>
        <w:rPr>
          <w:rFonts w:hint="eastAsia" w:ascii="仿宋" w:hAnsi="仿宋" w:eastAsia="仿宋" w:cs="仿宋"/>
          <w:b/>
          <w:bCs/>
          <w:color w:val="auto"/>
          <w:sz w:val="24"/>
          <w:highlight w:val="none"/>
        </w:rPr>
      </w:pPr>
    </w:p>
    <w:p w14:paraId="55AFC2DF">
      <w:pPr>
        <w:spacing w:line="360" w:lineRule="auto"/>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br w:type="page"/>
      </w:r>
    </w:p>
    <w:p w14:paraId="7D3577EB">
      <w:pPr>
        <w:spacing w:line="360" w:lineRule="auto"/>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评分表</w:t>
      </w:r>
    </w:p>
    <w:p w14:paraId="494EBB9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分值权重：</w:t>
      </w:r>
    </w:p>
    <w:tbl>
      <w:tblPr>
        <w:tblStyle w:val="11"/>
        <w:tblW w:w="3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2"/>
        <w:gridCol w:w="1702"/>
        <w:gridCol w:w="1703"/>
        <w:gridCol w:w="1705"/>
      </w:tblGrid>
      <w:tr w14:paraId="1972F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249" w:type="pct"/>
            <w:vAlign w:val="center"/>
          </w:tcPr>
          <w:p w14:paraId="7698B73B">
            <w:pPr>
              <w:pStyle w:val="9"/>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商务评审</w:t>
            </w:r>
          </w:p>
        </w:tc>
        <w:tc>
          <w:tcPr>
            <w:tcW w:w="1249" w:type="pct"/>
            <w:vAlign w:val="center"/>
          </w:tcPr>
          <w:p w14:paraId="0E32ECCA">
            <w:pPr>
              <w:pStyle w:val="9"/>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技术评审</w:t>
            </w:r>
          </w:p>
        </w:tc>
        <w:tc>
          <w:tcPr>
            <w:tcW w:w="1250" w:type="pct"/>
            <w:vAlign w:val="center"/>
          </w:tcPr>
          <w:p w14:paraId="501912C8">
            <w:pPr>
              <w:pStyle w:val="9"/>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设备</w:t>
            </w:r>
            <w:r>
              <w:rPr>
                <w:rFonts w:hint="eastAsia" w:ascii="仿宋" w:hAnsi="仿宋" w:eastAsia="仿宋" w:cs="仿宋"/>
                <w:color w:val="auto"/>
                <w:highlight w:val="none"/>
              </w:rPr>
              <w:t>价格评审</w:t>
            </w:r>
          </w:p>
        </w:tc>
        <w:tc>
          <w:tcPr>
            <w:tcW w:w="1251" w:type="pct"/>
            <w:vAlign w:val="center"/>
          </w:tcPr>
          <w:p w14:paraId="6DAC7437">
            <w:pPr>
              <w:pStyle w:val="9"/>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合计</w:t>
            </w:r>
          </w:p>
        </w:tc>
      </w:tr>
      <w:tr w14:paraId="7C699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249" w:type="pct"/>
            <w:vAlign w:val="center"/>
          </w:tcPr>
          <w:p w14:paraId="048329E0">
            <w:pPr>
              <w:pStyle w:val="9"/>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13</w:t>
            </w:r>
            <w:r>
              <w:rPr>
                <w:rFonts w:hint="eastAsia" w:ascii="仿宋" w:hAnsi="仿宋" w:eastAsia="仿宋" w:cs="仿宋"/>
                <w:color w:val="auto"/>
                <w:highlight w:val="none"/>
              </w:rPr>
              <w:t>%</w:t>
            </w:r>
          </w:p>
        </w:tc>
        <w:tc>
          <w:tcPr>
            <w:tcW w:w="1249" w:type="pct"/>
            <w:vAlign w:val="center"/>
          </w:tcPr>
          <w:p w14:paraId="38636705">
            <w:pPr>
              <w:pStyle w:val="9"/>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57</w:t>
            </w:r>
            <w:r>
              <w:rPr>
                <w:rFonts w:hint="eastAsia" w:ascii="仿宋" w:hAnsi="仿宋" w:eastAsia="仿宋" w:cs="仿宋"/>
                <w:color w:val="auto"/>
                <w:highlight w:val="none"/>
              </w:rPr>
              <w:t>%</w:t>
            </w:r>
          </w:p>
        </w:tc>
        <w:tc>
          <w:tcPr>
            <w:tcW w:w="1250" w:type="pct"/>
            <w:vAlign w:val="center"/>
          </w:tcPr>
          <w:p w14:paraId="5CE91CB3">
            <w:pPr>
              <w:pStyle w:val="9"/>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30</w:t>
            </w:r>
            <w:r>
              <w:rPr>
                <w:rFonts w:hint="eastAsia" w:ascii="仿宋" w:hAnsi="仿宋" w:eastAsia="仿宋" w:cs="仿宋"/>
                <w:color w:val="auto"/>
                <w:highlight w:val="none"/>
              </w:rPr>
              <w:t>%</w:t>
            </w:r>
          </w:p>
        </w:tc>
        <w:tc>
          <w:tcPr>
            <w:tcW w:w="1251" w:type="pct"/>
            <w:vAlign w:val="center"/>
          </w:tcPr>
          <w:p w14:paraId="5C4BC516">
            <w:pPr>
              <w:pStyle w:val="9"/>
              <w:spacing w:line="360" w:lineRule="auto"/>
              <w:ind w:firstLine="0"/>
              <w:jc w:val="center"/>
              <w:rPr>
                <w:rFonts w:hint="eastAsia" w:ascii="仿宋" w:hAnsi="仿宋" w:eastAsia="仿宋" w:cs="仿宋"/>
                <w:color w:val="auto"/>
                <w:highlight w:val="none"/>
              </w:rPr>
            </w:pPr>
            <w:r>
              <w:rPr>
                <w:rFonts w:hint="eastAsia" w:ascii="仿宋" w:hAnsi="仿宋" w:eastAsia="仿宋" w:cs="仿宋"/>
                <w:color w:val="auto"/>
                <w:highlight w:val="none"/>
              </w:rPr>
              <w:t>100%</w:t>
            </w:r>
          </w:p>
        </w:tc>
      </w:tr>
    </w:tbl>
    <w:p w14:paraId="276F3228">
      <w:pPr>
        <w:spacing w:line="360" w:lineRule="auto"/>
        <w:rPr>
          <w:rFonts w:hint="eastAsia" w:ascii="仿宋" w:hAnsi="仿宋" w:eastAsia="仿宋" w:cs="仿宋"/>
          <w:color w:val="auto"/>
          <w:sz w:val="24"/>
          <w:highlight w:val="none"/>
        </w:rPr>
      </w:pPr>
    </w:p>
    <w:p w14:paraId="496828A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商务评审：</w:t>
      </w:r>
    </w:p>
    <w:tbl>
      <w:tblPr>
        <w:tblStyle w:val="10"/>
        <w:tblW w:w="9103" w:type="dxa"/>
        <w:jc w:val="center"/>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Layout w:type="fixed"/>
        <w:tblCellMar>
          <w:top w:w="0" w:type="dxa"/>
          <w:left w:w="108" w:type="dxa"/>
          <w:bottom w:w="0" w:type="dxa"/>
          <w:right w:w="108" w:type="dxa"/>
        </w:tblCellMar>
      </w:tblPr>
      <w:tblGrid>
        <w:gridCol w:w="668"/>
        <w:gridCol w:w="900"/>
        <w:gridCol w:w="674"/>
        <w:gridCol w:w="5865"/>
        <w:gridCol w:w="996"/>
      </w:tblGrid>
      <w:tr w14:paraId="36F9A599">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284" w:hRule="atLeast"/>
          <w:jc w:val="center"/>
        </w:trPr>
        <w:tc>
          <w:tcPr>
            <w:tcW w:w="668" w:type="dxa"/>
            <w:tcBorders>
              <w:top w:val="single" w:color="auto" w:sz="4" w:space="0"/>
              <w:left w:val="single" w:color="auto" w:sz="4" w:space="0"/>
              <w:bottom w:val="single" w:color="auto" w:sz="4" w:space="0"/>
              <w:right w:val="single" w:color="auto" w:sz="4" w:space="0"/>
            </w:tcBorders>
            <w:shd w:val="clear" w:color="000000" w:fill="D9D9D9"/>
            <w:vAlign w:val="center"/>
          </w:tcPr>
          <w:p w14:paraId="4FFCB396">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900" w:type="dxa"/>
            <w:tcBorders>
              <w:top w:val="single" w:color="auto" w:sz="4" w:space="0"/>
              <w:left w:val="single" w:color="auto" w:sz="4" w:space="0"/>
              <w:bottom w:val="single" w:color="auto" w:sz="4" w:space="0"/>
              <w:right w:val="single" w:color="auto" w:sz="4" w:space="0"/>
            </w:tcBorders>
            <w:shd w:val="clear" w:color="000000" w:fill="D9D9D9"/>
            <w:vAlign w:val="center"/>
          </w:tcPr>
          <w:p w14:paraId="6185EDF9">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评审指标</w:t>
            </w:r>
          </w:p>
        </w:tc>
        <w:tc>
          <w:tcPr>
            <w:tcW w:w="674" w:type="dxa"/>
            <w:tcBorders>
              <w:top w:val="single" w:color="auto" w:sz="4" w:space="0"/>
              <w:left w:val="single" w:color="auto" w:sz="4" w:space="0"/>
              <w:bottom w:val="single" w:color="auto" w:sz="4" w:space="0"/>
              <w:right w:val="single" w:color="auto" w:sz="4" w:space="0"/>
            </w:tcBorders>
            <w:shd w:val="clear" w:color="000000" w:fill="D9D9D9"/>
            <w:vAlign w:val="center"/>
          </w:tcPr>
          <w:p w14:paraId="64596C0E">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5865" w:type="dxa"/>
            <w:tcBorders>
              <w:top w:val="single" w:color="auto" w:sz="4" w:space="0"/>
              <w:left w:val="single" w:color="auto" w:sz="4" w:space="0"/>
              <w:bottom w:val="single" w:color="auto" w:sz="4" w:space="0"/>
              <w:right w:val="single" w:color="auto" w:sz="4" w:space="0"/>
            </w:tcBorders>
            <w:shd w:val="clear" w:color="000000" w:fill="D9D9D9"/>
            <w:vAlign w:val="center"/>
          </w:tcPr>
          <w:p w14:paraId="634FAEEE">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评分范围</w:t>
            </w:r>
          </w:p>
        </w:tc>
        <w:tc>
          <w:tcPr>
            <w:tcW w:w="996" w:type="dxa"/>
            <w:tcBorders>
              <w:top w:val="single" w:color="auto" w:sz="4" w:space="0"/>
              <w:left w:val="single" w:color="auto" w:sz="4" w:space="0"/>
              <w:bottom w:val="single" w:color="auto" w:sz="4" w:space="0"/>
              <w:right w:val="single" w:color="auto" w:sz="4" w:space="0"/>
            </w:tcBorders>
            <w:shd w:val="clear" w:color="000000" w:fill="D9D9D9"/>
            <w:vAlign w:val="center"/>
          </w:tcPr>
          <w:p w14:paraId="202F9D2E">
            <w:pPr>
              <w:wordWrap w:val="0"/>
              <w:spacing w:line="360" w:lineRule="auto"/>
              <w:jc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w:t>
            </w:r>
          </w:p>
          <w:p w14:paraId="22144420">
            <w:pPr>
              <w:wordWrap w:val="0"/>
              <w:spacing w:line="360" w:lineRule="auto"/>
              <w:jc w:val="center"/>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w:t>
            </w:r>
          </w:p>
        </w:tc>
      </w:tr>
      <w:tr w14:paraId="4DC2CCE4">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633"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4367B84F">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1</w:t>
            </w:r>
          </w:p>
        </w:tc>
        <w:tc>
          <w:tcPr>
            <w:tcW w:w="900" w:type="dxa"/>
            <w:tcBorders>
              <w:top w:val="single" w:color="auto" w:sz="4" w:space="0"/>
              <w:left w:val="single" w:color="auto" w:sz="4" w:space="0"/>
              <w:bottom w:val="single" w:color="auto" w:sz="4" w:space="0"/>
              <w:right w:val="single" w:color="auto" w:sz="4" w:space="0"/>
            </w:tcBorders>
            <w:vAlign w:val="center"/>
          </w:tcPr>
          <w:p w14:paraId="57685BE5">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市场占有率</w:t>
            </w:r>
          </w:p>
        </w:tc>
        <w:tc>
          <w:tcPr>
            <w:tcW w:w="674" w:type="dxa"/>
            <w:tcBorders>
              <w:top w:val="single" w:color="auto" w:sz="4" w:space="0"/>
              <w:left w:val="single" w:color="auto" w:sz="4" w:space="0"/>
              <w:bottom w:val="single" w:color="auto" w:sz="4" w:space="0"/>
              <w:right w:val="single" w:color="auto" w:sz="4" w:space="0"/>
            </w:tcBorders>
            <w:vAlign w:val="center"/>
          </w:tcPr>
          <w:p w14:paraId="4C66DD29">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p>
        </w:tc>
        <w:tc>
          <w:tcPr>
            <w:tcW w:w="5865" w:type="dxa"/>
            <w:tcBorders>
              <w:top w:val="single" w:color="auto" w:sz="4" w:space="0"/>
              <w:left w:val="single" w:color="auto" w:sz="4" w:space="0"/>
              <w:bottom w:val="single" w:color="auto" w:sz="4" w:space="0"/>
              <w:right w:val="single" w:color="auto" w:sz="4" w:space="0"/>
            </w:tcBorders>
            <w:vAlign w:val="center"/>
          </w:tcPr>
          <w:p w14:paraId="05CF533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近3年（2023年8月至今）同型号的全国成交数量，以合同关键页为准，每提供一份得0.5分，最高不超过5分。</w:t>
            </w:r>
            <w:bookmarkStart w:id="0" w:name="_GoBack"/>
            <w:bookmarkEnd w:id="0"/>
          </w:p>
        </w:tc>
        <w:tc>
          <w:tcPr>
            <w:tcW w:w="996" w:type="dxa"/>
            <w:tcBorders>
              <w:top w:val="single" w:color="auto" w:sz="4" w:space="0"/>
              <w:left w:val="single" w:color="auto" w:sz="4" w:space="0"/>
              <w:bottom w:val="single" w:color="auto" w:sz="4" w:space="0"/>
              <w:right w:val="single" w:color="auto" w:sz="4" w:space="0"/>
            </w:tcBorders>
            <w:vAlign w:val="center"/>
          </w:tcPr>
          <w:p w14:paraId="5B794C7A">
            <w:pPr>
              <w:spacing w:line="360" w:lineRule="auto"/>
              <w:jc w:val="center"/>
              <w:rPr>
                <w:rFonts w:hint="eastAsia" w:ascii="仿宋" w:hAnsi="仿宋" w:eastAsia="仿宋" w:cs="仿宋"/>
                <w:color w:val="auto"/>
                <w:sz w:val="24"/>
                <w:highlight w:val="none"/>
              </w:rPr>
            </w:pPr>
          </w:p>
        </w:tc>
      </w:tr>
      <w:tr w14:paraId="54BE0E0F">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0C25ACCD">
            <w:pPr>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900" w:type="dxa"/>
            <w:tcBorders>
              <w:top w:val="single" w:color="auto" w:sz="4" w:space="0"/>
              <w:left w:val="single" w:color="auto" w:sz="4" w:space="0"/>
              <w:bottom w:val="single" w:color="auto" w:sz="4" w:space="0"/>
              <w:right w:val="single" w:color="auto" w:sz="4" w:space="0"/>
            </w:tcBorders>
            <w:vAlign w:val="center"/>
          </w:tcPr>
          <w:p w14:paraId="3E1C072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质量保证措施</w:t>
            </w:r>
          </w:p>
        </w:tc>
        <w:tc>
          <w:tcPr>
            <w:tcW w:w="674" w:type="dxa"/>
            <w:tcBorders>
              <w:top w:val="single" w:color="auto" w:sz="4" w:space="0"/>
              <w:left w:val="single" w:color="auto" w:sz="4" w:space="0"/>
              <w:bottom w:val="single" w:color="auto" w:sz="4" w:space="0"/>
              <w:right w:val="single" w:color="auto" w:sz="4" w:space="0"/>
            </w:tcBorders>
            <w:vAlign w:val="center"/>
          </w:tcPr>
          <w:p w14:paraId="185EB9C3">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p>
        </w:tc>
        <w:tc>
          <w:tcPr>
            <w:tcW w:w="5865" w:type="dxa"/>
            <w:tcBorders>
              <w:top w:val="single" w:color="auto" w:sz="4" w:space="0"/>
              <w:left w:val="single" w:color="auto" w:sz="4" w:space="0"/>
              <w:bottom w:val="single" w:color="auto" w:sz="4" w:space="0"/>
              <w:right w:val="single" w:color="auto" w:sz="4" w:space="0"/>
            </w:tcBorders>
            <w:vAlign w:val="center"/>
          </w:tcPr>
          <w:p w14:paraId="50B3D4C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需求质保期要求的基础上延长1年，得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分；延长2年，得</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分；本项最高得分不超过</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分。（延长的质保期须为原厂质保）</w:t>
            </w:r>
          </w:p>
          <w:p w14:paraId="6F97A1FC">
            <w:pPr>
              <w:spacing w:line="360" w:lineRule="auto"/>
              <w:rPr>
                <w:rFonts w:hint="eastAsia" w:ascii="仿宋" w:hAnsi="仿宋" w:eastAsia="仿宋" w:cs="仿宋"/>
                <w:color w:val="auto"/>
                <w:sz w:val="24"/>
                <w:highlight w:val="none"/>
              </w:rPr>
            </w:pPr>
            <w:r>
              <w:rPr>
                <w:rFonts w:hint="eastAsia" w:ascii="仿宋" w:hAnsi="仿宋" w:eastAsia="仿宋" w:cs="仿宋"/>
                <w:b w:val="0"/>
                <w:bCs w:val="0"/>
                <w:color w:val="auto"/>
                <w:sz w:val="24"/>
                <w:szCs w:val="24"/>
                <w:highlight w:val="none"/>
              </w:rPr>
              <w:t>注：投标文件中须提供关于原厂质保和延长质保期年限的《承诺函》，格式自拟，不提供不得分。</w:t>
            </w:r>
          </w:p>
        </w:tc>
        <w:tc>
          <w:tcPr>
            <w:tcW w:w="996" w:type="dxa"/>
            <w:tcBorders>
              <w:top w:val="single" w:color="auto" w:sz="4" w:space="0"/>
              <w:left w:val="single" w:color="auto" w:sz="4" w:space="0"/>
              <w:bottom w:val="single" w:color="auto" w:sz="4" w:space="0"/>
              <w:right w:val="single" w:color="auto" w:sz="4" w:space="0"/>
            </w:tcBorders>
            <w:vAlign w:val="center"/>
          </w:tcPr>
          <w:p w14:paraId="7C05AB46">
            <w:pPr>
              <w:spacing w:line="360" w:lineRule="auto"/>
              <w:jc w:val="center"/>
              <w:rPr>
                <w:rFonts w:hint="eastAsia" w:ascii="仿宋" w:hAnsi="仿宋" w:eastAsia="仿宋" w:cs="仿宋"/>
                <w:color w:val="auto"/>
                <w:sz w:val="24"/>
                <w:highlight w:val="none"/>
              </w:rPr>
            </w:pPr>
          </w:p>
        </w:tc>
      </w:tr>
      <w:tr w14:paraId="1E2F3743">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1198" w:hRule="atLeast"/>
          <w:jc w:val="center"/>
        </w:trPr>
        <w:tc>
          <w:tcPr>
            <w:tcW w:w="668" w:type="dxa"/>
            <w:tcBorders>
              <w:top w:val="single" w:color="auto" w:sz="4" w:space="0"/>
              <w:left w:val="single" w:color="auto" w:sz="4" w:space="0"/>
              <w:bottom w:val="single" w:color="auto" w:sz="4" w:space="0"/>
              <w:right w:val="single" w:color="auto" w:sz="4" w:space="0"/>
            </w:tcBorders>
            <w:vAlign w:val="center"/>
          </w:tcPr>
          <w:p w14:paraId="5A416001">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900" w:type="dxa"/>
            <w:tcBorders>
              <w:top w:val="single" w:color="auto" w:sz="4" w:space="0"/>
              <w:left w:val="single" w:color="auto" w:sz="4" w:space="0"/>
              <w:bottom w:val="single" w:color="auto" w:sz="4" w:space="0"/>
              <w:right w:val="single" w:color="auto" w:sz="4" w:space="0"/>
            </w:tcBorders>
            <w:vAlign w:val="center"/>
          </w:tcPr>
          <w:p w14:paraId="279248F4">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使用效期</w:t>
            </w:r>
          </w:p>
        </w:tc>
        <w:tc>
          <w:tcPr>
            <w:tcW w:w="674" w:type="dxa"/>
            <w:tcBorders>
              <w:top w:val="single" w:color="auto" w:sz="4" w:space="0"/>
              <w:left w:val="single" w:color="auto" w:sz="4" w:space="0"/>
              <w:bottom w:val="single" w:color="auto" w:sz="4" w:space="0"/>
              <w:right w:val="single" w:color="auto" w:sz="4" w:space="0"/>
            </w:tcBorders>
            <w:vAlign w:val="center"/>
          </w:tcPr>
          <w:p w14:paraId="18B4BA90">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5865" w:type="dxa"/>
            <w:tcBorders>
              <w:top w:val="single" w:color="auto" w:sz="4" w:space="0"/>
              <w:left w:val="single" w:color="auto" w:sz="4" w:space="0"/>
              <w:bottom w:val="single" w:color="auto" w:sz="4" w:space="0"/>
              <w:right w:val="single" w:color="auto" w:sz="4" w:space="0"/>
            </w:tcBorders>
            <w:vAlign w:val="center"/>
          </w:tcPr>
          <w:p w14:paraId="454B19E1">
            <w:p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设备铭牌的使用年限，最长得3分，次之得2分，余者得1分。</w:t>
            </w:r>
          </w:p>
          <w:p w14:paraId="104B46AC">
            <w:pPr>
              <w:pStyle w:val="2"/>
              <w:spacing w:line="360" w:lineRule="auto"/>
              <w:rPr>
                <w:rFonts w:hint="eastAsia" w:ascii="仿宋" w:hAnsi="仿宋" w:eastAsia="仿宋" w:cs="仿宋"/>
                <w:color w:val="auto"/>
                <w:highlight w:val="none"/>
                <w:lang w:val="en-US" w:eastAsia="zh-CN"/>
              </w:rPr>
            </w:pPr>
            <w:r>
              <w:rPr>
                <w:rFonts w:hint="eastAsia" w:ascii="仿宋" w:hAnsi="仿宋" w:eastAsia="仿宋" w:cs="仿宋"/>
                <w:b w:val="0"/>
                <w:bCs w:val="0"/>
                <w:color w:val="auto"/>
                <w:sz w:val="24"/>
                <w:szCs w:val="24"/>
                <w:highlight w:val="none"/>
                <w:lang w:val="en-US" w:eastAsia="zh-CN"/>
              </w:rPr>
              <w:t>注：需提供相应证明文件（包括但不限于说明书或设备铭牌等资料）。</w:t>
            </w:r>
          </w:p>
        </w:tc>
        <w:tc>
          <w:tcPr>
            <w:tcW w:w="996" w:type="dxa"/>
            <w:tcBorders>
              <w:top w:val="single" w:color="auto" w:sz="4" w:space="0"/>
              <w:left w:val="single" w:color="auto" w:sz="4" w:space="0"/>
              <w:bottom w:val="single" w:color="auto" w:sz="4" w:space="0"/>
              <w:right w:val="single" w:color="auto" w:sz="4" w:space="0"/>
            </w:tcBorders>
            <w:vAlign w:val="center"/>
          </w:tcPr>
          <w:p w14:paraId="05B33748">
            <w:pPr>
              <w:spacing w:line="360" w:lineRule="auto"/>
              <w:jc w:val="center"/>
              <w:rPr>
                <w:rFonts w:hint="eastAsia" w:ascii="仿宋" w:hAnsi="仿宋" w:eastAsia="仿宋" w:cs="仿宋"/>
                <w:color w:val="auto"/>
                <w:sz w:val="24"/>
                <w:highlight w:val="none"/>
              </w:rPr>
            </w:pPr>
          </w:p>
        </w:tc>
      </w:tr>
      <w:tr w14:paraId="16A66BCD">
        <w:tblPrEx>
          <w:tblBorders>
            <w:top w:val="single" w:color="111111" w:sz="4" w:space="0"/>
            <w:left w:val="single" w:color="111111" w:sz="4" w:space="0"/>
            <w:bottom w:val="single" w:color="111111" w:sz="4" w:space="0"/>
            <w:right w:val="single" w:color="111111" w:sz="4" w:space="0"/>
            <w:insideH w:val="single" w:color="111111" w:sz="4" w:space="0"/>
            <w:insideV w:val="single" w:color="111111" w:sz="4" w:space="0"/>
          </w:tblBorders>
          <w:tblCellMar>
            <w:top w:w="0" w:type="dxa"/>
            <w:left w:w="108" w:type="dxa"/>
            <w:bottom w:w="0" w:type="dxa"/>
            <w:right w:w="108" w:type="dxa"/>
          </w:tblCellMar>
        </w:tblPrEx>
        <w:trPr>
          <w:trHeight w:val="567" w:hRule="atLeast"/>
          <w:jc w:val="center"/>
        </w:trPr>
        <w:tc>
          <w:tcPr>
            <w:tcW w:w="1568" w:type="dxa"/>
            <w:gridSpan w:val="2"/>
            <w:tcBorders>
              <w:top w:val="single" w:color="auto" w:sz="4" w:space="0"/>
              <w:left w:val="single" w:color="auto" w:sz="4" w:space="0"/>
              <w:bottom w:val="single" w:color="auto" w:sz="4" w:space="0"/>
              <w:right w:val="single" w:color="auto" w:sz="4" w:space="0"/>
            </w:tcBorders>
            <w:vAlign w:val="center"/>
          </w:tcPr>
          <w:p w14:paraId="57D32B35">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合计</w:t>
            </w:r>
          </w:p>
        </w:tc>
        <w:tc>
          <w:tcPr>
            <w:tcW w:w="674" w:type="dxa"/>
            <w:tcBorders>
              <w:top w:val="single" w:color="auto" w:sz="4" w:space="0"/>
              <w:left w:val="single" w:color="auto" w:sz="4" w:space="0"/>
              <w:bottom w:val="single" w:color="auto" w:sz="4" w:space="0"/>
              <w:right w:val="single" w:color="auto" w:sz="4" w:space="0"/>
            </w:tcBorders>
            <w:vAlign w:val="center"/>
          </w:tcPr>
          <w:p w14:paraId="3501601D">
            <w:pPr>
              <w:spacing w:line="360" w:lineRule="auto"/>
              <w:jc w:val="center"/>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13</w:t>
            </w:r>
          </w:p>
        </w:tc>
        <w:tc>
          <w:tcPr>
            <w:tcW w:w="5865" w:type="dxa"/>
            <w:tcBorders>
              <w:top w:val="single" w:color="auto" w:sz="4" w:space="0"/>
              <w:left w:val="single" w:color="auto" w:sz="4" w:space="0"/>
              <w:bottom w:val="single" w:color="auto" w:sz="4" w:space="0"/>
              <w:right w:val="single" w:color="auto" w:sz="4" w:space="0"/>
            </w:tcBorders>
            <w:vAlign w:val="center"/>
          </w:tcPr>
          <w:p w14:paraId="3CE3F70B">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得分合计</w:t>
            </w:r>
          </w:p>
        </w:tc>
        <w:tc>
          <w:tcPr>
            <w:tcW w:w="996" w:type="dxa"/>
            <w:tcBorders>
              <w:top w:val="single" w:color="auto" w:sz="4" w:space="0"/>
              <w:left w:val="single" w:color="auto" w:sz="4" w:space="0"/>
              <w:bottom w:val="single" w:color="auto" w:sz="4" w:space="0"/>
              <w:right w:val="single" w:color="auto" w:sz="4" w:space="0"/>
            </w:tcBorders>
            <w:vAlign w:val="center"/>
          </w:tcPr>
          <w:p w14:paraId="6FBC3103">
            <w:pPr>
              <w:spacing w:line="360" w:lineRule="auto"/>
              <w:jc w:val="center"/>
              <w:rPr>
                <w:rFonts w:hint="eastAsia" w:ascii="仿宋" w:hAnsi="仿宋" w:eastAsia="仿宋" w:cs="仿宋"/>
                <w:color w:val="auto"/>
                <w:sz w:val="24"/>
                <w:highlight w:val="none"/>
              </w:rPr>
            </w:pPr>
          </w:p>
        </w:tc>
      </w:tr>
    </w:tbl>
    <w:p w14:paraId="4E67B15E">
      <w:pPr>
        <w:spacing w:line="360" w:lineRule="auto"/>
        <w:rPr>
          <w:rFonts w:hint="eastAsia" w:ascii="仿宋" w:hAnsi="仿宋" w:eastAsia="仿宋" w:cs="仿宋"/>
          <w:color w:val="auto"/>
          <w:sz w:val="24"/>
          <w:highlight w:val="none"/>
        </w:rPr>
      </w:pPr>
    </w:p>
    <w:p w14:paraId="538E8540">
      <w:pPr>
        <w:spacing w:line="360" w:lineRule="auto"/>
        <w:rPr>
          <w:rFonts w:hint="eastAsia" w:ascii="仿宋" w:hAnsi="仿宋" w:eastAsia="仿宋" w:cs="仿宋"/>
          <w:color w:val="auto"/>
          <w:sz w:val="24"/>
          <w:highlight w:val="none"/>
        </w:rPr>
      </w:pPr>
    </w:p>
    <w:p w14:paraId="6F8F0604">
      <w:pPr>
        <w:spacing w:line="360" w:lineRule="auto"/>
        <w:rPr>
          <w:rFonts w:hint="eastAsia" w:ascii="仿宋" w:hAnsi="仿宋" w:eastAsia="仿宋" w:cs="仿宋"/>
          <w:color w:val="auto"/>
          <w:sz w:val="24"/>
          <w:highlight w:val="none"/>
        </w:rPr>
      </w:pPr>
    </w:p>
    <w:p w14:paraId="7A8445DB">
      <w:pPr>
        <w:spacing w:line="360" w:lineRule="auto"/>
        <w:rPr>
          <w:rFonts w:hint="eastAsia" w:ascii="仿宋" w:hAnsi="仿宋" w:eastAsia="仿宋" w:cs="仿宋"/>
          <w:color w:val="auto"/>
          <w:sz w:val="24"/>
          <w:highlight w:val="none"/>
        </w:rPr>
      </w:pPr>
    </w:p>
    <w:p w14:paraId="22F32416">
      <w:pPr>
        <w:spacing w:line="360" w:lineRule="auto"/>
        <w:rPr>
          <w:rFonts w:hint="eastAsia" w:ascii="仿宋" w:hAnsi="仿宋" w:eastAsia="仿宋" w:cs="仿宋"/>
          <w:color w:val="auto"/>
          <w:sz w:val="24"/>
          <w:highlight w:val="none"/>
        </w:rPr>
      </w:pPr>
    </w:p>
    <w:p w14:paraId="2E2DB361">
      <w:pPr>
        <w:spacing w:line="360" w:lineRule="auto"/>
        <w:rPr>
          <w:rFonts w:hint="eastAsia" w:ascii="仿宋" w:hAnsi="仿宋" w:eastAsia="仿宋" w:cs="仿宋"/>
          <w:color w:val="auto"/>
          <w:sz w:val="24"/>
          <w:highlight w:val="none"/>
        </w:rPr>
      </w:pPr>
    </w:p>
    <w:p w14:paraId="3E51653A">
      <w:pPr>
        <w:spacing w:line="360" w:lineRule="auto"/>
        <w:rPr>
          <w:rFonts w:hint="eastAsia" w:ascii="仿宋" w:hAnsi="仿宋" w:eastAsia="仿宋" w:cs="仿宋"/>
          <w:color w:val="auto"/>
          <w:sz w:val="24"/>
          <w:highlight w:val="none"/>
        </w:rPr>
      </w:pPr>
    </w:p>
    <w:p w14:paraId="6EF5C432">
      <w:pPr>
        <w:pStyle w:val="2"/>
        <w:spacing w:line="360" w:lineRule="auto"/>
        <w:rPr>
          <w:rFonts w:hint="eastAsia" w:ascii="仿宋" w:hAnsi="仿宋" w:eastAsia="仿宋" w:cs="仿宋"/>
          <w:color w:val="auto"/>
          <w:sz w:val="24"/>
          <w:highlight w:val="none"/>
        </w:rPr>
      </w:pPr>
    </w:p>
    <w:p w14:paraId="26C66FA5">
      <w:pPr>
        <w:pStyle w:val="2"/>
        <w:spacing w:line="360" w:lineRule="auto"/>
        <w:rPr>
          <w:rFonts w:hint="eastAsia" w:ascii="仿宋" w:hAnsi="仿宋" w:eastAsia="仿宋" w:cs="仿宋"/>
          <w:color w:val="auto"/>
          <w:sz w:val="24"/>
          <w:highlight w:val="none"/>
        </w:rPr>
      </w:pPr>
    </w:p>
    <w:p w14:paraId="0C325319">
      <w:pPr>
        <w:pStyle w:val="2"/>
        <w:spacing w:line="360" w:lineRule="auto"/>
        <w:rPr>
          <w:rFonts w:hint="eastAsia" w:ascii="仿宋" w:hAnsi="仿宋" w:eastAsia="仿宋" w:cs="仿宋"/>
          <w:color w:val="auto"/>
          <w:sz w:val="24"/>
          <w:highlight w:val="none"/>
        </w:rPr>
      </w:pPr>
    </w:p>
    <w:p w14:paraId="74795E0D">
      <w:pPr>
        <w:pStyle w:val="2"/>
        <w:spacing w:line="360" w:lineRule="auto"/>
        <w:rPr>
          <w:rFonts w:hint="eastAsia" w:ascii="仿宋" w:hAnsi="仿宋" w:eastAsia="仿宋" w:cs="仿宋"/>
          <w:color w:val="auto"/>
          <w:sz w:val="24"/>
          <w:highlight w:val="none"/>
        </w:rPr>
      </w:pPr>
    </w:p>
    <w:p w14:paraId="41C67B52">
      <w:pPr>
        <w:pStyle w:val="2"/>
        <w:spacing w:line="360" w:lineRule="auto"/>
        <w:rPr>
          <w:rFonts w:hint="eastAsia" w:ascii="仿宋" w:hAnsi="仿宋" w:eastAsia="仿宋" w:cs="仿宋"/>
          <w:color w:val="auto"/>
          <w:sz w:val="24"/>
          <w:highlight w:val="none"/>
        </w:rPr>
      </w:pPr>
    </w:p>
    <w:p w14:paraId="7C68C844">
      <w:pPr>
        <w:pStyle w:val="2"/>
        <w:spacing w:line="360" w:lineRule="auto"/>
        <w:rPr>
          <w:rFonts w:hint="eastAsia" w:ascii="仿宋" w:hAnsi="仿宋" w:eastAsia="仿宋" w:cs="仿宋"/>
          <w:color w:val="auto"/>
          <w:sz w:val="24"/>
          <w:highlight w:val="none"/>
        </w:rPr>
      </w:pPr>
    </w:p>
    <w:p w14:paraId="6FECC2B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技术评审：</w:t>
      </w:r>
    </w:p>
    <w:tbl>
      <w:tblPr>
        <w:tblStyle w:val="10"/>
        <w:tblW w:w="9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445"/>
        <w:gridCol w:w="1032"/>
        <w:gridCol w:w="535"/>
        <w:gridCol w:w="6084"/>
        <w:gridCol w:w="996"/>
      </w:tblGrid>
      <w:tr w14:paraId="4A145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850" w:hRule="atLeast"/>
          <w:jc w:val="center"/>
        </w:trPr>
        <w:tc>
          <w:tcPr>
            <w:tcW w:w="445" w:type="dxa"/>
            <w:shd w:val="clear" w:color="000000" w:fill="auto"/>
            <w:vAlign w:val="center"/>
          </w:tcPr>
          <w:p w14:paraId="72ABC618">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032" w:type="dxa"/>
            <w:shd w:val="clear" w:color="000000" w:fill="auto"/>
            <w:vAlign w:val="center"/>
          </w:tcPr>
          <w:p w14:paraId="6818CA2A">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评分指标</w:t>
            </w:r>
          </w:p>
        </w:tc>
        <w:tc>
          <w:tcPr>
            <w:tcW w:w="535" w:type="dxa"/>
            <w:shd w:val="clear" w:color="000000" w:fill="auto"/>
            <w:vAlign w:val="center"/>
          </w:tcPr>
          <w:p w14:paraId="10B33131">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6084" w:type="dxa"/>
            <w:shd w:val="clear" w:color="000000" w:fill="auto"/>
            <w:vAlign w:val="center"/>
          </w:tcPr>
          <w:p w14:paraId="3695F100">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评分范围</w:t>
            </w:r>
          </w:p>
        </w:tc>
        <w:tc>
          <w:tcPr>
            <w:tcW w:w="996" w:type="dxa"/>
            <w:shd w:val="clear" w:color="000000" w:fill="auto"/>
            <w:vAlign w:val="center"/>
          </w:tcPr>
          <w:p w14:paraId="02CA87F4">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供应商</w:t>
            </w:r>
          </w:p>
          <w:p w14:paraId="0F1B5345">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w:t>
            </w:r>
          </w:p>
        </w:tc>
      </w:tr>
      <w:tr w14:paraId="4ACD2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3" w:hRule="atLeast"/>
          <w:jc w:val="center"/>
        </w:trPr>
        <w:tc>
          <w:tcPr>
            <w:tcW w:w="445" w:type="dxa"/>
            <w:shd w:val="clear" w:color="000000" w:fill="auto"/>
            <w:vAlign w:val="center"/>
          </w:tcPr>
          <w:p w14:paraId="577A25C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032" w:type="dxa"/>
            <w:shd w:val="clear" w:color="000000" w:fill="auto"/>
            <w:vAlign w:val="center"/>
          </w:tcPr>
          <w:p w14:paraId="3095385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一般条款响应程度</w:t>
            </w:r>
          </w:p>
        </w:tc>
        <w:tc>
          <w:tcPr>
            <w:tcW w:w="535" w:type="dxa"/>
            <w:shd w:val="clear" w:color="000000" w:fill="auto"/>
            <w:vAlign w:val="center"/>
          </w:tcPr>
          <w:p w14:paraId="42C36E56">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p>
        </w:tc>
        <w:tc>
          <w:tcPr>
            <w:tcW w:w="6084" w:type="dxa"/>
            <w:shd w:val="clear" w:color="000000" w:fill="auto"/>
            <w:vAlign w:val="center"/>
          </w:tcPr>
          <w:p w14:paraId="3F23548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一般条款（非</w:t>
            </w:r>
            <w:r>
              <w:rPr>
                <w:rFonts w:hint="eastAsia" w:ascii="仿宋" w:hAnsi="仿宋" w:eastAsia="仿宋" w:cs="仿宋"/>
                <w:color w:val="auto"/>
                <w:sz w:val="24"/>
                <w:highlight w:val="none"/>
              </w:rPr>
              <w:t>“▲”号条款</w:t>
            </w:r>
            <w:r>
              <w:rPr>
                <w:rFonts w:hint="eastAsia" w:ascii="仿宋" w:hAnsi="仿宋" w:eastAsia="仿宋" w:cs="仿宋"/>
                <w:color w:val="auto"/>
                <w:sz w:val="24"/>
                <w:highlight w:val="none"/>
                <w:lang w:val="en-US" w:eastAsia="zh-CN"/>
              </w:rPr>
              <w:t>）每有一条不满足，扣1分，最高扣5</w:t>
            </w:r>
            <w:r>
              <w:rPr>
                <w:rFonts w:hint="eastAsia" w:ascii="仿宋" w:hAnsi="仿宋" w:eastAsia="仿宋" w:cs="仿宋"/>
                <w:color w:val="auto"/>
                <w:sz w:val="24"/>
                <w:highlight w:val="none"/>
              </w:rPr>
              <w:t>。注：以“技术和服务要求响应表”及应招标文件要求提供的相关证明材料作为评审依据。</w:t>
            </w:r>
          </w:p>
        </w:tc>
        <w:tc>
          <w:tcPr>
            <w:tcW w:w="996" w:type="dxa"/>
            <w:shd w:val="clear" w:color="000000" w:fill="auto"/>
            <w:vAlign w:val="center"/>
          </w:tcPr>
          <w:p w14:paraId="19BDB6AF">
            <w:pPr>
              <w:spacing w:line="360" w:lineRule="auto"/>
              <w:rPr>
                <w:rFonts w:hint="eastAsia" w:ascii="仿宋" w:hAnsi="仿宋" w:eastAsia="仿宋" w:cs="仿宋"/>
                <w:b/>
                <w:color w:val="auto"/>
                <w:sz w:val="24"/>
                <w:highlight w:val="none"/>
              </w:rPr>
            </w:pPr>
          </w:p>
        </w:tc>
      </w:tr>
      <w:tr w14:paraId="20B36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3" w:hRule="atLeast"/>
          <w:jc w:val="center"/>
        </w:trPr>
        <w:tc>
          <w:tcPr>
            <w:tcW w:w="445" w:type="dxa"/>
            <w:shd w:val="clear" w:color="000000" w:fill="auto"/>
            <w:vAlign w:val="center"/>
          </w:tcPr>
          <w:p w14:paraId="4887B04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032" w:type="dxa"/>
            <w:shd w:val="clear" w:color="000000" w:fill="auto"/>
            <w:vAlign w:val="center"/>
          </w:tcPr>
          <w:p w14:paraId="061BE36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重要条款响应程度</w:t>
            </w:r>
          </w:p>
        </w:tc>
        <w:tc>
          <w:tcPr>
            <w:tcW w:w="535" w:type="dxa"/>
            <w:shd w:val="clear" w:color="000000" w:fill="auto"/>
            <w:vAlign w:val="center"/>
          </w:tcPr>
          <w:p w14:paraId="7C2C9B94">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w:t>
            </w:r>
          </w:p>
        </w:tc>
        <w:tc>
          <w:tcPr>
            <w:tcW w:w="6084" w:type="dxa"/>
            <w:shd w:val="clear" w:color="000000" w:fill="auto"/>
            <w:vAlign w:val="center"/>
          </w:tcPr>
          <w:p w14:paraId="3C803BF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本项目“▲”号条款</w:t>
            </w:r>
            <w:r>
              <w:rPr>
                <w:rFonts w:hint="eastAsia" w:ascii="仿宋" w:hAnsi="仿宋" w:eastAsia="仿宋" w:cs="仿宋"/>
                <w:color w:val="auto"/>
                <w:sz w:val="24"/>
                <w:highlight w:val="none"/>
                <w:lang w:val="en-US" w:eastAsia="zh-CN"/>
              </w:rPr>
              <w:t>每有一条不满足，扣3分，最高扣15分</w:t>
            </w:r>
            <w:r>
              <w:rPr>
                <w:rFonts w:hint="eastAsia" w:ascii="仿宋" w:hAnsi="仿宋" w:eastAsia="仿宋" w:cs="仿宋"/>
                <w:color w:val="auto"/>
                <w:sz w:val="24"/>
                <w:highlight w:val="none"/>
              </w:rPr>
              <w:t>。注：</w:t>
            </w:r>
            <w:r>
              <w:rPr>
                <w:rFonts w:hint="eastAsia" w:ascii="仿宋" w:hAnsi="仿宋" w:eastAsia="仿宋" w:cs="仿宋"/>
                <w:color w:val="auto"/>
                <w:sz w:val="24"/>
                <w:highlight w:val="none"/>
                <w:lang w:val="en-US" w:eastAsia="zh-CN"/>
              </w:rPr>
              <w:t>提供相关证明材料为评审依据，证明材料包括但不限于说明书、白皮书、彩页等</w:t>
            </w:r>
            <w:r>
              <w:rPr>
                <w:rFonts w:hint="eastAsia" w:ascii="仿宋" w:hAnsi="仿宋" w:eastAsia="仿宋" w:cs="仿宋"/>
                <w:color w:val="auto"/>
                <w:sz w:val="24"/>
                <w:highlight w:val="none"/>
              </w:rPr>
              <w:t>。</w:t>
            </w:r>
          </w:p>
        </w:tc>
        <w:tc>
          <w:tcPr>
            <w:tcW w:w="996" w:type="dxa"/>
            <w:shd w:val="clear" w:color="000000" w:fill="auto"/>
            <w:vAlign w:val="center"/>
          </w:tcPr>
          <w:p w14:paraId="7C137D6F">
            <w:pPr>
              <w:spacing w:line="360" w:lineRule="auto"/>
              <w:rPr>
                <w:rFonts w:hint="eastAsia" w:ascii="仿宋" w:hAnsi="仿宋" w:eastAsia="仿宋" w:cs="仿宋"/>
                <w:b/>
                <w:color w:val="auto"/>
                <w:sz w:val="24"/>
                <w:highlight w:val="none"/>
              </w:rPr>
            </w:pPr>
          </w:p>
        </w:tc>
      </w:tr>
      <w:tr w14:paraId="5561B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445" w:type="dxa"/>
            <w:shd w:val="clear" w:color="000000" w:fill="auto"/>
            <w:vAlign w:val="center"/>
          </w:tcPr>
          <w:p w14:paraId="736E58F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032" w:type="dxa"/>
            <w:shd w:val="clear" w:color="000000" w:fill="auto"/>
            <w:vAlign w:val="center"/>
          </w:tcPr>
          <w:p w14:paraId="615053D5">
            <w:pPr>
              <w:spacing w:line="360" w:lineRule="auto"/>
              <w:rPr>
                <w:rFonts w:hint="eastAsia" w:ascii="仿宋" w:hAnsi="仿宋" w:eastAsia="仿宋" w:cs="仿宋"/>
                <w:color w:val="auto"/>
                <w:sz w:val="24"/>
                <w:highlight w:val="none"/>
              </w:rPr>
            </w:pPr>
          </w:p>
          <w:p w14:paraId="211347F6">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选型配置</w:t>
            </w:r>
          </w:p>
        </w:tc>
        <w:tc>
          <w:tcPr>
            <w:tcW w:w="535" w:type="dxa"/>
            <w:shd w:val="clear" w:color="000000" w:fill="auto"/>
            <w:vAlign w:val="center"/>
          </w:tcPr>
          <w:p w14:paraId="021BB397">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6084" w:type="dxa"/>
            <w:shd w:val="clear" w:color="000000" w:fill="auto"/>
            <w:vAlign w:val="center"/>
          </w:tcPr>
          <w:p w14:paraId="415BC08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1.所投设备配置、选型及性能完全满足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需求且有相关证明材料证明，供货及时，能有稳定供货渠道的得</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w:t>
            </w:r>
          </w:p>
          <w:p w14:paraId="1AEBF7D1">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2.所投设备配置、选型、性能及供货能力基本满足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需求，但存在不足的得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7CD5274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3.所投设备配置、选型及供货能力基本不满足</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 xml:space="preserve">需求的得 </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分。</w:t>
            </w:r>
          </w:p>
          <w:p w14:paraId="2DA35DA3">
            <w:pPr>
              <w:pStyle w:val="2"/>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（备注：提供设备配置清单或体现供货能力的相关证明材料，如相关认证、技术说明书或有效检验报告等证明材料）</w:t>
            </w:r>
          </w:p>
        </w:tc>
        <w:tc>
          <w:tcPr>
            <w:tcW w:w="996" w:type="dxa"/>
            <w:shd w:val="clear" w:color="000000" w:fill="auto"/>
            <w:vAlign w:val="center"/>
          </w:tcPr>
          <w:p w14:paraId="71373C10">
            <w:pPr>
              <w:spacing w:line="360" w:lineRule="auto"/>
              <w:rPr>
                <w:rFonts w:hint="eastAsia" w:ascii="仿宋" w:hAnsi="仿宋" w:eastAsia="仿宋" w:cs="仿宋"/>
                <w:color w:val="auto"/>
                <w:sz w:val="24"/>
                <w:highlight w:val="none"/>
              </w:rPr>
            </w:pPr>
          </w:p>
        </w:tc>
      </w:tr>
      <w:tr w14:paraId="1531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445" w:type="dxa"/>
            <w:shd w:val="clear" w:color="000000" w:fill="auto"/>
            <w:vAlign w:val="center"/>
          </w:tcPr>
          <w:p w14:paraId="206C59AC">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p>
        </w:tc>
        <w:tc>
          <w:tcPr>
            <w:tcW w:w="1032" w:type="dxa"/>
            <w:shd w:val="clear" w:color="000000" w:fill="auto"/>
            <w:vAlign w:val="center"/>
          </w:tcPr>
          <w:p w14:paraId="08F4EB9E">
            <w:pPr>
              <w:spacing w:line="360" w:lineRule="auto"/>
              <w:rPr>
                <w:rFonts w:hint="eastAsia" w:ascii="仿宋" w:hAnsi="仿宋" w:eastAsia="仿宋" w:cs="仿宋"/>
                <w:color w:val="auto"/>
                <w:sz w:val="24"/>
                <w:highlight w:val="none"/>
              </w:rPr>
            </w:pPr>
          </w:p>
          <w:p w14:paraId="18EA4C5C">
            <w:pPr>
              <w:spacing w:line="360" w:lineRule="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设备技术支撑程度和可靠性</w:t>
            </w:r>
          </w:p>
        </w:tc>
        <w:tc>
          <w:tcPr>
            <w:tcW w:w="535" w:type="dxa"/>
            <w:shd w:val="clear" w:color="000000" w:fill="auto"/>
            <w:vAlign w:val="center"/>
          </w:tcPr>
          <w:p w14:paraId="6F59D23B">
            <w:pPr>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lang w:val="en-US" w:eastAsia="zh-CN"/>
              </w:rPr>
              <w:t>15</w:t>
            </w:r>
          </w:p>
        </w:tc>
        <w:tc>
          <w:tcPr>
            <w:tcW w:w="6084" w:type="dxa"/>
            <w:shd w:val="clear" w:color="000000" w:fill="auto"/>
            <w:vAlign w:val="center"/>
          </w:tcPr>
          <w:p w14:paraId="7C9F249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根据供应商所投设备的技术和可靠性（技术支撑程度、工作原理，自动化程度、运行稳定性程度等）进行评审（须提供相关说明/证明材料）。</w:t>
            </w:r>
          </w:p>
          <w:p w14:paraId="72B469B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1.所投设备技术可靠性强的，有较强的技术支持，工作原理科学合理，有较强的自动化能力，稳定运行性较强，得</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p w14:paraId="60A0280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2.所投设备技术可靠性一般，有稳定的技术支持，工作原理较为科学合理，能自动化使用，有一定的稳定运行性，得</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w:t>
            </w:r>
          </w:p>
          <w:p w14:paraId="4F162AF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3.所投设备技术一般，技术支持较为一般，工作原理简单，自动化能力一般，运行性较一般，得</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p w14:paraId="2FFF5200">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4.所投设备的技术差，可靠性差的，没有技术支持，工作原理较差，自动化能力较差，得1分；</w:t>
            </w:r>
          </w:p>
          <w:p w14:paraId="4546F7AE">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5.不提供相关说明/证明材料的，得0分。</w:t>
            </w:r>
          </w:p>
        </w:tc>
        <w:tc>
          <w:tcPr>
            <w:tcW w:w="996" w:type="dxa"/>
            <w:shd w:val="clear" w:color="000000" w:fill="auto"/>
            <w:vAlign w:val="center"/>
          </w:tcPr>
          <w:p w14:paraId="2DB4FCA9">
            <w:pPr>
              <w:spacing w:line="360" w:lineRule="auto"/>
              <w:rPr>
                <w:rFonts w:hint="eastAsia" w:ascii="仿宋" w:hAnsi="仿宋" w:eastAsia="仿宋" w:cs="仿宋"/>
                <w:color w:val="auto"/>
                <w:sz w:val="24"/>
                <w:highlight w:val="none"/>
              </w:rPr>
            </w:pPr>
          </w:p>
        </w:tc>
      </w:tr>
      <w:tr w14:paraId="246ED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279" w:hRule="atLeast"/>
          <w:jc w:val="center"/>
        </w:trPr>
        <w:tc>
          <w:tcPr>
            <w:tcW w:w="445" w:type="dxa"/>
            <w:shd w:val="clear" w:color="000000" w:fill="auto"/>
            <w:vAlign w:val="center"/>
          </w:tcPr>
          <w:p w14:paraId="6A757E80">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5</w:t>
            </w:r>
          </w:p>
        </w:tc>
        <w:tc>
          <w:tcPr>
            <w:tcW w:w="1032" w:type="dxa"/>
            <w:shd w:val="clear" w:color="000000" w:fill="auto"/>
            <w:vAlign w:val="center"/>
          </w:tcPr>
          <w:p w14:paraId="0F71179A">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设备操作的实用性、拓展性</w:t>
            </w:r>
          </w:p>
        </w:tc>
        <w:tc>
          <w:tcPr>
            <w:tcW w:w="535" w:type="dxa"/>
            <w:shd w:val="clear" w:color="000000" w:fill="auto"/>
            <w:vAlign w:val="center"/>
          </w:tcPr>
          <w:p w14:paraId="20DB4DE5">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w:t>
            </w:r>
          </w:p>
        </w:tc>
        <w:tc>
          <w:tcPr>
            <w:tcW w:w="6084" w:type="dxa"/>
            <w:shd w:val="clear" w:color="000000" w:fill="auto"/>
            <w:vAlign w:val="center"/>
          </w:tcPr>
          <w:p w14:paraId="10522D6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根据供应商所投设备</w:t>
            </w:r>
            <w:r>
              <w:rPr>
                <w:rFonts w:hint="eastAsia" w:ascii="仿宋" w:hAnsi="仿宋" w:eastAsia="仿宋" w:cs="仿宋"/>
                <w:color w:val="auto"/>
                <w:sz w:val="24"/>
                <w:highlight w:val="none"/>
                <w:lang w:val="zh-CN"/>
              </w:rPr>
              <w:t>操作的实用性（</w:t>
            </w:r>
            <w:r>
              <w:rPr>
                <w:rFonts w:hint="eastAsia" w:ascii="仿宋" w:hAnsi="仿宋" w:eastAsia="仿宋" w:cs="仿宋"/>
                <w:color w:val="auto"/>
                <w:sz w:val="24"/>
                <w:highlight w:val="none"/>
              </w:rPr>
              <w:t>操作便利性、维修简易性</w:t>
            </w:r>
            <w:r>
              <w:rPr>
                <w:rFonts w:hint="eastAsia" w:ascii="仿宋" w:hAnsi="仿宋" w:eastAsia="仿宋" w:cs="仿宋"/>
                <w:color w:val="auto"/>
                <w:sz w:val="24"/>
                <w:highlight w:val="none"/>
                <w:lang w:val="zh-CN"/>
              </w:rPr>
              <w:t>）、拓展性（功能后续可否随技术、采购人新需求等原因进行升级）</w:t>
            </w:r>
            <w:r>
              <w:rPr>
                <w:rFonts w:hint="eastAsia" w:ascii="仿宋" w:hAnsi="仿宋" w:eastAsia="仿宋" w:cs="仿宋"/>
                <w:color w:val="auto"/>
                <w:sz w:val="24"/>
                <w:highlight w:val="none"/>
              </w:rPr>
              <w:t>进行评审（须提供相关说明/证明材料）。</w:t>
            </w:r>
          </w:p>
          <w:p w14:paraId="03CEF1A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1.所投设备</w:t>
            </w:r>
            <w:r>
              <w:rPr>
                <w:rFonts w:hint="eastAsia" w:ascii="仿宋" w:hAnsi="仿宋" w:eastAsia="仿宋" w:cs="仿宋"/>
                <w:color w:val="auto"/>
                <w:sz w:val="24"/>
                <w:highlight w:val="none"/>
                <w:lang w:val="zh-CN"/>
              </w:rPr>
              <w:t>操作</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lang w:val="zh-CN"/>
              </w:rPr>
              <w:t>实用性、拓展性</w:t>
            </w:r>
            <w:r>
              <w:rPr>
                <w:rFonts w:hint="eastAsia" w:ascii="仿宋" w:hAnsi="仿宋" w:eastAsia="仿宋" w:cs="仿宋"/>
                <w:color w:val="auto"/>
                <w:sz w:val="24"/>
                <w:highlight w:val="none"/>
              </w:rPr>
              <w:t>强的</w:t>
            </w:r>
            <w:r>
              <w:rPr>
                <w:rFonts w:hint="eastAsia" w:ascii="仿宋" w:hAnsi="仿宋" w:eastAsia="仿宋" w:cs="仿宋"/>
                <w:color w:val="auto"/>
                <w:sz w:val="24"/>
                <w:highlight w:val="none"/>
                <w:lang w:val="zh-CN"/>
              </w:rPr>
              <w:t>，得</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p w14:paraId="4F85C3D9">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2.所投设备</w:t>
            </w:r>
            <w:r>
              <w:rPr>
                <w:rFonts w:hint="eastAsia" w:ascii="仿宋" w:hAnsi="仿宋" w:eastAsia="仿宋" w:cs="仿宋"/>
                <w:color w:val="auto"/>
                <w:sz w:val="24"/>
                <w:highlight w:val="none"/>
                <w:lang w:val="zh-CN"/>
              </w:rPr>
              <w:t>操作的实用性、拓展性</w:t>
            </w:r>
            <w:r>
              <w:rPr>
                <w:rFonts w:hint="eastAsia" w:ascii="仿宋" w:hAnsi="仿宋" w:eastAsia="仿宋" w:cs="仿宋"/>
                <w:color w:val="auto"/>
                <w:sz w:val="24"/>
                <w:highlight w:val="none"/>
              </w:rPr>
              <w:t>较强</w:t>
            </w:r>
            <w:r>
              <w:rPr>
                <w:rFonts w:hint="eastAsia" w:ascii="仿宋" w:hAnsi="仿宋" w:eastAsia="仿宋" w:cs="仿宋"/>
                <w:color w:val="auto"/>
                <w:sz w:val="24"/>
                <w:highlight w:val="none"/>
                <w:lang w:val="zh-CN"/>
              </w:rPr>
              <w:t>的，得</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分；</w:t>
            </w:r>
          </w:p>
          <w:p w14:paraId="6411280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3.所投设备</w:t>
            </w:r>
            <w:r>
              <w:rPr>
                <w:rFonts w:hint="eastAsia" w:ascii="仿宋" w:hAnsi="仿宋" w:eastAsia="仿宋" w:cs="仿宋"/>
                <w:color w:val="auto"/>
                <w:sz w:val="24"/>
                <w:highlight w:val="none"/>
                <w:lang w:val="zh-CN"/>
              </w:rPr>
              <w:t>操作的实用性、拓展性一般的，得</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p w14:paraId="123F57B5">
            <w:pPr>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4.所投设备</w:t>
            </w:r>
            <w:r>
              <w:rPr>
                <w:rFonts w:hint="eastAsia" w:ascii="仿宋" w:hAnsi="仿宋" w:eastAsia="仿宋" w:cs="仿宋"/>
                <w:color w:val="auto"/>
                <w:sz w:val="24"/>
                <w:highlight w:val="none"/>
                <w:lang w:val="zh-CN"/>
              </w:rPr>
              <w:t>操作的实用性、拓展性差</w:t>
            </w:r>
            <w:r>
              <w:rPr>
                <w:rFonts w:hint="eastAsia" w:ascii="仿宋" w:hAnsi="仿宋" w:eastAsia="仿宋" w:cs="仿宋"/>
                <w:color w:val="auto"/>
                <w:sz w:val="24"/>
                <w:highlight w:val="none"/>
              </w:rPr>
              <w:t>或不提供相关说明/证明材料</w:t>
            </w:r>
            <w:r>
              <w:rPr>
                <w:rFonts w:hint="eastAsia" w:ascii="仿宋" w:hAnsi="仿宋" w:eastAsia="仿宋" w:cs="仿宋"/>
                <w:color w:val="auto"/>
                <w:sz w:val="24"/>
                <w:highlight w:val="none"/>
                <w:lang w:val="zh-CN"/>
              </w:rPr>
              <w:t>的，得</w:t>
            </w:r>
            <w:r>
              <w:rPr>
                <w:rFonts w:hint="eastAsia" w:ascii="仿宋" w:hAnsi="仿宋" w:eastAsia="仿宋" w:cs="仿宋"/>
                <w:color w:val="auto"/>
                <w:sz w:val="24"/>
                <w:highlight w:val="none"/>
              </w:rPr>
              <w:t>0分。</w:t>
            </w:r>
          </w:p>
        </w:tc>
        <w:tc>
          <w:tcPr>
            <w:tcW w:w="996" w:type="dxa"/>
            <w:shd w:val="clear" w:color="000000" w:fill="auto"/>
            <w:vAlign w:val="center"/>
          </w:tcPr>
          <w:p w14:paraId="35E8BDF9">
            <w:pPr>
              <w:spacing w:line="360" w:lineRule="auto"/>
              <w:rPr>
                <w:rFonts w:hint="eastAsia" w:ascii="仿宋" w:hAnsi="仿宋" w:eastAsia="仿宋" w:cs="仿宋"/>
                <w:color w:val="auto"/>
                <w:sz w:val="24"/>
                <w:highlight w:val="none"/>
              </w:rPr>
            </w:pPr>
          </w:p>
        </w:tc>
      </w:tr>
      <w:tr w14:paraId="5417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77" w:hRule="atLeast"/>
          <w:jc w:val="center"/>
        </w:trPr>
        <w:tc>
          <w:tcPr>
            <w:tcW w:w="1477" w:type="dxa"/>
            <w:gridSpan w:val="2"/>
            <w:shd w:val="clear" w:color="000000" w:fill="auto"/>
            <w:vAlign w:val="center"/>
          </w:tcPr>
          <w:p w14:paraId="092457BD">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合计</w:t>
            </w:r>
          </w:p>
        </w:tc>
        <w:tc>
          <w:tcPr>
            <w:tcW w:w="535" w:type="dxa"/>
            <w:shd w:val="clear" w:color="000000" w:fill="auto"/>
            <w:vAlign w:val="center"/>
          </w:tcPr>
          <w:p w14:paraId="40B64D1A">
            <w:pPr>
              <w:spacing w:line="360" w:lineRule="auto"/>
              <w:jc w:val="center"/>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57</w:t>
            </w:r>
          </w:p>
        </w:tc>
        <w:tc>
          <w:tcPr>
            <w:tcW w:w="6084" w:type="dxa"/>
            <w:shd w:val="clear" w:color="000000" w:fill="auto"/>
            <w:vAlign w:val="center"/>
          </w:tcPr>
          <w:p w14:paraId="19C83866">
            <w:pPr>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得分合计</w:t>
            </w:r>
          </w:p>
        </w:tc>
        <w:tc>
          <w:tcPr>
            <w:tcW w:w="996" w:type="dxa"/>
            <w:shd w:val="clear" w:color="000000" w:fill="auto"/>
            <w:vAlign w:val="center"/>
          </w:tcPr>
          <w:p w14:paraId="21D6E879">
            <w:pPr>
              <w:spacing w:line="360" w:lineRule="auto"/>
              <w:rPr>
                <w:rFonts w:hint="eastAsia" w:ascii="仿宋" w:hAnsi="仿宋" w:eastAsia="仿宋" w:cs="仿宋"/>
                <w:color w:val="auto"/>
                <w:sz w:val="24"/>
                <w:highlight w:val="none"/>
              </w:rPr>
            </w:pPr>
          </w:p>
        </w:tc>
      </w:tr>
    </w:tbl>
    <w:p w14:paraId="09F28419">
      <w:pPr>
        <w:spacing w:line="360" w:lineRule="auto"/>
        <w:rPr>
          <w:rFonts w:hint="eastAsia" w:ascii="仿宋" w:hAnsi="仿宋" w:eastAsia="仿宋" w:cs="仿宋"/>
          <w:color w:val="auto"/>
          <w:sz w:val="24"/>
          <w:highlight w:val="none"/>
          <w:lang w:val="zh-CN"/>
        </w:rPr>
      </w:pPr>
    </w:p>
    <w:sectPr>
      <w:footerReference r:id="rId3" w:type="default"/>
      <w:pgSz w:w="11906" w:h="16838"/>
      <w:pgMar w:top="1440" w:right="1800" w:bottom="1440" w:left="1800" w:header="851" w:footer="425"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30351"/>
    </w:sdtPr>
    <w:sdtContent>
      <w:p w14:paraId="32E99032">
        <w:pPr>
          <w:pStyle w:val="6"/>
        </w:pPr>
        <w:r>
          <w:rPr>
            <w:rFonts w:hint="eastAsia"/>
          </w:rPr>
          <w:t>需求科室：                                审核科室：</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DZoPcHzwEAAKoDAAAOAAAAAAAAAAEAIAAAAB4BAABkcnMv&#10;ZTJvRG9jLnhtbFBLBQYAAAAABgAGAFkBAABfBQAAAAA=&#10;">
                  <v:fill on="f" focussize="0,0"/>
                  <v:stroke on="f"/>
                  <v:imagedata o:title=""/>
                  <o:lock v:ext="edit" aspectratio="f"/>
                  <v:textbox inset="0mm,0mm,0mm,0mm" style="mso-fit-shape-to-text:t;">
                    <w:txbxContent>
                      <w:p w14:paraId="3ED15EDF">
                        <w:pPr>
                          <w:pStyle w:val="6"/>
                          <w:jc w:val="center"/>
                        </w:pPr>
                        <w:r>
                          <w:rPr>
                            <w:lang w:val="zh-CN"/>
                          </w:rPr>
                          <w:t xml:space="preserve"> </w:t>
                        </w:r>
                        <w:r>
                          <w:rPr>
                            <w:b/>
                            <w:sz w:val="24"/>
                          </w:rPr>
                          <w:fldChar w:fldCharType="begin"/>
                        </w:r>
                        <w:r>
                          <w:rPr>
                            <w:b/>
                          </w:rPr>
                          <w:instrText xml:space="preserve">PAGE</w:instrText>
                        </w:r>
                        <w:r>
                          <w:rPr>
                            <w:b/>
                            <w:sz w:val="24"/>
                          </w:rPr>
                          <w:fldChar w:fldCharType="separate"/>
                        </w:r>
                        <w:r>
                          <w:rPr>
                            <w:b/>
                          </w:rPr>
                          <w:t>2</w:t>
                        </w:r>
                        <w:r>
                          <w:rPr>
                            <w:b/>
                            <w:sz w:val="24"/>
                          </w:rPr>
                          <w:fldChar w:fldCharType="end"/>
                        </w:r>
                        <w:r>
                          <w:rPr>
                            <w:lang w:val="zh-CN"/>
                          </w:rPr>
                          <w:t xml:space="preserve"> / </w:t>
                        </w:r>
                        <w:r>
                          <w:rPr>
                            <w:b/>
                            <w:sz w:val="24"/>
                          </w:rPr>
                          <w:fldChar w:fldCharType="begin"/>
                        </w:r>
                        <w:r>
                          <w:rPr>
                            <w:b/>
                          </w:rPr>
                          <w:instrText xml:space="preserve">NUMPAGES</w:instrText>
                        </w:r>
                        <w:r>
                          <w:rPr>
                            <w:b/>
                            <w:sz w:val="24"/>
                          </w:rPr>
                          <w:fldChar w:fldCharType="separate"/>
                        </w:r>
                        <w:r>
                          <w:rPr>
                            <w:b/>
                          </w:rPr>
                          <w:t>3</w:t>
                        </w:r>
                        <w:r>
                          <w:rPr>
                            <w:b/>
                            <w:sz w:val="24"/>
                          </w:rPr>
                          <w:fldChar w:fldCharType="end"/>
                        </w:r>
                      </w:p>
                    </w:txbxContent>
                  </v:textbox>
                </v:shape>
              </w:pict>
            </mc:Fallback>
          </mc:AlternateContent>
        </w:r>
      </w:p>
      <w:p w14:paraId="0C7FF8B3">
        <w:pPr>
          <w:pStyle w:val="6"/>
        </w:pPr>
      </w:p>
    </w:sdtContent>
  </w:sdt>
  <w:p w14:paraId="77910A65"/>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7C69CB"/>
    <w:multiLevelType w:val="singleLevel"/>
    <w:tmpl w:val="CF7C69CB"/>
    <w:lvl w:ilvl="0" w:tentative="0">
      <w:start w:val="1"/>
      <w:numFmt w:val="decimal"/>
      <w:suff w:val="nothing"/>
      <w:lvlText w:val="%1．"/>
      <w:lvlJc w:val="left"/>
      <w:pPr>
        <w:ind w:left="0" w:firstLine="400"/>
      </w:pPr>
      <w:rPr>
        <w:rFonts w:hint="default"/>
      </w:rPr>
    </w:lvl>
  </w:abstractNum>
  <w:abstractNum w:abstractNumId="1">
    <w:nsid w:val="E7F5C4A8"/>
    <w:multiLevelType w:val="singleLevel"/>
    <w:tmpl w:val="E7F5C4A8"/>
    <w:lvl w:ilvl="0" w:tentative="0">
      <w:start w:val="1"/>
      <w:numFmt w:val="decimal"/>
      <w:suff w:val="nothing"/>
      <w:lvlText w:val="%1．"/>
      <w:lvlJc w:val="left"/>
      <w:pPr>
        <w:ind w:left="0" w:firstLine="400"/>
      </w:pPr>
      <w:rPr>
        <w:rFonts w:hint="default"/>
        <w:highlight w:val="none"/>
      </w:rPr>
    </w:lvl>
  </w:abstractNum>
  <w:abstractNum w:abstractNumId="2">
    <w:nsid w:val="1E7E8738"/>
    <w:multiLevelType w:val="singleLevel"/>
    <w:tmpl w:val="1E7E8738"/>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MwZWM1NTIxZjZkMTFkYmM1ZDhjYWQ1ZjllOTYzZjUifQ=="/>
  </w:docVars>
  <w:rsids>
    <w:rsidRoot w:val="027725AF"/>
    <w:rsid w:val="00000267"/>
    <w:rsid w:val="00000AF6"/>
    <w:rsid w:val="00016B72"/>
    <w:rsid w:val="00036444"/>
    <w:rsid w:val="0005190D"/>
    <w:rsid w:val="00065257"/>
    <w:rsid w:val="000C5864"/>
    <w:rsid w:val="00136269"/>
    <w:rsid w:val="00152E6E"/>
    <w:rsid w:val="001564F2"/>
    <w:rsid w:val="00164D4A"/>
    <w:rsid w:val="001D1D4A"/>
    <w:rsid w:val="001F6B01"/>
    <w:rsid w:val="00215636"/>
    <w:rsid w:val="0022457A"/>
    <w:rsid w:val="00227ED6"/>
    <w:rsid w:val="00234D13"/>
    <w:rsid w:val="002549FF"/>
    <w:rsid w:val="002616DE"/>
    <w:rsid w:val="002860B7"/>
    <w:rsid w:val="00293A7C"/>
    <w:rsid w:val="002B5F04"/>
    <w:rsid w:val="002E2203"/>
    <w:rsid w:val="002F4E01"/>
    <w:rsid w:val="00341440"/>
    <w:rsid w:val="00342D38"/>
    <w:rsid w:val="00345474"/>
    <w:rsid w:val="003662C2"/>
    <w:rsid w:val="0037094F"/>
    <w:rsid w:val="003A00F6"/>
    <w:rsid w:val="003A75C3"/>
    <w:rsid w:val="003A7C0C"/>
    <w:rsid w:val="003F6DDB"/>
    <w:rsid w:val="00411292"/>
    <w:rsid w:val="00421A1F"/>
    <w:rsid w:val="004312C9"/>
    <w:rsid w:val="00440D87"/>
    <w:rsid w:val="00467A71"/>
    <w:rsid w:val="004A1404"/>
    <w:rsid w:val="004C251B"/>
    <w:rsid w:val="005002B7"/>
    <w:rsid w:val="00507EB2"/>
    <w:rsid w:val="0052211A"/>
    <w:rsid w:val="005472B7"/>
    <w:rsid w:val="00553084"/>
    <w:rsid w:val="0055425D"/>
    <w:rsid w:val="00587AFC"/>
    <w:rsid w:val="005A38AB"/>
    <w:rsid w:val="005D041B"/>
    <w:rsid w:val="005D4C82"/>
    <w:rsid w:val="00607917"/>
    <w:rsid w:val="00643222"/>
    <w:rsid w:val="00646CFF"/>
    <w:rsid w:val="00695736"/>
    <w:rsid w:val="006A0103"/>
    <w:rsid w:val="00706115"/>
    <w:rsid w:val="007943B1"/>
    <w:rsid w:val="007A320E"/>
    <w:rsid w:val="007A3E4E"/>
    <w:rsid w:val="007B6779"/>
    <w:rsid w:val="007D756B"/>
    <w:rsid w:val="007E3690"/>
    <w:rsid w:val="007E613A"/>
    <w:rsid w:val="007F2B11"/>
    <w:rsid w:val="007F33E6"/>
    <w:rsid w:val="0080304A"/>
    <w:rsid w:val="00852696"/>
    <w:rsid w:val="008639CD"/>
    <w:rsid w:val="00876B88"/>
    <w:rsid w:val="008863AD"/>
    <w:rsid w:val="008A3EC2"/>
    <w:rsid w:val="008A5819"/>
    <w:rsid w:val="008A6F6D"/>
    <w:rsid w:val="008F4E7C"/>
    <w:rsid w:val="008F6ACD"/>
    <w:rsid w:val="008F7169"/>
    <w:rsid w:val="00950093"/>
    <w:rsid w:val="009852DA"/>
    <w:rsid w:val="009B3DE4"/>
    <w:rsid w:val="009B5110"/>
    <w:rsid w:val="009C06B8"/>
    <w:rsid w:val="009C60B9"/>
    <w:rsid w:val="009F5D10"/>
    <w:rsid w:val="00A0604F"/>
    <w:rsid w:val="00AB5743"/>
    <w:rsid w:val="00AC3F2C"/>
    <w:rsid w:val="00B10D67"/>
    <w:rsid w:val="00B22E91"/>
    <w:rsid w:val="00B72C76"/>
    <w:rsid w:val="00B77F33"/>
    <w:rsid w:val="00BA0DB4"/>
    <w:rsid w:val="00BC3D3B"/>
    <w:rsid w:val="00BC522A"/>
    <w:rsid w:val="00BE1E32"/>
    <w:rsid w:val="00C23FE8"/>
    <w:rsid w:val="00C5781C"/>
    <w:rsid w:val="00C61C7C"/>
    <w:rsid w:val="00C97C1D"/>
    <w:rsid w:val="00CA593D"/>
    <w:rsid w:val="00CD392D"/>
    <w:rsid w:val="00CF6139"/>
    <w:rsid w:val="00D00163"/>
    <w:rsid w:val="00D013D7"/>
    <w:rsid w:val="00D076B0"/>
    <w:rsid w:val="00D46D87"/>
    <w:rsid w:val="00D47646"/>
    <w:rsid w:val="00D932D0"/>
    <w:rsid w:val="00DC1A43"/>
    <w:rsid w:val="00E35651"/>
    <w:rsid w:val="00E60436"/>
    <w:rsid w:val="00E71C5B"/>
    <w:rsid w:val="00EA5208"/>
    <w:rsid w:val="00EA68FA"/>
    <w:rsid w:val="00EC3435"/>
    <w:rsid w:val="00F066CA"/>
    <w:rsid w:val="00F42A70"/>
    <w:rsid w:val="00F75603"/>
    <w:rsid w:val="00F801B8"/>
    <w:rsid w:val="00F82B4B"/>
    <w:rsid w:val="00FA3C7F"/>
    <w:rsid w:val="00FF4826"/>
    <w:rsid w:val="027725AF"/>
    <w:rsid w:val="02B531DE"/>
    <w:rsid w:val="07976DE6"/>
    <w:rsid w:val="0E892633"/>
    <w:rsid w:val="10282031"/>
    <w:rsid w:val="126775F5"/>
    <w:rsid w:val="140524A5"/>
    <w:rsid w:val="17A84A31"/>
    <w:rsid w:val="18AC198D"/>
    <w:rsid w:val="1A362D0A"/>
    <w:rsid w:val="1A9A1AE2"/>
    <w:rsid w:val="1DB403E5"/>
    <w:rsid w:val="1E8B3C3C"/>
    <w:rsid w:val="1F0C2891"/>
    <w:rsid w:val="1FF004A0"/>
    <w:rsid w:val="21F75571"/>
    <w:rsid w:val="221D57CB"/>
    <w:rsid w:val="26AC3567"/>
    <w:rsid w:val="27094723"/>
    <w:rsid w:val="2A710EAE"/>
    <w:rsid w:val="2B9A59A4"/>
    <w:rsid w:val="2CAB1A01"/>
    <w:rsid w:val="2CEB55E8"/>
    <w:rsid w:val="2D887C39"/>
    <w:rsid w:val="2D993838"/>
    <w:rsid w:val="2D9F23D9"/>
    <w:rsid w:val="2E110DC4"/>
    <w:rsid w:val="2EA70528"/>
    <w:rsid w:val="323C0B50"/>
    <w:rsid w:val="33712CFE"/>
    <w:rsid w:val="33895773"/>
    <w:rsid w:val="351234CC"/>
    <w:rsid w:val="361954A6"/>
    <w:rsid w:val="38206D95"/>
    <w:rsid w:val="3C740147"/>
    <w:rsid w:val="3CF45D24"/>
    <w:rsid w:val="3E9B4363"/>
    <w:rsid w:val="3ECA1709"/>
    <w:rsid w:val="3EED3B5B"/>
    <w:rsid w:val="3EEE625E"/>
    <w:rsid w:val="42F52B47"/>
    <w:rsid w:val="443A5766"/>
    <w:rsid w:val="44746547"/>
    <w:rsid w:val="483918AB"/>
    <w:rsid w:val="4BF76F64"/>
    <w:rsid w:val="4BFF33E8"/>
    <w:rsid w:val="4EBD0A92"/>
    <w:rsid w:val="4F9A3A01"/>
    <w:rsid w:val="53610DB1"/>
    <w:rsid w:val="579F1125"/>
    <w:rsid w:val="58B3555A"/>
    <w:rsid w:val="5A3921D0"/>
    <w:rsid w:val="5DC71851"/>
    <w:rsid w:val="5E871CB1"/>
    <w:rsid w:val="656A70AF"/>
    <w:rsid w:val="66AA15BF"/>
    <w:rsid w:val="68A111F0"/>
    <w:rsid w:val="69340CF8"/>
    <w:rsid w:val="6BD2675F"/>
    <w:rsid w:val="6C171CF3"/>
    <w:rsid w:val="6C4665A8"/>
    <w:rsid w:val="6DDF526D"/>
    <w:rsid w:val="6E6F3A5B"/>
    <w:rsid w:val="6F2A17D8"/>
    <w:rsid w:val="744B3E55"/>
    <w:rsid w:val="74EB7879"/>
    <w:rsid w:val="774F314D"/>
    <w:rsid w:val="78664006"/>
    <w:rsid w:val="7BDA70B6"/>
    <w:rsid w:val="7C115C9E"/>
    <w:rsid w:val="7E2C2E60"/>
    <w:rsid w:val="7EA2205F"/>
    <w:rsid w:val="7ED87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annotation text"/>
    <w:basedOn w:val="1"/>
    <w:link w:val="15"/>
    <w:qFormat/>
    <w:uiPriority w:val="0"/>
    <w:pPr>
      <w:widowControl/>
      <w:jc w:val="left"/>
    </w:pPr>
    <w:rPr>
      <w:kern w:val="0"/>
      <w:szCs w:val="20"/>
    </w:rPr>
  </w:style>
  <w:style w:type="paragraph" w:styleId="4">
    <w:name w:val="toc 5"/>
    <w:basedOn w:val="1"/>
    <w:next w:val="1"/>
    <w:qFormat/>
    <w:uiPriority w:val="0"/>
    <w:pPr>
      <w:ind w:left="1680" w:leftChars="800"/>
    </w:pPr>
  </w:style>
  <w:style w:type="paragraph" w:styleId="5">
    <w:name w:val="Balloon Text"/>
    <w:basedOn w:val="1"/>
    <w:link w:val="17"/>
    <w:qFormat/>
    <w:uiPriority w:val="0"/>
    <w:rPr>
      <w:sz w:val="18"/>
      <w:szCs w:val="18"/>
    </w:rPr>
  </w:style>
  <w:style w:type="paragraph" w:styleId="6">
    <w:name w:val="footer"/>
    <w:basedOn w:val="1"/>
    <w:link w:val="19"/>
    <w:qFormat/>
    <w:uiPriority w:val="99"/>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3"/>
    <w:next w:val="3"/>
    <w:link w:val="16"/>
    <w:qFormat/>
    <w:uiPriority w:val="0"/>
    <w:pPr>
      <w:widowControl w:val="0"/>
    </w:pPr>
    <w:rPr>
      <w:b/>
      <w:bCs/>
      <w:kern w:val="2"/>
      <w:szCs w:val="24"/>
    </w:rPr>
  </w:style>
  <w:style w:type="paragraph" w:styleId="9">
    <w:name w:val="Body Text First Indent"/>
    <w:basedOn w:val="2"/>
    <w:next w:val="1"/>
    <w:qFormat/>
    <w:uiPriority w:val="0"/>
    <w:pPr>
      <w:spacing w:after="0" w:line="360" w:lineRule="auto"/>
      <w:ind w:firstLine="425"/>
    </w:pPr>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annotation reference"/>
    <w:basedOn w:val="12"/>
    <w:qFormat/>
    <w:uiPriority w:val="0"/>
    <w:rPr>
      <w:sz w:val="21"/>
      <w:szCs w:val="21"/>
    </w:rPr>
  </w:style>
  <w:style w:type="paragraph" w:styleId="14">
    <w:name w:val="List Paragraph"/>
    <w:basedOn w:val="1"/>
    <w:unhideWhenUsed/>
    <w:qFormat/>
    <w:uiPriority w:val="99"/>
    <w:pPr>
      <w:ind w:firstLine="420" w:firstLineChars="200"/>
    </w:pPr>
  </w:style>
  <w:style w:type="character" w:customStyle="1" w:styleId="15">
    <w:name w:val="批注文字 Char"/>
    <w:basedOn w:val="12"/>
    <w:link w:val="3"/>
    <w:qFormat/>
    <w:uiPriority w:val="0"/>
    <w:rPr>
      <w:rFonts w:asciiTheme="minorHAnsi" w:hAnsiTheme="minorHAnsi" w:eastAsiaTheme="minorEastAsia" w:cstheme="minorBidi"/>
      <w:sz w:val="21"/>
    </w:rPr>
  </w:style>
  <w:style w:type="character" w:customStyle="1" w:styleId="16">
    <w:name w:val="批注主题 Char"/>
    <w:basedOn w:val="15"/>
    <w:link w:val="8"/>
    <w:qFormat/>
    <w:uiPriority w:val="0"/>
  </w:style>
  <w:style w:type="character" w:customStyle="1" w:styleId="17">
    <w:name w:val="批注框文本 Char"/>
    <w:basedOn w:val="12"/>
    <w:link w:val="5"/>
    <w:qFormat/>
    <w:uiPriority w:val="0"/>
    <w:rPr>
      <w:rFonts w:asciiTheme="minorHAnsi" w:hAnsiTheme="minorHAnsi" w:eastAsiaTheme="minorEastAsia" w:cstheme="minorBidi"/>
      <w:kern w:val="2"/>
      <w:sz w:val="18"/>
      <w:szCs w:val="18"/>
    </w:rPr>
  </w:style>
  <w:style w:type="paragraph" w:customStyle="1" w:styleId="18">
    <w:name w:val="修订1"/>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9">
    <w:name w:val="页脚 Char"/>
    <w:basedOn w:val="12"/>
    <w:link w:val="6"/>
    <w:qFormat/>
    <w:uiPriority w:val="99"/>
    <w:rPr>
      <w:rFonts w:asciiTheme="minorHAnsi" w:hAnsiTheme="minorHAnsi" w:eastAsiaTheme="minorEastAsia" w:cstheme="minorBidi"/>
      <w:kern w:val="2"/>
      <w:sz w:val="18"/>
      <w:szCs w:val="24"/>
    </w:rPr>
  </w:style>
  <w:style w:type="character" w:customStyle="1" w:styleId="20">
    <w:name w:val="fontstyle01"/>
    <w:basedOn w:val="12"/>
    <w:qFormat/>
    <w:uiPriority w:val="0"/>
    <w:rPr>
      <w:rFonts w:ascii="宋体" w:hAnsi="宋体" w:eastAsia="宋体" w:cs="宋体"/>
      <w:color w:val="000000"/>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7</Pages>
  <Words>3222</Words>
  <Characters>3401</Characters>
  <Lines>10</Lines>
  <Paragraphs>2</Paragraphs>
  <TotalTime>6</TotalTime>
  <ScaleCrop>false</ScaleCrop>
  <LinksUpToDate>false</LinksUpToDate>
  <CharactersWithSpaces>3426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2025-01-15T03:35:00Z</dcterms:created>
  <dc:creator>ye</dc:creator>
  <cp:lastModifiedBy>ZCB</cp:lastModifiedBy>
  <cp:lastPrinted>2021-08-11T08:36:00Z</cp:lastPrinted>
  <dcterms:modified xsi:type="dcterms:W3CDTF">2026-09-20T04:18:50Z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CD84CC3BEFF24821A7345C14A5D52F7D_13</vt:lpwstr>
  </property>
  <property fmtid="{D5CDD505-2E9C-101B-9397-08002B2CF9AE}" pid="4" name="KSOTemplateDocerSaveRecord">
    <vt:lpwstr>eyJoZGlkIjoiMmRhYTY3OGVhYWZmZmExY2IyMTMyNWE4MjA4ZWM1YmUiLCJ1c2VySWQiOiI3MDE0MTUyMzAifQ==</vt:lpwstr>
  </property>
</Properties>
</file>