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E5660E">
      <w:pPr>
        <w:pStyle w:val="2"/>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sz w:val="44"/>
          <w:szCs w:val="44"/>
          <w:lang w:eastAsia="zh-CN"/>
        </w:rPr>
      </w:pPr>
      <w:r>
        <w:rPr>
          <w:rFonts w:hint="eastAsia" w:ascii="宋体" w:hAnsi="宋体" w:cs="宋体"/>
          <w:b/>
          <w:bCs/>
          <w:sz w:val="44"/>
          <w:szCs w:val="44"/>
          <w:lang w:eastAsia="zh-CN"/>
        </w:rPr>
        <w:t>复印纸类</w:t>
      </w:r>
      <w:r>
        <w:rPr>
          <w:rFonts w:hint="eastAsia" w:ascii="宋体" w:hAnsi="宋体" w:eastAsia="宋体" w:cs="宋体"/>
          <w:b/>
          <w:bCs/>
          <w:sz w:val="44"/>
          <w:szCs w:val="44"/>
        </w:rPr>
        <w:t>采购需求书</w:t>
      </w:r>
      <w:r>
        <w:rPr>
          <w:rFonts w:hint="eastAsia" w:ascii="宋体" w:hAnsi="宋体" w:cs="宋体"/>
          <w:b/>
          <w:bCs/>
          <w:sz w:val="44"/>
          <w:szCs w:val="44"/>
          <w:lang w:eastAsia="zh-CN"/>
        </w:rPr>
        <w:t>（暂定）</w:t>
      </w:r>
    </w:p>
    <w:p w14:paraId="5A8AAF37">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一、项目概况</w:t>
      </w:r>
    </w:p>
    <w:p w14:paraId="109F7312">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1.项目名称：</w:t>
      </w:r>
      <w:r>
        <w:rPr>
          <w:rFonts w:hint="eastAsia" w:ascii="宋体" w:hAnsi="宋体" w:cs="宋体"/>
          <w:sz w:val="28"/>
          <w:szCs w:val="28"/>
          <w:lang w:val="en-US" w:eastAsia="zh-CN"/>
        </w:rPr>
        <w:t>2026年</w:t>
      </w:r>
      <w:r>
        <w:rPr>
          <w:rFonts w:hint="eastAsia" w:ascii="宋体" w:hAnsi="宋体" w:eastAsia="宋体" w:cs="宋体"/>
          <w:sz w:val="28"/>
          <w:szCs w:val="28"/>
        </w:rPr>
        <w:t>中山市东升医院</w:t>
      </w:r>
      <w:r>
        <w:rPr>
          <w:rFonts w:hint="eastAsia" w:ascii="宋体" w:hAnsi="宋体" w:cs="宋体"/>
          <w:sz w:val="28"/>
          <w:szCs w:val="28"/>
          <w:lang w:eastAsia="zh-CN"/>
        </w:rPr>
        <w:t>复印纸</w:t>
      </w:r>
      <w:r>
        <w:rPr>
          <w:rFonts w:hint="eastAsia" w:ascii="宋体" w:hAnsi="宋体" w:eastAsia="宋体" w:cs="宋体"/>
          <w:sz w:val="28"/>
          <w:szCs w:val="28"/>
        </w:rPr>
        <w:t>类协议供货项目</w:t>
      </w:r>
    </w:p>
    <w:p w14:paraId="5435C53B">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2.本项目预算金额上限为</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元</w:t>
      </w:r>
      <w:r>
        <w:rPr>
          <w:rFonts w:hint="eastAsia" w:ascii="宋体" w:hAnsi="宋体" w:cs="宋体"/>
          <w:sz w:val="28"/>
          <w:szCs w:val="28"/>
          <w:lang w:val="en-US" w:eastAsia="zh-CN"/>
        </w:rPr>
        <w:t>,按实际采购量结算。</w:t>
      </w:r>
    </w:p>
    <w:p w14:paraId="2327368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 xml:space="preserve">3.供货期限：自合同签订之日起 </w:t>
      </w:r>
      <w:r>
        <w:rPr>
          <w:rFonts w:hint="eastAsia" w:ascii="宋体" w:hAnsi="宋体" w:eastAsia="宋体" w:cs="宋体"/>
          <w:sz w:val="28"/>
          <w:szCs w:val="28"/>
          <w:u w:val="single"/>
        </w:rPr>
        <w:t xml:space="preserve"> 1 </w:t>
      </w:r>
      <w:r>
        <w:rPr>
          <w:rFonts w:hint="eastAsia" w:ascii="宋体" w:hAnsi="宋体" w:eastAsia="宋体" w:cs="宋体"/>
          <w:sz w:val="28"/>
          <w:szCs w:val="28"/>
        </w:rPr>
        <w:t>年。当达到下列条件之一，合同自动终止</w:t>
      </w:r>
      <w:r>
        <w:rPr>
          <w:rFonts w:hint="eastAsia" w:ascii="宋体" w:hAnsi="宋体" w:eastAsia="宋体" w:cs="宋体"/>
          <w:sz w:val="28"/>
          <w:szCs w:val="28"/>
          <w:lang w:eastAsia="zh-CN"/>
        </w:rPr>
        <w:t>：</w:t>
      </w:r>
    </w:p>
    <w:p w14:paraId="029E0283">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（1）服务期内采购金额累计达到本项目预算总金额；</w:t>
      </w:r>
    </w:p>
    <w:p w14:paraId="70807655">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（2）自合同签订之日起，服务满一年；</w:t>
      </w:r>
    </w:p>
    <w:p w14:paraId="71E9036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（3）当剩余金额不足以采购清单内任何一项物品时，合同自动终止。</w:t>
      </w:r>
    </w:p>
    <w:p w14:paraId="6BF9BE5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4.交货地点：中山市东升医院内（采购人指定地点）</w:t>
      </w:r>
    </w:p>
    <w:p w14:paraId="7634A268">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5.交货方式：成交供应商应保证有充足的货物，确保供货，在收到采购人下单通知后</w:t>
      </w:r>
      <w:r>
        <w:rPr>
          <w:rFonts w:hint="eastAsia" w:ascii="宋体" w:hAnsi="宋体" w:cs="宋体"/>
          <w:sz w:val="28"/>
          <w:szCs w:val="28"/>
          <w:u w:val="single"/>
          <w:lang w:val="en-US" w:eastAsia="zh-CN"/>
        </w:rPr>
        <w:t>3</w:t>
      </w:r>
      <w:r>
        <w:rPr>
          <w:rFonts w:hint="eastAsia" w:ascii="宋体" w:hAnsi="宋体" w:eastAsia="宋体" w:cs="宋体"/>
          <w:sz w:val="28"/>
          <w:szCs w:val="28"/>
        </w:rPr>
        <w:t>个工作日内将货物交付到指定地点。如遇采购人急需使用的情况，成交供应商应在</w:t>
      </w:r>
      <w:r>
        <w:rPr>
          <w:rFonts w:hint="eastAsia" w:ascii="宋体" w:hAnsi="宋体" w:eastAsia="宋体" w:cs="宋体"/>
          <w:sz w:val="28"/>
          <w:szCs w:val="28"/>
          <w:u w:val="single"/>
          <w:lang w:val="en-US" w:eastAsia="zh-CN"/>
        </w:rPr>
        <w:t>2</w:t>
      </w:r>
      <w:r>
        <w:rPr>
          <w:rFonts w:hint="eastAsia" w:ascii="宋体" w:hAnsi="宋体" w:eastAsia="宋体" w:cs="宋体"/>
          <w:sz w:val="28"/>
          <w:szCs w:val="28"/>
        </w:rPr>
        <w:t>小时内到货。</w:t>
      </w:r>
    </w:p>
    <w:p w14:paraId="69CFC08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6.交货条件：</w:t>
      </w:r>
    </w:p>
    <w:p w14:paraId="16D61B5D">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（1）成交供应商应将货物送到采购人指定地点交给采购人收货人，货物交付前一切风险由成交供应商承担。</w:t>
      </w:r>
    </w:p>
    <w:p w14:paraId="295DA05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（2）成交供应商所提交的货物单价超出合同约定的，采购人有权拒绝接收。</w:t>
      </w:r>
    </w:p>
    <w:p w14:paraId="6F321A17">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（3）合同期内，如个别产品遇到停产情况或难以寻找货源的，成交供应商应优先寻找市面上同品牌、同型号、同规格参数的货物供应，若在市面上已无货源供应，成交供应商需提前 15 天书面告知采购人并经采购人同意后，提供等同或优于原参数的产品供应采购人使用，不得断供，否则视为成交供应商违约（如遇紧急情况，供货时间由双方协商确定）。</w:t>
      </w:r>
    </w:p>
    <w:p w14:paraId="236A383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（4）合同期内，采购人对成交供应商所提供的货物不满意（在使用过程中发现以次充好或使用假冒伪劣产品2 次以上的或超过规定交货期限10个自然日成交供应商仍不能交货的），采购人有权单方终止合同。</w:t>
      </w:r>
    </w:p>
    <w:p w14:paraId="48B2C82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（5）成交供应商在实施项目过程中如有违法违规行为的，采购人有权取消其供货资格且单方终止合同，造成的损失由成交供应商承担。</w:t>
      </w:r>
    </w:p>
    <w:p w14:paraId="5E22F4D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（6）成交供应商不得以任何方式转包或分包本项目，否则采购人有权单方终止项目。</w:t>
      </w:r>
    </w:p>
    <w:p w14:paraId="769CA8E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（7）成交供应商应向采购人提供产品全部相关资质证明、授权证明以及产品说明书、各类面料检测报告复印件等有关资料。</w:t>
      </w:r>
    </w:p>
    <w:p w14:paraId="566AAAB3">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p w14:paraId="3CB3E808">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（9）如成交供应商未能按时保质交货，需支付违约金。</w:t>
      </w:r>
    </w:p>
    <w:p w14:paraId="1429277A">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（10）成交供应商送货上门，运费、装卸费及保险费等一切相关费用均由成交供应商负责。</w:t>
      </w:r>
    </w:p>
    <w:p w14:paraId="72CF9EDB">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（11）成交供应商应依照行业标准对采购人所购买的产品进行包装，以防止产品在转运中损坏、污染或侵权行为等，确保产品安全运抵指定地点。</w:t>
      </w:r>
    </w:p>
    <w:p w14:paraId="5D31482E">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做要求或质疑。本项目的采购数量为一年内预计发生量，结算时以实际发生量为准。</w:t>
      </w:r>
    </w:p>
    <w:p w14:paraId="1F5B6B5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both"/>
        <w:textAlignment w:val="baseline"/>
        <w:rPr>
          <w:rFonts w:ascii="Helvetica" w:hAnsi="Helvetica" w:eastAsia="Helvetica" w:cs="Helvetica"/>
          <w:i w:val="0"/>
          <w:iCs w:val="0"/>
          <w:caps w:val="0"/>
          <w:color w:val="000000"/>
          <w:spacing w:val="0"/>
          <w:sz w:val="21"/>
          <w:szCs w:val="21"/>
        </w:rPr>
      </w:pPr>
      <w:r>
        <w:rPr>
          <w:rStyle w:val="7"/>
          <w:rFonts w:hint="eastAsia" w:ascii="宋体" w:hAnsi="宋体" w:eastAsia="宋体" w:cs="宋体"/>
          <w:i w:val="0"/>
          <w:iCs w:val="0"/>
          <w:caps w:val="0"/>
          <w:color w:val="000000"/>
          <w:spacing w:val="15"/>
          <w:sz w:val="28"/>
          <w:szCs w:val="28"/>
          <w:shd w:val="clear" w:fill="FFFFFF"/>
          <w:vertAlign w:val="baseline"/>
        </w:rPr>
        <w:t>二、供应商的资格要求</w:t>
      </w:r>
    </w:p>
    <w:p w14:paraId="011F7D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Helvetica" w:hAnsi="Helvetica" w:eastAsia="宋体" w:cs="Helvetica"/>
          <w:i w:val="0"/>
          <w:iCs w:val="0"/>
          <w:caps w:val="0"/>
          <w:color w:val="000000"/>
          <w:spacing w:val="0"/>
          <w:sz w:val="21"/>
          <w:szCs w:val="21"/>
          <w:lang w:eastAsia="zh-CN"/>
        </w:rPr>
      </w:pPr>
      <w:r>
        <w:rPr>
          <w:rFonts w:hint="eastAsia" w:ascii="宋体" w:hAnsi="宋体" w:eastAsia="宋体" w:cs="宋体"/>
          <w:i w:val="0"/>
          <w:iCs w:val="0"/>
          <w:caps w:val="0"/>
          <w:color w:val="000000"/>
          <w:spacing w:val="0"/>
          <w:sz w:val="28"/>
          <w:szCs w:val="28"/>
          <w:shd w:val="clear" w:fill="FFFFFF"/>
        </w:rPr>
        <w:t>1.响应供应商必须是具有独立承担民事责任能力的在中华人民共和国境内注册的企业法人或其他组织或自然人</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rPr>
        <w:t>如分支机构响应的，须提供总公司和分公司营业执照复印件，总公司出具给分支机构的授权书。</w:t>
      </w:r>
    </w:p>
    <w:p w14:paraId="2FE52D2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Helvetica" w:hAnsi="Helvetica" w:eastAsia="宋体" w:cs="Helvetica"/>
          <w:i w:val="0"/>
          <w:iCs w:val="0"/>
          <w:caps w:val="0"/>
          <w:color w:val="000000"/>
          <w:spacing w:val="0"/>
          <w:sz w:val="21"/>
          <w:szCs w:val="21"/>
          <w:u w:val="none"/>
          <w:lang w:eastAsia="zh-CN"/>
        </w:rPr>
      </w:pPr>
      <w:r>
        <w:rPr>
          <w:rFonts w:hint="eastAsia" w:ascii="宋体" w:hAnsi="宋体" w:eastAsia="宋体" w:cs="宋体"/>
          <w:i w:val="0"/>
          <w:iCs w:val="0"/>
          <w:caps w:val="0"/>
          <w:color w:val="000000"/>
          <w:spacing w:val="0"/>
          <w:sz w:val="28"/>
          <w:szCs w:val="28"/>
        </w:rPr>
        <w:t>★</w:t>
      </w:r>
      <w:r>
        <w:rPr>
          <w:rFonts w:hint="eastAsia" w:ascii="宋体" w:hAnsi="宋体" w:eastAsia="宋体" w:cs="宋体"/>
          <w:i w:val="0"/>
          <w:iCs w:val="0"/>
          <w:caps w:val="0"/>
          <w:color w:val="000000"/>
          <w:spacing w:val="0"/>
          <w:sz w:val="28"/>
          <w:szCs w:val="28"/>
          <w:shd w:val="clear" w:fill="FFFFFF"/>
        </w:rPr>
        <w:t>2.响应供应商须具有效的且具备相关经营范围的营业执照</w:t>
      </w:r>
      <w:r>
        <w:rPr>
          <w:rFonts w:hint="eastAsia" w:ascii="宋体" w:hAnsi="宋体" w:eastAsia="宋体" w:cs="宋体"/>
          <w:i w:val="0"/>
          <w:iCs w:val="0"/>
          <w:caps w:val="0"/>
          <w:color w:val="000000"/>
          <w:spacing w:val="0"/>
          <w:sz w:val="28"/>
          <w:szCs w:val="28"/>
          <w:shd w:val="clear" w:fill="FFFFFF"/>
          <w:lang w:eastAsia="zh-CN"/>
        </w:rPr>
        <w:t>，并</w:t>
      </w:r>
      <w:r>
        <w:rPr>
          <w:rFonts w:hint="eastAsia" w:ascii="宋体" w:hAnsi="宋体" w:eastAsia="宋体" w:cs="宋体"/>
          <w:i w:val="0"/>
          <w:iCs w:val="0"/>
          <w:caps w:val="0"/>
          <w:color w:val="000000"/>
          <w:spacing w:val="0"/>
          <w:sz w:val="27"/>
          <w:szCs w:val="27"/>
          <w:u w:val="none"/>
          <w:shd w:val="clear" w:fill="FFFFFF"/>
        </w:rPr>
        <w:t>已入驻广东省框架协议电子化采购系统的定点供应商</w:t>
      </w:r>
      <w:r>
        <w:rPr>
          <w:rFonts w:hint="eastAsia" w:ascii="宋体" w:hAnsi="宋体" w:eastAsia="宋体" w:cs="宋体"/>
          <w:i w:val="0"/>
          <w:iCs w:val="0"/>
          <w:caps w:val="0"/>
          <w:color w:val="000000"/>
          <w:spacing w:val="0"/>
          <w:sz w:val="27"/>
          <w:szCs w:val="27"/>
          <w:u w:val="none"/>
          <w:shd w:val="clear" w:fill="FFFFFF"/>
          <w:lang w:eastAsia="zh-CN"/>
        </w:rPr>
        <w:t>。</w:t>
      </w:r>
    </w:p>
    <w:p w14:paraId="4672C1A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3.响应供应商应具有项目的承接能力、合同的履约能力、售后供应能力和良好的信誉；</w:t>
      </w:r>
    </w:p>
    <w:p w14:paraId="3848A119">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4.响应供应商在参与公开招标活动中未有违法违纪行为并受过处罚，响应供应商无围标、串标行为。</w:t>
      </w:r>
    </w:p>
    <w:p w14:paraId="548A432A">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eastAsia="宋体" w:cs="宋体"/>
          <w:b/>
          <w:bCs/>
          <w:i w:val="0"/>
          <w:iCs w:val="0"/>
          <w:caps w:val="0"/>
          <w:color w:val="000000"/>
          <w:spacing w:val="0"/>
          <w:sz w:val="28"/>
          <w:szCs w:val="28"/>
          <w:shd w:val="clear" w:fill="FFFFFF"/>
          <w:lang w:eastAsia="zh-CN"/>
        </w:rPr>
        <w:t>三、</w:t>
      </w:r>
      <w:r>
        <w:rPr>
          <w:rFonts w:hint="eastAsia" w:ascii="宋体" w:hAnsi="宋体" w:eastAsia="宋体" w:cs="宋体"/>
          <w:b/>
          <w:bCs/>
          <w:sz w:val="28"/>
          <w:szCs w:val="28"/>
        </w:rPr>
        <w:t>采购清单（详见附件）</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395"/>
        <w:gridCol w:w="2868"/>
        <w:gridCol w:w="1705"/>
        <w:gridCol w:w="1705"/>
      </w:tblGrid>
      <w:tr w14:paraId="0335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14:paraId="7679F96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eastAsia="zh-CN"/>
              </w:rPr>
            </w:pPr>
            <w:r>
              <w:rPr>
                <w:rFonts w:hint="eastAsia" w:ascii="宋体" w:hAnsi="宋体" w:eastAsia="宋体" w:cs="宋体"/>
                <w:i w:val="0"/>
                <w:iCs w:val="0"/>
                <w:caps w:val="0"/>
                <w:color w:val="000000"/>
                <w:spacing w:val="0"/>
                <w:sz w:val="28"/>
                <w:szCs w:val="28"/>
                <w:shd w:val="clear" w:fill="FFFFFF"/>
                <w:vertAlign w:val="baseline"/>
                <w:lang w:eastAsia="zh-CN"/>
              </w:rPr>
              <w:t>编号</w:t>
            </w:r>
          </w:p>
        </w:tc>
        <w:tc>
          <w:tcPr>
            <w:tcW w:w="1395" w:type="dxa"/>
          </w:tcPr>
          <w:p w14:paraId="49D386E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eastAsia="zh-CN"/>
              </w:rPr>
            </w:pPr>
            <w:r>
              <w:rPr>
                <w:rFonts w:hint="eastAsia" w:ascii="宋体" w:hAnsi="宋体" w:eastAsia="宋体" w:cs="宋体"/>
                <w:i w:val="0"/>
                <w:iCs w:val="0"/>
                <w:caps w:val="0"/>
                <w:color w:val="000000"/>
                <w:spacing w:val="0"/>
                <w:sz w:val="28"/>
                <w:szCs w:val="28"/>
                <w:shd w:val="clear" w:fill="FFFFFF"/>
                <w:vertAlign w:val="baseline"/>
                <w:lang w:eastAsia="zh-CN"/>
              </w:rPr>
              <w:t>品名</w:t>
            </w:r>
          </w:p>
        </w:tc>
        <w:tc>
          <w:tcPr>
            <w:tcW w:w="2868" w:type="dxa"/>
          </w:tcPr>
          <w:p w14:paraId="3C61399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eastAsia="zh-CN"/>
              </w:rPr>
            </w:pPr>
            <w:r>
              <w:rPr>
                <w:rFonts w:hint="eastAsia" w:ascii="宋体" w:hAnsi="宋体" w:eastAsia="宋体" w:cs="宋体"/>
                <w:i w:val="0"/>
                <w:iCs w:val="0"/>
                <w:caps w:val="0"/>
                <w:color w:val="000000"/>
                <w:spacing w:val="0"/>
                <w:sz w:val="28"/>
                <w:szCs w:val="28"/>
                <w:shd w:val="clear" w:fill="FFFFFF"/>
                <w:vertAlign w:val="baseline"/>
                <w:lang w:eastAsia="zh-CN"/>
              </w:rPr>
              <w:t>规格</w:t>
            </w:r>
          </w:p>
        </w:tc>
        <w:tc>
          <w:tcPr>
            <w:tcW w:w="1705" w:type="dxa"/>
          </w:tcPr>
          <w:p w14:paraId="3371902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eastAsia="zh-CN"/>
              </w:rPr>
            </w:pPr>
            <w:r>
              <w:rPr>
                <w:rFonts w:hint="eastAsia" w:ascii="宋体" w:hAnsi="宋体" w:eastAsia="宋体" w:cs="宋体"/>
                <w:i w:val="0"/>
                <w:iCs w:val="0"/>
                <w:caps w:val="0"/>
                <w:color w:val="000000"/>
                <w:spacing w:val="0"/>
                <w:sz w:val="28"/>
                <w:szCs w:val="28"/>
                <w:shd w:val="clear" w:fill="FFFFFF"/>
                <w:vertAlign w:val="baseline"/>
                <w:lang w:eastAsia="zh-CN"/>
              </w:rPr>
              <w:t>预计发生量</w:t>
            </w:r>
          </w:p>
        </w:tc>
        <w:tc>
          <w:tcPr>
            <w:tcW w:w="1705" w:type="dxa"/>
          </w:tcPr>
          <w:p w14:paraId="0CE93BF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eastAsia="zh-CN"/>
              </w:rPr>
            </w:pPr>
            <w:r>
              <w:rPr>
                <w:rFonts w:hint="eastAsia" w:ascii="宋体" w:hAnsi="宋体" w:eastAsia="宋体" w:cs="宋体"/>
                <w:i w:val="0"/>
                <w:iCs w:val="0"/>
                <w:caps w:val="0"/>
                <w:color w:val="000000"/>
                <w:spacing w:val="0"/>
                <w:sz w:val="28"/>
                <w:szCs w:val="28"/>
                <w:shd w:val="clear" w:fill="FFFFFF"/>
                <w:vertAlign w:val="baseline"/>
                <w:lang w:eastAsia="zh-CN"/>
              </w:rPr>
              <w:t>备注</w:t>
            </w:r>
          </w:p>
        </w:tc>
      </w:tr>
      <w:tr w14:paraId="7A02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14:paraId="043EB54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eastAsia="宋体" w:cs="宋体"/>
                <w:i w:val="0"/>
                <w:iCs w:val="0"/>
                <w:caps w:val="0"/>
                <w:color w:val="000000"/>
                <w:spacing w:val="0"/>
                <w:sz w:val="28"/>
                <w:szCs w:val="28"/>
                <w:shd w:val="clear" w:fill="FFFFFF"/>
                <w:vertAlign w:val="baseline"/>
                <w:lang w:val="en-US" w:eastAsia="zh-CN"/>
              </w:rPr>
              <w:t>1</w:t>
            </w:r>
          </w:p>
        </w:tc>
        <w:tc>
          <w:tcPr>
            <w:tcW w:w="1395" w:type="dxa"/>
          </w:tcPr>
          <w:p w14:paraId="6928DB2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eastAsia="宋体" w:cs="宋体"/>
                <w:i w:val="0"/>
                <w:iCs w:val="0"/>
                <w:caps w:val="0"/>
                <w:color w:val="000000"/>
                <w:spacing w:val="0"/>
                <w:sz w:val="28"/>
                <w:szCs w:val="28"/>
                <w:shd w:val="clear" w:fill="FFFFFF"/>
                <w:vertAlign w:val="baseline"/>
                <w:lang w:val="en-US" w:eastAsia="zh-CN"/>
              </w:rPr>
              <w:t>复印纸</w:t>
            </w:r>
          </w:p>
        </w:tc>
        <w:tc>
          <w:tcPr>
            <w:tcW w:w="2868" w:type="dxa"/>
            <w:vAlign w:val="top"/>
          </w:tcPr>
          <w:p w14:paraId="26DD46F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eastAsia="宋体" w:cs="宋体"/>
                <w:i w:val="0"/>
                <w:iCs w:val="0"/>
                <w:caps w:val="0"/>
                <w:color w:val="000000"/>
                <w:spacing w:val="0"/>
                <w:sz w:val="28"/>
                <w:szCs w:val="28"/>
                <w:shd w:val="clear" w:fill="FFFFFF"/>
                <w:vertAlign w:val="baseline"/>
                <w:lang w:val="en-US" w:eastAsia="zh-CN"/>
              </w:rPr>
              <w:t>80克（A3）白色</w:t>
            </w:r>
          </w:p>
        </w:tc>
        <w:tc>
          <w:tcPr>
            <w:tcW w:w="1705" w:type="dxa"/>
          </w:tcPr>
          <w:p w14:paraId="5174213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default"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cs="宋体"/>
                <w:i w:val="0"/>
                <w:iCs w:val="0"/>
                <w:caps w:val="0"/>
                <w:color w:val="000000"/>
                <w:spacing w:val="0"/>
                <w:sz w:val="28"/>
                <w:szCs w:val="28"/>
                <w:shd w:val="clear" w:fill="FFFFFF"/>
                <w:vertAlign w:val="baseline"/>
                <w:lang w:val="en-US" w:eastAsia="zh-CN"/>
              </w:rPr>
              <w:t>5包</w:t>
            </w:r>
          </w:p>
        </w:tc>
        <w:tc>
          <w:tcPr>
            <w:tcW w:w="1705" w:type="dxa"/>
          </w:tcPr>
          <w:p w14:paraId="3B34AAB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rPr>
            </w:pPr>
          </w:p>
        </w:tc>
      </w:tr>
      <w:tr w14:paraId="659D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14:paraId="4FF90A4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eastAsia="宋体" w:cs="宋体"/>
                <w:i w:val="0"/>
                <w:iCs w:val="0"/>
                <w:caps w:val="0"/>
                <w:color w:val="000000"/>
                <w:spacing w:val="0"/>
                <w:sz w:val="28"/>
                <w:szCs w:val="28"/>
                <w:shd w:val="clear" w:fill="FFFFFF"/>
                <w:vertAlign w:val="baseline"/>
                <w:lang w:val="en-US" w:eastAsia="zh-CN"/>
              </w:rPr>
              <w:t>2</w:t>
            </w:r>
          </w:p>
        </w:tc>
        <w:tc>
          <w:tcPr>
            <w:tcW w:w="1395" w:type="dxa"/>
          </w:tcPr>
          <w:p w14:paraId="6BAD517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eastAsia="宋体" w:cs="宋体"/>
                <w:i w:val="0"/>
                <w:iCs w:val="0"/>
                <w:caps w:val="0"/>
                <w:color w:val="000000"/>
                <w:spacing w:val="0"/>
                <w:sz w:val="28"/>
                <w:szCs w:val="28"/>
                <w:shd w:val="clear" w:fill="FFFFFF"/>
                <w:vertAlign w:val="baseline"/>
                <w:lang w:val="en-US" w:eastAsia="zh-CN"/>
              </w:rPr>
              <w:t>复印纸</w:t>
            </w:r>
          </w:p>
        </w:tc>
        <w:tc>
          <w:tcPr>
            <w:tcW w:w="2868" w:type="dxa"/>
            <w:vAlign w:val="top"/>
          </w:tcPr>
          <w:p w14:paraId="0801B89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eastAsia="宋体" w:cs="宋体"/>
                <w:i w:val="0"/>
                <w:iCs w:val="0"/>
                <w:caps w:val="0"/>
                <w:color w:val="000000"/>
                <w:spacing w:val="0"/>
                <w:sz w:val="28"/>
                <w:szCs w:val="28"/>
                <w:shd w:val="clear" w:fill="FFFFFF"/>
                <w:vertAlign w:val="baseline"/>
                <w:lang w:val="en-US" w:eastAsia="zh-CN"/>
              </w:rPr>
              <w:t>80克（A4）白色</w:t>
            </w:r>
          </w:p>
        </w:tc>
        <w:tc>
          <w:tcPr>
            <w:tcW w:w="1705" w:type="dxa"/>
          </w:tcPr>
          <w:p w14:paraId="2D603C3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default"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cs="宋体"/>
                <w:i w:val="0"/>
                <w:iCs w:val="0"/>
                <w:caps w:val="0"/>
                <w:color w:val="000000"/>
                <w:spacing w:val="0"/>
                <w:sz w:val="28"/>
                <w:szCs w:val="28"/>
                <w:shd w:val="clear" w:fill="FFFFFF"/>
                <w:vertAlign w:val="baseline"/>
                <w:lang w:val="en-US" w:eastAsia="zh-CN"/>
              </w:rPr>
              <w:t>20</w:t>
            </w:r>
            <w:bookmarkStart w:id="0" w:name="_GoBack"/>
            <w:bookmarkEnd w:id="0"/>
            <w:r>
              <w:rPr>
                <w:rFonts w:hint="eastAsia" w:ascii="宋体" w:hAnsi="宋体" w:cs="宋体"/>
                <w:i w:val="0"/>
                <w:iCs w:val="0"/>
                <w:caps w:val="0"/>
                <w:color w:val="000000"/>
                <w:spacing w:val="0"/>
                <w:sz w:val="28"/>
                <w:szCs w:val="28"/>
                <w:shd w:val="clear" w:fill="FFFFFF"/>
                <w:vertAlign w:val="baseline"/>
                <w:lang w:val="en-US" w:eastAsia="zh-CN"/>
              </w:rPr>
              <w:t>00包</w:t>
            </w:r>
          </w:p>
        </w:tc>
        <w:tc>
          <w:tcPr>
            <w:tcW w:w="1705" w:type="dxa"/>
          </w:tcPr>
          <w:p w14:paraId="656A2DA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rPr>
            </w:pPr>
          </w:p>
        </w:tc>
      </w:tr>
      <w:tr w14:paraId="3CED6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14:paraId="606F030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cs="宋体"/>
                <w:i w:val="0"/>
                <w:iCs w:val="0"/>
                <w:caps w:val="0"/>
                <w:color w:val="000000"/>
                <w:spacing w:val="0"/>
                <w:sz w:val="28"/>
                <w:szCs w:val="28"/>
                <w:shd w:val="clear" w:fill="FFFFFF"/>
                <w:vertAlign w:val="baseline"/>
                <w:lang w:val="en-US" w:eastAsia="zh-CN"/>
              </w:rPr>
              <w:t>3</w:t>
            </w:r>
          </w:p>
        </w:tc>
        <w:tc>
          <w:tcPr>
            <w:tcW w:w="1395" w:type="dxa"/>
            <w:vAlign w:val="top"/>
          </w:tcPr>
          <w:p w14:paraId="7DD7415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eastAsia" w:ascii="宋体" w:hAnsi="宋体" w:eastAsia="宋体" w:cs="宋体"/>
                <w:i w:val="0"/>
                <w:iCs w:val="0"/>
                <w:caps w:val="0"/>
                <w:color w:val="000000"/>
                <w:spacing w:val="0"/>
                <w:sz w:val="28"/>
                <w:szCs w:val="28"/>
                <w:shd w:val="clear" w:fill="FFFFFF"/>
                <w:vertAlign w:val="baseline"/>
              </w:rPr>
            </w:pPr>
            <w:r>
              <w:rPr>
                <w:rFonts w:hint="eastAsia" w:ascii="宋体" w:hAnsi="宋体" w:eastAsia="宋体" w:cs="宋体"/>
                <w:i w:val="0"/>
                <w:iCs w:val="0"/>
                <w:caps w:val="0"/>
                <w:color w:val="000000"/>
                <w:spacing w:val="0"/>
                <w:sz w:val="28"/>
                <w:szCs w:val="28"/>
                <w:shd w:val="clear" w:fill="FFFFFF"/>
                <w:vertAlign w:val="baseline"/>
                <w:lang w:val="en-US" w:eastAsia="zh-CN"/>
              </w:rPr>
              <w:t>复印纸</w:t>
            </w:r>
          </w:p>
        </w:tc>
        <w:tc>
          <w:tcPr>
            <w:tcW w:w="2868" w:type="dxa"/>
            <w:vAlign w:val="top"/>
          </w:tcPr>
          <w:p w14:paraId="41FDADB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i w:val="0"/>
                <w:iCs w:val="0"/>
                <w:caps w:val="0"/>
                <w:color w:val="000000"/>
                <w:spacing w:val="0"/>
                <w:sz w:val="28"/>
                <w:szCs w:val="28"/>
                <w:shd w:val="clear" w:fill="FFFFFF"/>
                <w:vertAlign w:val="baseline"/>
              </w:rPr>
            </w:pPr>
            <w:r>
              <w:rPr>
                <w:rFonts w:hint="eastAsia" w:ascii="宋体" w:hAnsi="宋体" w:eastAsia="宋体" w:cs="宋体"/>
                <w:i w:val="0"/>
                <w:iCs w:val="0"/>
                <w:caps w:val="0"/>
                <w:color w:val="000000"/>
                <w:spacing w:val="0"/>
                <w:sz w:val="28"/>
                <w:szCs w:val="28"/>
                <w:shd w:val="clear" w:fill="FFFFFF"/>
                <w:vertAlign w:val="baseline"/>
                <w:lang w:val="en-US" w:eastAsia="zh-CN"/>
              </w:rPr>
              <w:t>80克（A5）白色</w:t>
            </w:r>
          </w:p>
        </w:tc>
        <w:tc>
          <w:tcPr>
            <w:tcW w:w="1705" w:type="dxa"/>
            <w:vAlign w:val="top"/>
          </w:tcPr>
          <w:p w14:paraId="3A724F0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cs="宋体"/>
                <w:i w:val="0"/>
                <w:iCs w:val="0"/>
                <w:caps w:val="0"/>
                <w:color w:val="000000"/>
                <w:spacing w:val="0"/>
                <w:sz w:val="28"/>
                <w:szCs w:val="28"/>
                <w:shd w:val="clear" w:fill="FFFFFF"/>
                <w:vertAlign w:val="baseline"/>
                <w:lang w:val="en-US" w:eastAsia="zh-CN"/>
              </w:rPr>
              <w:t>1500包</w:t>
            </w:r>
          </w:p>
        </w:tc>
        <w:tc>
          <w:tcPr>
            <w:tcW w:w="1705" w:type="dxa"/>
          </w:tcPr>
          <w:p w14:paraId="704FA38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rPr>
            </w:pPr>
          </w:p>
        </w:tc>
      </w:tr>
      <w:tr w14:paraId="7CE16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14:paraId="6C54709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cs="宋体"/>
                <w:i w:val="0"/>
                <w:iCs w:val="0"/>
                <w:caps w:val="0"/>
                <w:color w:val="000000"/>
                <w:spacing w:val="0"/>
                <w:sz w:val="28"/>
                <w:szCs w:val="28"/>
                <w:shd w:val="clear" w:fill="FFFFFF"/>
                <w:vertAlign w:val="baseline"/>
                <w:lang w:val="en-US" w:eastAsia="zh-CN"/>
              </w:rPr>
              <w:t>4</w:t>
            </w:r>
          </w:p>
        </w:tc>
        <w:tc>
          <w:tcPr>
            <w:tcW w:w="1395" w:type="dxa"/>
            <w:vAlign w:val="top"/>
          </w:tcPr>
          <w:p w14:paraId="28A9AB3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eastAsia" w:ascii="宋体" w:hAnsi="宋体" w:eastAsia="宋体" w:cs="宋体"/>
                <w:i w:val="0"/>
                <w:iCs w:val="0"/>
                <w:caps w:val="0"/>
                <w:color w:val="000000"/>
                <w:spacing w:val="0"/>
                <w:sz w:val="28"/>
                <w:szCs w:val="28"/>
                <w:shd w:val="clear" w:fill="FFFFFF"/>
                <w:vertAlign w:val="baseline"/>
              </w:rPr>
            </w:pPr>
            <w:r>
              <w:rPr>
                <w:rFonts w:hint="eastAsia" w:ascii="宋体" w:hAnsi="宋体" w:eastAsia="宋体" w:cs="宋体"/>
                <w:i w:val="0"/>
                <w:iCs w:val="0"/>
                <w:caps w:val="0"/>
                <w:color w:val="000000"/>
                <w:spacing w:val="0"/>
                <w:sz w:val="28"/>
                <w:szCs w:val="28"/>
                <w:shd w:val="clear" w:fill="FFFFFF"/>
                <w:vertAlign w:val="baseline"/>
                <w:lang w:val="en-US" w:eastAsia="zh-CN"/>
              </w:rPr>
              <w:t>复印纸</w:t>
            </w:r>
          </w:p>
        </w:tc>
        <w:tc>
          <w:tcPr>
            <w:tcW w:w="2868" w:type="dxa"/>
            <w:vAlign w:val="top"/>
          </w:tcPr>
          <w:p w14:paraId="670FD88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i w:val="0"/>
                <w:iCs w:val="0"/>
                <w:caps w:val="0"/>
                <w:color w:val="000000"/>
                <w:spacing w:val="0"/>
                <w:sz w:val="28"/>
                <w:szCs w:val="28"/>
                <w:shd w:val="clear" w:fill="FFFFFF"/>
                <w:vertAlign w:val="baseline"/>
              </w:rPr>
            </w:pPr>
            <w:r>
              <w:rPr>
                <w:rFonts w:hint="eastAsia" w:ascii="宋体" w:hAnsi="宋体" w:eastAsia="宋体" w:cs="宋体"/>
                <w:i w:val="0"/>
                <w:iCs w:val="0"/>
                <w:caps w:val="0"/>
                <w:color w:val="000000"/>
                <w:spacing w:val="0"/>
                <w:sz w:val="28"/>
                <w:szCs w:val="28"/>
                <w:shd w:val="clear" w:fill="FFFFFF"/>
                <w:vertAlign w:val="baseline"/>
                <w:lang w:val="en-US" w:eastAsia="zh-CN"/>
              </w:rPr>
              <w:t>80克（A4）彩色</w:t>
            </w:r>
          </w:p>
        </w:tc>
        <w:tc>
          <w:tcPr>
            <w:tcW w:w="1705" w:type="dxa"/>
          </w:tcPr>
          <w:p w14:paraId="01E9FD7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default" w:ascii="宋体" w:hAnsi="宋体" w:eastAsia="宋体" w:cs="宋体"/>
                <w:i w:val="0"/>
                <w:iCs w:val="0"/>
                <w:caps w:val="0"/>
                <w:color w:val="000000"/>
                <w:spacing w:val="0"/>
                <w:sz w:val="28"/>
                <w:szCs w:val="28"/>
                <w:shd w:val="clear" w:fill="FFFFFF"/>
                <w:vertAlign w:val="baseline"/>
                <w:lang w:val="en-US" w:eastAsia="zh-CN"/>
              </w:rPr>
            </w:pPr>
            <w:r>
              <w:rPr>
                <w:rFonts w:hint="eastAsia" w:ascii="宋体" w:hAnsi="宋体" w:cs="宋体"/>
                <w:i w:val="0"/>
                <w:iCs w:val="0"/>
                <w:caps w:val="0"/>
                <w:color w:val="000000"/>
                <w:spacing w:val="0"/>
                <w:sz w:val="28"/>
                <w:szCs w:val="28"/>
                <w:shd w:val="clear" w:fill="FFFFFF"/>
                <w:vertAlign w:val="baseline"/>
                <w:lang w:val="en-US" w:eastAsia="zh-CN"/>
              </w:rPr>
              <w:t>50包</w:t>
            </w:r>
          </w:p>
        </w:tc>
        <w:tc>
          <w:tcPr>
            <w:tcW w:w="1705" w:type="dxa"/>
          </w:tcPr>
          <w:p w14:paraId="4CCCA85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i w:val="0"/>
                <w:iCs w:val="0"/>
                <w:caps w:val="0"/>
                <w:color w:val="000000"/>
                <w:spacing w:val="0"/>
                <w:sz w:val="28"/>
                <w:szCs w:val="28"/>
                <w:shd w:val="clear" w:fill="FFFFFF"/>
                <w:vertAlign w:val="baseline"/>
              </w:rPr>
            </w:pPr>
          </w:p>
        </w:tc>
      </w:tr>
    </w:tbl>
    <w:p w14:paraId="5E70CEDB">
      <w:pPr>
        <w:pStyle w:val="8"/>
        <w:rPr>
          <w:rFonts w:hint="eastAsia"/>
          <w:b w:val="0"/>
          <w:bCs w:val="0"/>
        </w:rPr>
      </w:pPr>
    </w:p>
    <w:p w14:paraId="04D358AA">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cs="宋体"/>
          <w:b/>
          <w:bCs/>
          <w:sz w:val="28"/>
          <w:szCs w:val="28"/>
          <w:lang w:eastAsia="zh-CN"/>
        </w:rPr>
        <w:t>四</w:t>
      </w:r>
      <w:r>
        <w:rPr>
          <w:rFonts w:hint="eastAsia" w:ascii="宋体" w:hAnsi="宋体" w:eastAsia="宋体" w:cs="宋体"/>
          <w:b/>
          <w:bCs/>
          <w:sz w:val="28"/>
          <w:szCs w:val="28"/>
        </w:rPr>
        <w:t>、响应报价要求</w:t>
      </w:r>
    </w:p>
    <w:p w14:paraId="61C7B57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1.供应商需对采购物品的单价报出统一的响应下浮率，下浮率在 0%（含本数）-</w:t>
      </w:r>
      <w:r>
        <w:rPr>
          <w:rFonts w:hint="eastAsia" w:ascii="宋体" w:hAnsi="宋体" w:cs="宋体"/>
          <w:sz w:val="28"/>
          <w:szCs w:val="28"/>
          <w:lang w:val="en-US" w:eastAsia="zh-CN"/>
        </w:rPr>
        <w:t>5</w:t>
      </w:r>
      <w:r>
        <w:rPr>
          <w:rFonts w:hint="eastAsia" w:ascii="宋体" w:hAnsi="宋体" w:eastAsia="宋体" w:cs="宋体"/>
          <w:sz w:val="28"/>
          <w:szCs w:val="28"/>
        </w:rPr>
        <w:t>0%（含本数）范围内取值，若报价超出此范围则视为无效响应。各类货物实际供货单价=最高单价限价×（1-成交下浮率）（四舍五入保留至小数点后两位），该单价为合同期间的最终价格，在合同期内，价格不再随市场同类商品价格的调整而变动。</w:t>
      </w:r>
    </w:p>
    <w:p w14:paraId="1EEEC21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cs="宋体"/>
          <w:sz w:val="28"/>
          <w:szCs w:val="28"/>
          <w:lang w:eastAsia="zh-CN"/>
        </w:rPr>
        <w:t>响应供应商提供的采购物品必须是</w:t>
      </w:r>
      <w:r>
        <w:rPr>
          <w:rFonts w:hint="eastAsia" w:ascii="宋体" w:hAnsi="宋体" w:eastAsia="宋体" w:cs="宋体"/>
          <w:i w:val="0"/>
          <w:iCs w:val="0"/>
          <w:caps w:val="0"/>
          <w:color w:val="000000"/>
          <w:spacing w:val="0"/>
          <w:sz w:val="27"/>
          <w:szCs w:val="27"/>
          <w:u w:val="none"/>
          <w:shd w:val="clear" w:fill="FFFFFF"/>
        </w:rPr>
        <w:t>广东省框架协议电子化采购系统</w:t>
      </w:r>
      <w:r>
        <w:rPr>
          <w:rFonts w:hint="eastAsia" w:ascii="宋体" w:hAnsi="宋体" w:cs="宋体"/>
          <w:i w:val="0"/>
          <w:iCs w:val="0"/>
          <w:caps w:val="0"/>
          <w:color w:val="000000"/>
          <w:spacing w:val="0"/>
          <w:sz w:val="27"/>
          <w:szCs w:val="27"/>
          <w:u w:val="none"/>
          <w:shd w:val="clear" w:fill="FFFFFF"/>
          <w:lang w:eastAsia="zh-CN"/>
        </w:rPr>
        <w:t>的复印纸入围产品。</w:t>
      </w:r>
    </w:p>
    <w:p w14:paraId="46CD9E6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3.</w:t>
      </w:r>
      <w:r>
        <w:rPr>
          <w:rFonts w:hint="eastAsia" w:ascii="宋体" w:hAnsi="宋体" w:eastAsia="宋体" w:cs="宋体"/>
          <w:sz w:val="28"/>
          <w:szCs w:val="28"/>
        </w:rPr>
        <w:t>本次响应报价应为人民币含税全包价，包括货物价格、包装费、运杂费、保险费、卸车费、配合费、检测费、配送费、税金以及本项目执行过程中需要的其他费用等。</w:t>
      </w:r>
    </w:p>
    <w:p w14:paraId="2FFD2D82">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rPr>
        <w:t>.响应供应商须对采购清单的内容进行整体响应，注明产品品牌（如有），缺项、漏项、非统一下浮率的报价均为无效报价。</w:t>
      </w:r>
    </w:p>
    <w:p w14:paraId="61EFA668">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5</w:t>
      </w:r>
      <w:r>
        <w:rPr>
          <w:rFonts w:hint="eastAsia" w:ascii="宋体" w:hAnsi="宋体" w:eastAsia="宋体" w:cs="宋体"/>
          <w:sz w:val="28"/>
          <w:szCs w:val="28"/>
        </w:rPr>
        <w:t>.响应供应商在响应报价文件中需提供国家或第三方质量检验检测机构出具的合格检验报告。</w:t>
      </w:r>
    </w:p>
    <w:p w14:paraId="13CBB19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6</w:t>
      </w:r>
      <w:r>
        <w:rPr>
          <w:rFonts w:hint="eastAsia" w:ascii="宋体" w:hAnsi="宋体" w:eastAsia="宋体" w:cs="宋体"/>
          <w:sz w:val="28"/>
          <w:szCs w:val="28"/>
        </w:rPr>
        <w:t>.响应供应商在响应报价文件中需提供近一年内同类项目业绩相关证明文件（如有）。</w:t>
      </w:r>
    </w:p>
    <w:p w14:paraId="2E5A6A9A">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四、技术要求</w:t>
      </w:r>
    </w:p>
    <w:p w14:paraId="099AD918">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cs="宋体"/>
          <w:sz w:val="28"/>
          <w:szCs w:val="28"/>
          <w:lang w:eastAsia="zh-CN"/>
        </w:rPr>
      </w:pPr>
      <w:r>
        <w:rPr>
          <w:rFonts w:hint="eastAsia" w:ascii="宋体" w:hAnsi="宋体" w:eastAsia="宋体" w:cs="宋体"/>
          <w:sz w:val="28"/>
          <w:szCs w:val="28"/>
        </w:rPr>
        <w:t>1.</w:t>
      </w:r>
      <w:r>
        <w:rPr>
          <w:rFonts w:hint="eastAsia" w:ascii="宋体" w:hAnsi="宋体" w:cs="宋体"/>
          <w:sz w:val="28"/>
          <w:szCs w:val="28"/>
          <w:lang w:eastAsia="zh-CN"/>
        </w:rPr>
        <w:t>产品参数要求：</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2307"/>
        <w:gridCol w:w="5328"/>
      </w:tblGrid>
      <w:tr w14:paraId="4EC3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tcPr>
          <w:p w14:paraId="189C5FE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编号</w:t>
            </w:r>
          </w:p>
        </w:tc>
        <w:tc>
          <w:tcPr>
            <w:tcW w:w="1354" w:type="pct"/>
            <w:vAlign w:val="top"/>
          </w:tcPr>
          <w:p w14:paraId="420FFE2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eastAsia="zh-CN"/>
              </w:rPr>
            </w:pPr>
            <w:r>
              <w:rPr>
                <w:rFonts w:hint="eastAsia" w:ascii="宋体" w:hAnsi="宋体" w:eastAsia="宋体" w:cs="宋体"/>
                <w:b/>
                <w:bCs/>
                <w:i w:val="0"/>
                <w:iCs w:val="0"/>
                <w:caps w:val="0"/>
                <w:color w:val="000000"/>
                <w:spacing w:val="0"/>
                <w:sz w:val="21"/>
                <w:szCs w:val="21"/>
                <w:shd w:val="clear" w:fill="FFFFFF"/>
                <w:vertAlign w:val="baseline"/>
                <w:lang w:eastAsia="zh-CN"/>
              </w:rPr>
              <w:t>规格</w:t>
            </w:r>
          </w:p>
        </w:tc>
        <w:tc>
          <w:tcPr>
            <w:tcW w:w="3126" w:type="pct"/>
          </w:tcPr>
          <w:p w14:paraId="1FDA2CB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规格参数（厚度、纵向挺度、横向挺度、平滑度、不透明度、规格等）</w:t>
            </w:r>
          </w:p>
        </w:tc>
      </w:tr>
      <w:tr w14:paraId="3595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tcPr>
          <w:p w14:paraId="2756715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1</w:t>
            </w:r>
          </w:p>
        </w:tc>
        <w:tc>
          <w:tcPr>
            <w:tcW w:w="1354" w:type="pct"/>
            <w:vAlign w:val="top"/>
          </w:tcPr>
          <w:p w14:paraId="212A808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80克（A3）白色</w:t>
            </w:r>
          </w:p>
        </w:tc>
        <w:tc>
          <w:tcPr>
            <w:tcW w:w="3126" w:type="pct"/>
          </w:tcPr>
          <w:p w14:paraId="1A53651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1、定量≥80g/㎡，尺寸297*420mm（偏差小于±1mm），500张/包；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r w14:paraId="38C4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tcPr>
          <w:p w14:paraId="7D73E92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2</w:t>
            </w:r>
          </w:p>
        </w:tc>
        <w:tc>
          <w:tcPr>
            <w:tcW w:w="1354" w:type="pct"/>
            <w:vAlign w:val="top"/>
          </w:tcPr>
          <w:p w14:paraId="20AA9FB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80克（A4）白色</w:t>
            </w:r>
          </w:p>
        </w:tc>
        <w:tc>
          <w:tcPr>
            <w:tcW w:w="3126" w:type="pct"/>
          </w:tcPr>
          <w:p w14:paraId="4AF2B29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1、定量≥80g/㎡，尺寸210mm*297mm（偏差小于±1mm），500张/包；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r w14:paraId="4920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tcPr>
          <w:p w14:paraId="2992499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cs="宋体"/>
                <w:b/>
                <w:bCs/>
                <w:i w:val="0"/>
                <w:iCs w:val="0"/>
                <w:caps w:val="0"/>
                <w:color w:val="000000"/>
                <w:spacing w:val="0"/>
                <w:sz w:val="21"/>
                <w:szCs w:val="21"/>
                <w:shd w:val="clear" w:fill="FFFFFF"/>
                <w:vertAlign w:val="baseline"/>
                <w:lang w:val="en-US" w:eastAsia="zh-CN"/>
              </w:rPr>
              <w:t>3</w:t>
            </w:r>
          </w:p>
        </w:tc>
        <w:tc>
          <w:tcPr>
            <w:tcW w:w="1354" w:type="pct"/>
            <w:vAlign w:val="top"/>
          </w:tcPr>
          <w:p w14:paraId="48A7FD0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80克（A5）白色</w:t>
            </w:r>
          </w:p>
        </w:tc>
        <w:tc>
          <w:tcPr>
            <w:tcW w:w="3126" w:type="pct"/>
          </w:tcPr>
          <w:p w14:paraId="589569F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1、定量≥80g/㎡，尺寸210mm*148mm（偏差小于±1mm），500张/包；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r w14:paraId="7372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pct"/>
          </w:tcPr>
          <w:p w14:paraId="3C14640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000000"/>
                <w:spacing w:val="0"/>
                <w:sz w:val="21"/>
                <w:szCs w:val="21"/>
                <w:shd w:val="clear" w:fill="FFFFFF"/>
                <w:vertAlign w:val="baseline"/>
                <w:lang w:val="en-US" w:eastAsia="zh-CN"/>
              </w:rPr>
            </w:pPr>
            <w:r>
              <w:rPr>
                <w:rFonts w:hint="eastAsia" w:ascii="宋体" w:hAnsi="宋体" w:cs="宋体"/>
                <w:b/>
                <w:bCs/>
                <w:i w:val="0"/>
                <w:iCs w:val="0"/>
                <w:caps w:val="0"/>
                <w:color w:val="000000"/>
                <w:spacing w:val="0"/>
                <w:sz w:val="21"/>
                <w:szCs w:val="21"/>
                <w:shd w:val="clear" w:fill="FFFFFF"/>
                <w:vertAlign w:val="baseline"/>
                <w:lang w:val="en-US" w:eastAsia="zh-CN"/>
              </w:rPr>
              <w:t>4</w:t>
            </w:r>
          </w:p>
        </w:tc>
        <w:tc>
          <w:tcPr>
            <w:tcW w:w="1354" w:type="pct"/>
            <w:vAlign w:val="top"/>
          </w:tcPr>
          <w:p w14:paraId="39C6AEA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b/>
                <w:bCs/>
                <w:i w:val="0"/>
                <w:iCs w:val="0"/>
                <w:caps w:val="0"/>
                <w:color w:val="000000"/>
                <w:spacing w:val="0"/>
                <w:sz w:val="21"/>
                <w:szCs w:val="21"/>
                <w:shd w:val="clear" w:fill="FFFFFF"/>
                <w:vertAlign w:val="baseline"/>
                <w:lang w:val="en-US" w:eastAsia="zh-CN"/>
              </w:rPr>
              <w:t>80克（A4）彩色</w:t>
            </w:r>
          </w:p>
        </w:tc>
        <w:tc>
          <w:tcPr>
            <w:tcW w:w="3126" w:type="pct"/>
          </w:tcPr>
          <w:p w14:paraId="36C3C42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jc w:val="left"/>
              <w:textAlignment w:val="auto"/>
              <w:rPr>
                <w:rFonts w:hint="eastAsia" w:ascii="宋体" w:hAnsi="宋体" w:eastAsia="宋体" w:cs="宋体"/>
                <w:b/>
                <w:bCs/>
                <w:i w:val="0"/>
                <w:iCs w:val="0"/>
                <w:caps w:val="0"/>
                <w:color w:val="000000"/>
                <w:spacing w:val="0"/>
                <w:sz w:val="21"/>
                <w:szCs w:val="21"/>
                <w:shd w:val="clear" w:fill="FFFFFF"/>
                <w:vertAlign w:val="baseline"/>
              </w:rPr>
            </w:pPr>
            <w:r>
              <w:rPr>
                <w:rFonts w:hint="eastAsia" w:ascii="宋体" w:hAnsi="宋体" w:eastAsia="宋体" w:cs="宋体"/>
                <w:i w:val="0"/>
                <w:iCs w:val="0"/>
                <w:color w:val="000000"/>
                <w:kern w:val="0"/>
                <w:sz w:val="21"/>
                <w:szCs w:val="21"/>
                <w:u w:val="none"/>
                <w:lang w:val="en-US" w:eastAsia="zh-CN" w:bidi="ar"/>
              </w:rPr>
              <w:t>1、定量≥80g/㎡，尺寸210mm*297mm（偏差小于±1mm），500张/包；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r>
    </w:tbl>
    <w:p w14:paraId="07B9B517">
      <w:pPr>
        <w:rPr>
          <w:rFonts w:hint="eastAsia"/>
          <w:lang w:eastAsia="zh-CN"/>
        </w:rPr>
      </w:pPr>
    </w:p>
    <w:p w14:paraId="3CC7CF4E">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2.</w:t>
      </w:r>
      <w:r>
        <w:rPr>
          <w:rFonts w:hint="eastAsia" w:ascii="宋体" w:hAnsi="宋体" w:eastAsia="宋体" w:cs="宋体"/>
          <w:sz w:val="28"/>
          <w:szCs w:val="28"/>
        </w:rPr>
        <w:t>成交供应商应提供已注册品牌制造商原装、全新、符合国家及采购人提出的有关质量标准的产品。</w:t>
      </w:r>
    </w:p>
    <w:p w14:paraId="23DF9B9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3</w:t>
      </w:r>
      <w:r>
        <w:rPr>
          <w:rFonts w:hint="eastAsia" w:ascii="宋体" w:hAnsi="宋体" w:eastAsia="宋体" w:cs="宋体"/>
          <w:sz w:val="28"/>
          <w:szCs w:val="28"/>
        </w:rPr>
        <w:t>.所有货物在开箱检验时必须完好，无破损，配置与装箱单相符。</w:t>
      </w:r>
    </w:p>
    <w:p w14:paraId="3355DB3A">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rPr>
        <w:t>.成交供应商所提供产品的性能、配置参数等不能低于采购文件所提出的要求。</w:t>
      </w:r>
    </w:p>
    <w:p w14:paraId="7455BC4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5</w:t>
      </w:r>
      <w:r>
        <w:rPr>
          <w:rFonts w:hint="eastAsia" w:ascii="宋体" w:hAnsi="宋体" w:eastAsia="宋体" w:cs="宋体"/>
          <w:sz w:val="28"/>
          <w:szCs w:val="28"/>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p w14:paraId="2EE054C3">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cs="宋体"/>
          <w:sz w:val="28"/>
          <w:szCs w:val="28"/>
          <w:lang w:val="en-US" w:eastAsia="zh-CN"/>
        </w:rPr>
        <w:t>6</w:t>
      </w:r>
      <w:r>
        <w:rPr>
          <w:rFonts w:hint="eastAsia" w:ascii="宋体" w:hAnsi="宋体" w:eastAsia="宋体" w:cs="宋体"/>
          <w:sz w:val="28"/>
          <w:szCs w:val="28"/>
        </w:rPr>
        <w:t>.成交供应商不得经营未经注册、无合格证明、过期、失效或者淘汰的产品，如因产品质量原因造成的一切损失由成交供应商承担全部责任。</w:t>
      </w:r>
    </w:p>
    <w:p w14:paraId="641B7D89">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五、包装、装卸、运输及保险</w:t>
      </w:r>
    </w:p>
    <w:p w14:paraId="67763E9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成交供应商所供货物包装质量必须符合国家相关标准，货物的包装均应有良好的防锈、防腐、防潮及防摔破等措施，货物要求有包装保护运至现场。凡由于包装不良造成的损失和由此产生的费用均由成交供应商承担。</w:t>
      </w:r>
    </w:p>
    <w:p w14:paraId="0408F308">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2.成交供应商负责根据用户指定的地点，将货物送到现场过程中的全部运输，包括装卸车、货物现场的搬运，由此产生的费用均由成交供应商承担。</w:t>
      </w:r>
    </w:p>
    <w:p w14:paraId="27171D2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3、如货物运输过程中因事故造成货物短缺、损坏，成交供应商应及时安排补、换货， 以保证合同货物及时交付，补、换货的相关费用由成交供应商承担。</w:t>
      </w:r>
    </w:p>
    <w:p w14:paraId="1C5F21A9">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4.货物的质量保险由成交供应商负责，成交供应商负责其派出的现场服务人员人身意外保险。</w:t>
      </w:r>
    </w:p>
    <w:p w14:paraId="7407C045">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六、安装要求</w:t>
      </w:r>
    </w:p>
    <w:p w14:paraId="52BB5AD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1.严格按照采购人用户需求要求进行安装，主材及关系到安装效果的材料在需经采购人确认。</w:t>
      </w:r>
    </w:p>
    <w:p w14:paraId="2321A607">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2.成交供应商安装方案应依据采购人原场地建筑结构及装修设计基础上制定，出具安装平面图及效果图并需经采购人确认后方可进行安装。</w:t>
      </w:r>
    </w:p>
    <w:p w14:paraId="6BC4212E">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3.货物质量、安装标准须满足国家现行相关建筑规范及标准要求，安装过程中须按照国家现行相关安全管理规范及标准做好现场安全文明措施。</w:t>
      </w:r>
    </w:p>
    <w:p w14:paraId="6FD50C58">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4.成交供应商应按安全安装的要求，遵守一切采购人的规章制度，采取严格科学的安全措施，确保人员及第三者的安全，承担由于自身安全措施不力造成事故责任和发生的费用。</w:t>
      </w:r>
    </w:p>
    <w:p w14:paraId="3774603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5.成交供应商安装时需对各安装现场内的装修、设备设施有良好保护措施，如安装中因施工不当造成场地及现场的设备设施损坏，由采购人在合同货款中扣除相应的维修费用。</w:t>
      </w:r>
    </w:p>
    <w:p w14:paraId="10395F3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6．成交供应商应负责所有安装完成后的剩余物料及垃圾全部清理运走，不能影响采购人的正常营业，垃圾不得堆放在医院内，未按要求清理的， 由采购人在合同货款中扣除相应的垃圾清运及清洁费用。</w:t>
      </w:r>
    </w:p>
    <w:p w14:paraId="7CE23B02">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b/>
          <w:bCs/>
          <w:sz w:val="28"/>
          <w:szCs w:val="28"/>
        </w:rPr>
        <w:t>七、验收方式</w:t>
      </w:r>
    </w:p>
    <w:p w14:paraId="1823E6AC">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1.成交供应商将货物送货至采购人指定地点后， 由采购人按照采购合同、相关采购文件、产品合格检测报告、样板（色板）等进行核对，根据国家相关法律法规、质量标准，对货物的规格参数和质量进行验收。</w:t>
      </w:r>
    </w:p>
    <w:p w14:paraId="7669CE48">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供货期间，采购人有权进行实时现场抽检测试交付货物，如不达标的，供应商需要无条件更换合格的产品。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p w14:paraId="08B0BA03">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3.所有货物在使用过程中发现以次充好或使用假冒伪劣产品的，成交供应商须无条件更换货物并按假一赔三进行赔偿。此种情况超过 2 次或以上的，采购人有权单方终止合同，履约保证金不予退还。</w:t>
      </w:r>
    </w:p>
    <w:p w14:paraId="509E682E">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p w14:paraId="37458D8D">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5.若成交供应商提供的产品发生知识产权纠纷的，由成交供应商执行处置与原知识产权所有者协商解决，采购人不承担与之相关的任何经济和法律责任。</w:t>
      </w:r>
    </w:p>
    <w:p w14:paraId="6BA7A17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6.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p w14:paraId="67389B9C">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7.成交供应商提前交付采购人购买的产品等，必须事前得到采购人同意，否则由此引起的储存保管费用及标的物毁损灭失风险由成交供应商自行承担。</w:t>
      </w:r>
    </w:p>
    <w:p w14:paraId="6C38576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8.成交供应商按采购人采购计划中指定医院的地址送货，费用由成交供应商承担。</w:t>
      </w:r>
    </w:p>
    <w:p w14:paraId="74D885A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八、售后服务要求</w:t>
      </w:r>
    </w:p>
    <w:p w14:paraId="58F4BBEB">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 6 个月。</w:t>
      </w:r>
    </w:p>
    <w:p w14:paraId="5041B905">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p w14:paraId="094F2C7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 xml:space="preserve">3.质保期：当次所提供的货物质保期为验收合格之日起 </w:t>
      </w:r>
      <w:r>
        <w:rPr>
          <w:rFonts w:hint="eastAsia" w:ascii="宋体" w:hAnsi="宋体" w:cs="宋体"/>
          <w:sz w:val="28"/>
          <w:szCs w:val="28"/>
          <w:lang w:val="en-US" w:eastAsia="zh-CN"/>
        </w:rPr>
        <w:t>1</w:t>
      </w:r>
      <w:r>
        <w:rPr>
          <w:rFonts w:hint="eastAsia" w:ascii="宋体" w:hAnsi="宋体" w:eastAsia="宋体" w:cs="宋体"/>
          <w:sz w:val="28"/>
          <w:szCs w:val="28"/>
        </w:rPr>
        <w:t xml:space="preserve"> 年。质保期内，成交供应商须提供货物“包退、包换、包修 ”的质量“三包 ”服务。货物如不符合国家的有关质量技术标准、采购文件、合同参数要求的，采购人有权拒收，成交供应商应无条件退换货物，退换期限为 2 个自然日内，由此产生的一切费用由成交供应商承担，如造成采购人经济损失的，采购人有权进行索赔。（非质保范围：产品因用户场地环境影响或人为损坏或使用不当及管理不当等因素造成的故障或者损坏。）</w:t>
      </w:r>
    </w:p>
    <w:p w14:paraId="560ABCC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4.质保期内，成交供应商提供 24 小时响应服务，指定一名人员为本项目负责人，负责人要保证服务电话 24 小时保持畅通。成交供应商必须对采购人提出的质量异议在1 小时内予以响应并针对问题提出解决办法，货物非人为因素出现损坏、变形等情况的，成交供应商应在接到通知的 2 小时内派专业人员上门服务，解决问题的时限为到达现场后 4 小时内，保证按要求完成更换、送回等服务，确保所提供的货物合格率达到100%，并对造成的损失承担赔偿责任。若在到场 4 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p w14:paraId="0F3FA209">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5.货物如不符合国家的有关质量标准或进货渠道不正规，或证实货物是有缺陷的，包括潜在的缺陷或使用不符合要求的材料等，采购人有权要求成交供应商无条件退换货物，退换期限为 2 个自然日内，由此产生的一切费用均由成交供应商承担，并赔偿因此造成采购人的经济损失。</w:t>
      </w:r>
    </w:p>
    <w:p w14:paraId="7A065B5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九、付款方式</w:t>
      </w:r>
    </w:p>
    <w:p w14:paraId="6457184B">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1.签订合同后 5 个工作日内成交供应商需向采购人交合同总金额的 5%作为履约保证金。保证金的退还为最后一批送货验收合格后</w:t>
      </w:r>
      <w:r>
        <w:rPr>
          <w:rFonts w:hint="eastAsia" w:ascii="宋体" w:hAnsi="宋体" w:cs="宋体"/>
          <w:sz w:val="28"/>
          <w:szCs w:val="28"/>
          <w:lang w:val="en-US" w:eastAsia="zh-CN"/>
        </w:rPr>
        <w:t>60个工作日</w:t>
      </w:r>
      <w:r>
        <w:rPr>
          <w:rFonts w:hint="eastAsia" w:ascii="宋体" w:hAnsi="宋体" w:eastAsia="宋体" w:cs="宋体"/>
          <w:sz w:val="28"/>
          <w:szCs w:val="28"/>
        </w:rPr>
        <w:t>内一次性无息退还。</w:t>
      </w:r>
    </w:p>
    <w:p w14:paraId="69960AF7">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（1）如有违约事项，采购人根据约定条款扣款，剩余款项予以无息退还。</w:t>
      </w:r>
    </w:p>
    <w:p w14:paraId="692D8770">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（2）如逾期未缴交履约保证金的，则每逾期一天按履约保证金金额的 5‰支付违约金给采购人。</w:t>
      </w:r>
    </w:p>
    <w:p w14:paraId="0D93A66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2.合同签订后，供货期内采购人可按照实际使用需要分批次要求成交供应商供货。合同无预付款，每批次订货无预付款。</w:t>
      </w:r>
    </w:p>
    <w:p w14:paraId="0236C32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3.按月结算。成交供应商接到采购人的下单通知后，按采购人要求的品种及数量提供货物，经双方确认验收合格后，成交供应商开具该月所供货物的有效全额增值税普通发票（含税），采购人在收到发票并审核无误后</w:t>
      </w:r>
      <w:r>
        <w:rPr>
          <w:rFonts w:hint="eastAsia" w:ascii="宋体" w:hAnsi="宋体" w:cs="宋体"/>
          <w:sz w:val="28"/>
          <w:szCs w:val="28"/>
          <w:lang w:val="en-US" w:eastAsia="zh-CN"/>
        </w:rPr>
        <w:t>6个月</w:t>
      </w:r>
      <w:r>
        <w:rPr>
          <w:rFonts w:hint="eastAsia" w:ascii="宋体" w:hAnsi="宋体" w:eastAsia="宋体" w:cs="宋体"/>
          <w:sz w:val="28"/>
          <w:szCs w:val="28"/>
        </w:rPr>
        <w:t>内付款给成交供应商。</w:t>
      </w:r>
    </w:p>
    <w:p w14:paraId="11EB9662">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4.特别说明：合同约定的付款期限，遵守《保障中小企业款项支付条例》的规定。如成交供应商为中小企业，付款期限最长不超过60日。</w:t>
      </w:r>
    </w:p>
    <w:p w14:paraId="037A0EBA">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5.成交供应商须开具与响应文件中报价人名称、响应报价一致的有效全额增值税普通发票。</w:t>
      </w:r>
    </w:p>
    <w:p w14:paraId="54530C0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十、违约责任</w:t>
      </w:r>
    </w:p>
    <w:p w14:paraId="379845E2">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1.采购人应在合同规定时间内，按合同执行进度向成交供应商支付货款，逾期支付的，采购人向成交供应商按合同订立时全国银行间同业拆借中心公布的一年期贷款市场报价利率支付违约金。</w:t>
      </w:r>
    </w:p>
    <w:p w14:paraId="2D20F684">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2.成交供应商未能按时交货，或未能在交货之日起 10 个自然日内提供该项目验收相关所必须的合法有效的文件，每拖延一天，须向采购人支付合同金额的5‰的违约金。如拖延 10 个自然日成交供应商仍未履行的，则视为成交供应商不能交货，则按合同总价 30%支付违约金给采购人。同时，采购人有权单方面解除合同且履约保证金不再退还。如上述违约金及履约保证金的金额仍不足以补偿采购人因成交供应商违约造成的损失，采购人有权进一步向成交供应商提出索赔。</w:t>
      </w:r>
    </w:p>
    <w:p w14:paraId="469AB3E5">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3.成交供应商交付的货物不符合合同规定的，采购人有权拒收，成交供应商向采购人支付合同总价的 20％的违约金。</w:t>
      </w:r>
    </w:p>
    <w:p w14:paraId="43CBA0FD">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4.采购人无正当理由拒收货物的，采购人向成交供应商支付当次送货金额的 5‰的违约金。</w:t>
      </w:r>
    </w:p>
    <w:p w14:paraId="4F26B91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5.货物在保质期内如无法提供质保服务，成交供应商承担采购人就此造成的一切更换费和其他损失。</w:t>
      </w:r>
    </w:p>
    <w:p w14:paraId="0C9C1F96">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6.所有货物在使用过程中发现以次充好或使用假冒伪劣产品的，成交供应商须无条件更换货物并按假一赔三进行赔偿。此种情况超过 2 次或以上的，履约保证金不予退还，采购人有权单方终止合同。</w:t>
      </w:r>
    </w:p>
    <w:p w14:paraId="22FF0A8F">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7.若成交供应商提供的货物发生知识产权纠纷的，由成交供应商执行处置与原知识产权所有者协商解决，采购人不承担与之相关的任何经济和法律责任。</w:t>
      </w:r>
    </w:p>
    <w:p w14:paraId="1AC4060C">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8.因成交供应商原因造成采购人货物无法按时正常使用，成交供应商承担合同标的金额 20%的违约金，违约金不足以赔偿采购人损失的，应另行补足采购人损失。</w:t>
      </w:r>
    </w:p>
    <w:p w14:paraId="6B7BE0C1">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9.双方对本项目（含涉及本项目相关通知和函电）内容应严格履行保密义务，未经一方书面同意或许可，均不得在任何时候以任何方式和理由向第三人泄露，否则，任何一方应赔偿由此给对方造成的一切损失。</w:t>
      </w:r>
    </w:p>
    <w:p w14:paraId="59C5A7C9">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10.成交供应商给采购人造成的损失，采购人可采取必要的途径或方式追索，由此引起的费用由成交供应商承担，包括但不仅限于律师费、查档费、鉴定费、公证费、交通费、诉讼费、财产保全责任保险费等。</w:t>
      </w:r>
    </w:p>
    <w:p w14:paraId="56B2FBB7">
      <w:pPr>
        <w:pStyle w:val="2"/>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11.其他违约责任按《中华人民共和国民法典》处理。</w:t>
      </w: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63430"/>
    <w:rsid w:val="0A9921EA"/>
    <w:rsid w:val="12F45F70"/>
    <w:rsid w:val="132026DE"/>
    <w:rsid w:val="1702234F"/>
    <w:rsid w:val="1B751AA3"/>
    <w:rsid w:val="212C410B"/>
    <w:rsid w:val="2737106B"/>
    <w:rsid w:val="277654C4"/>
    <w:rsid w:val="29990919"/>
    <w:rsid w:val="2DBE55AA"/>
    <w:rsid w:val="38063430"/>
    <w:rsid w:val="3FB15EC9"/>
    <w:rsid w:val="42C57D5A"/>
    <w:rsid w:val="51B177E4"/>
    <w:rsid w:val="55532834"/>
    <w:rsid w:val="576B549A"/>
    <w:rsid w:val="592F75E4"/>
    <w:rsid w:val="5D8A4D5B"/>
    <w:rsid w:val="5F352E11"/>
    <w:rsid w:val="650A582E"/>
    <w:rsid w:val="65B6539F"/>
    <w:rsid w:val="6E7558EB"/>
    <w:rsid w:val="772866CE"/>
    <w:rsid w:val="79AB2792"/>
    <w:rsid w:val="7E0C5AB0"/>
    <w:rsid w:val="7E9F1B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spacing w:after="120" w:afterLines="0"/>
      <w:jc w:val="left"/>
    </w:pPr>
    <w:rPr>
      <w:rFonts w:ascii="ˎ̥" w:hAnsi="ˎ̥"/>
      <w:color w:val="000000"/>
      <w:sz w:val="24"/>
      <w:szCs w:val="20"/>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Strong"/>
    <w:basedOn w:val="6"/>
    <w:qFormat/>
    <w:uiPriority w:val="0"/>
    <w:rPr>
      <w:b/>
    </w:rPr>
  </w:style>
  <w:style w:type="paragraph" w:customStyle="1" w:styleId="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9">
    <w:name w:val="font31"/>
    <w:basedOn w:val="6"/>
    <w:qFormat/>
    <w:uiPriority w:val="0"/>
    <w:rPr>
      <w:rFonts w:hint="eastAsia" w:ascii="宋体" w:hAnsi="宋体" w:eastAsia="宋体" w:cs="宋体"/>
      <w:color w:val="000000"/>
      <w:sz w:val="24"/>
      <w:szCs w:val="24"/>
      <w:u w:val="none"/>
    </w:rPr>
  </w:style>
  <w:style w:type="paragraph" w:customStyle="1" w:styleId="10">
    <w:name w:val="List Paragraph"/>
    <w:basedOn w:val="1"/>
    <w:unhideWhenUsed/>
    <w:qFormat/>
    <w:uiPriority w:val="99"/>
    <w:pPr>
      <w:ind w:firstLine="420" w:firstLineChars="200"/>
    </w:pPr>
  </w:style>
  <w:style w:type="paragraph" w:customStyle="1" w:styleId="11">
    <w:name w:val="Table Text"/>
    <w:basedOn w:val="1"/>
    <w:semiHidden/>
    <w:qFormat/>
    <w:uiPriority w:val="0"/>
    <w:rPr>
      <w:rFonts w:ascii="宋体" w:hAnsi="宋体" w:eastAsia="宋体" w:cs="宋体"/>
      <w:sz w:val="20"/>
      <w:szCs w:val="20"/>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2091</Words>
  <Characters>2178</Characters>
  <Lines>0</Lines>
  <Paragraphs>0</Paragraphs>
  <TotalTime>53</TotalTime>
  <ScaleCrop>false</ScaleCrop>
  <LinksUpToDate>false</LinksUpToDate>
  <CharactersWithSpaces>2189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2026-03-30T01:16:00Z</dcterms:created>
  <dc:creator>18924981193</dc:creator>
  <cp:lastModifiedBy>18924981193</cp:lastModifiedBy>
  <cp:lastPrinted>2026-04-20T03:03:00Z</cp:lastPrinted>
  <dcterms:modified xsi:type="dcterms:W3CDTF">2026-06-17T09:24:44Z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D19DFEFFDBBA4926851723285BF8FE29_13</vt:lpwstr>
  </property>
  <property fmtid="{D5CDD505-2E9C-101B-9397-08002B2CF9AE}" pid="4" name="KSOTemplateDocerSaveRecord">
    <vt:lpwstr>eyJoZGlkIjoiMDI1YTQ0MGQ2NDc4NmQ3MjU4NTFkMzZmNDA5NDM5ODgiLCJ1c2VySWQiOiI3MDcxOTEyNjEifQ==</vt:lpwstr>
  </property>
</Properties>
</file>