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A2FC3">
      <w:pPr>
        <w:jc w:val="center"/>
        <w:rPr>
          <w:rFonts w:hint="eastAsia"/>
          <w:b/>
          <w:bCs/>
          <w:sz w:val="36"/>
          <w:szCs w:val="36"/>
          <w:lang w:val="en-US" w:eastAsia="zh-CN"/>
        </w:rPr>
      </w:pPr>
      <w:r>
        <w:rPr>
          <w:rFonts w:hint="eastAsia"/>
          <w:b/>
          <w:bCs/>
          <w:sz w:val="36"/>
          <w:szCs w:val="36"/>
          <w:lang w:val="en-US" w:eastAsia="zh-CN"/>
        </w:rPr>
        <w:t>调研报价表</w:t>
      </w:r>
    </w:p>
    <w:p w14:paraId="1DBB4F4E">
      <w:pPr>
        <w:pStyle w:val="3"/>
        <w:rPr>
          <w:rFonts w:hint="eastAsia"/>
          <w:sz w:val="28"/>
          <w:szCs w:val="28"/>
          <w:lang w:val="en-US" w:eastAsia="zh-CN"/>
        </w:rPr>
      </w:pPr>
      <w:r>
        <w:rPr>
          <w:rFonts w:hint="eastAsia"/>
          <w:b/>
          <w:bCs/>
          <w:sz w:val="28"/>
          <w:szCs w:val="28"/>
          <w:lang w:val="en-US" w:eastAsia="zh-CN"/>
        </w:rPr>
        <w:t>一、项目清单</w:t>
      </w:r>
    </w:p>
    <w:tbl>
      <w:tblPr>
        <w:tblStyle w:val="6"/>
        <w:tblpPr w:leftFromText="180" w:rightFromText="180" w:vertAnchor="text" w:horzAnchor="page" w:tblpXSpec="center" w:tblpY="300"/>
        <w:tblOverlap w:val="never"/>
        <w:tblW w:w="4996"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424"/>
        <w:gridCol w:w="678"/>
        <w:gridCol w:w="5299"/>
        <w:gridCol w:w="722"/>
        <w:gridCol w:w="590"/>
        <w:gridCol w:w="587"/>
        <w:gridCol w:w="600"/>
        <w:gridCol w:w="765"/>
        <w:gridCol w:w="828"/>
      </w:tblGrid>
      <w:tr w14:paraId="18450B2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02" w:type="pct"/>
            <w:tcBorders>
              <w:top w:val="single" w:color="000000" w:sz="4" w:space="0"/>
              <w:left w:val="single" w:color="000000" w:sz="4" w:space="0"/>
              <w:bottom w:val="single" w:color="000000" w:sz="4" w:space="0"/>
              <w:right w:val="single" w:color="000000" w:sz="4" w:space="0"/>
            </w:tcBorders>
            <w:vAlign w:val="center"/>
          </w:tcPr>
          <w:p w14:paraId="5276A357">
            <w:pPr>
              <w:snapToGrid w:val="0"/>
              <w:spacing w:line="400" w:lineRule="exact"/>
              <w:jc w:val="center"/>
              <w:rPr>
                <w:rFonts w:hint="eastAsia"/>
                <w:color w:val="auto"/>
                <w:highlight w:val="none"/>
              </w:rPr>
            </w:pPr>
            <w:r>
              <w:rPr>
                <w:rFonts w:hint="eastAsia"/>
                <w:color w:val="auto"/>
                <w:highlight w:val="none"/>
              </w:rPr>
              <w:t>序号</w:t>
            </w:r>
          </w:p>
        </w:tc>
        <w:tc>
          <w:tcPr>
            <w:tcW w:w="323" w:type="pct"/>
            <w:tcBorders>
              <w:top w:val="single" w:color="000000" w:sz="4" w:space="0"/>
              <w:left w:val="single" w:color="000000" w:sz="4" w:space="0"/>
              <w:bottom w:val="single" w:color="000000" w:sz="4" w:space="0"/>
              <w:right w:val="single" w:color="000000" w:sz="4" w:space="0"/>
            </w:tcBorders>
            <w:vAlign w:val="center"/>
          </w:tcPr>
          <w:p w14:paraId="1A2CDAAB">
            <w:pPr>
              <w:snapToGrid w:val="0"/>
              <w:spacing w:line="400" w:lineRule="exact"/>
              <w:jc w:val="center"/>
              <w:rPr>
                <w:rFonts w:hint="eastAsia"/>
              </w:rPr>
            </w:pPr>
            <w:r>
              <w:rPr>
                <w:rFonts w:hint="eastAsia"/>
                <w:color w:val="auto"/>
                <w:highlight w:val="none"/>
              </w:rPr>
              <w:t>名称</w:t>
            </w:r>
          </w:p>
        </w:tc>
        <w:tc>
          <w:tcPr>
            <w:tcW w:w="2525" w:type="pct"/>
            <w:tcBorders>
              <w:top w:val="single" w:color="000000" w:sz="4" w:space="0"/>
              <w:left w:val="single" w:color="000000" w:sz="4" w:space="0"/>
              <w:bottom w:val="single" w:color="000000" w:sz="4" w:space="0"/>
              <w:right w:val="single" w:color="000000" w:sz="4" w:space="0"/>
            </w:tcBorders>
            <w:vAlign w:val="center"/>
          </w:tcPr>
          <w:p w14:paraId="3E96C2CB">
            <w:pPr>
              <w:snapToGrid w:val="0"/>
              <w:spacing w:line="400" w:lineRule="exact"/>
              <w:jc w:val="center"/>
              <w:rPr>
                <w:rFonts w:hint="eastAsia"/>
                <w:color w:val="auto"/>
                <w:highlight w:val="none"/>
              </w:rPr>
            </w:pPr>
            <w:r>
              <w:rPr>
                <w:rFonts w:hint="eastAsia"/>
                <w:color w:val="auto"/>
                <w:highlight w:val="none"/>
              </w:rPr>
              <w:t>技术参数及性能（配置）要求</w:t>
            </w:r>
          </w:p>
        </w:tc>
        <w:tc>
          <w:tcPr>
            <w:tcW w:w="344" w:type="pct"/>
            <w:tcBorders>
              <w:top w:val="single" w:color="000000" w:sz="4" w:space="0"/>
              <w:left w:val="single" w:color="000000" w:sz="4" w:space="0"/>
              <w:bottom w:val="single" w:color="000000" w:sz="4" w:space="0"/>
              <w:right w:val="single" w:color="000000" w:sz="4" w:space="0"/>
            </w:tcBorders>
            <w:vAlign w:val="center"/>
          </w:tcPr>
          <w:p w14:paraId="3F65F772">
            <w:pPr>
              <w:snapToGrid w:val="0"/>
              <w:spacing w:line="400" w:lineRule="exact"/>
              <w:jc w:val="center"/>
              <w:rPr>
                <w:rFonts w:hint="eastAsia"/>
                <w:color w:val="auto"/>
                <w:highlight w:val="none"/>
                <w:lang w:val="en-US" w:eastAsia="zh-CN"/>
              </w:rPr>
            </w:pPr>
            <w:r>
              <w:rPr>
                <w:rFonts w:hint="eastAsia"/>
                <w:color w:val="auto"/>
                <w:highlight w:val="none"/>
                <w:lang w:val="en-US" w:eastAsia="zh-CN"/>
              </w:rPr>
              <w:t>参考品牌</w:t>
            </w:r>
          </w:p>
        </w:tc>
        <w:tc>
          <w:tcPr>
            <w:tcW w:w="281" w:type="pct"/>
            <w:tcBorders>
              <w:top w:val="single" w:color="000000" w:sz="4" w:space="0"/>
              <w:left w:val="single" w:color="000000" w:sz="4" w:space="0"/>
              <w:bottom w:val="single" w:color="000000" w:sz="4" w:space="0"/>
              <w:right w:val="single" w:color="000000" w:sz="4" w:space="0"/>
            </w:tcBorders>
            <w:vAlign w:val="center"/>
          </w:tcPr>
          <w:p w14:paraId="0529B602">
            <w:pPr>
              <w:snapToGrid w:val="0"/>
              <w:spacing w:line="400" w:lineRule="exact"/>
              <w:jc w:val="center"/>
              <w:rPr>
                <w:rFonts w:hint="default"/>
                <w:color w:val="auto"/>
                <w:highlight w:val="none"/>
                <w:lang w:val="en-US" w:eastAsia="zh-CN"/>
              </w:rPr>
            </w:pPr>
            <w:r>
              <w:rPr>
                <w:rFonts w:hint="eastAsia"/>
                <w:color w:val="auto"/>
                <w:highlight w:val="none"/>
                <w:lang w:val="en-US" w:eastAsia="zh-CN"/>
              </w:rPr>
              <w:t>参数是否偏离</w:t>
            </w:r>
          </w:p>
        </w:tc>
        <w:tc>
          <w:tcPr>
            <w:tcW w:w="279" w:type="pct"/>
            <w:tcBorders>
              <w:top w:val="single" w:color="000000" w:sz="4" w:space="0"/>
              <w:left w:val="single" w:color="000000" w:sz="4" w:space="0"/>
              <w:bottom w:val="single" w:color="000000" w:sz="4" w:space="0"/>
              <w:right w:val="single" w:color="000000" w:sz="4" w:space="0"/>
            </w:tcBorders>
            <w:vAlign w:val="center"/>
          </w:tcPr>
          <w:p w14:paraId="10341C51">
            <w:pPr>
              <w:snapToGrid w:val="0"/>
              <w:spacing w:line="400" w:lineRule="exact"/>
              <w:jc w:val="center"/>
              <w:rPr>
                <w:rFonts w:hint="default"/>
                <w:color w:val="auto"/>
                <w:highlight w:val="none"/>
                <w:lang w:val="en-US" w:eastAsia="zh-CN"/>
              </w:rPr>
            </w:pPr>
            <w:r>
              <w:rPr>
                <w:rFonts w:hint="eastAsia"/>
                <w:color w:val="auto"/>
                <w:highlight w:val="none"/>
                <w:lang w:val="en-US" w:eastAsia="zh-CN"/>
              </w:rPr>
              <w:t>单位</w:t>
            </w:r>
          </w:p>
        </w:tc>
        <w:tc>
          <w:tcPr>
            <w:tcW w:w="285" w:type="pct"/>
            <w:tcBorders>
              <w:top w:val="single" w:color="000000" w:sz="4" w:space="0"/>
              <w:left w:val="single" w:color="000000" w:sz="4" w:space="0"/>
              <w:bottom w:val="single" w:color="000000" w:sz="4" w:space="0"/>
              <w:right w:val="single" w:color="000000" w:sz="4" w:space="0"/>
            </w:tcBorders>
            <w:vAlign w:val="center"/>
          </w:tcPr>
          <w:p w14:paraId="704D10F7">
            <w:pPr>
              <w:snapToGrid w:val="0"/>
              <w:spacing w:line="400" w:lineRule="exact"/>
              <w:jc w:val="center"/>
              <w:rPr>
                <w:rFonts w:hint="default"/>
                <w:color w:val="auto"/>
                <w:highlight w:val="none"/>
                <w:lang w:val="en-US" w:eastAsia="zh-CN"/>
              </w:rPr>
            </w:pPr>
            <w:r>
              <w:rPr>
                <w:rFonts w:hint="eastAsia"/>
                <w:color w:val="auto"/>
                <w:highlight w:val="none"/>
                <w:lang w:val="en-US" w:eastAsia="zh-CN"/>
              </w:rPr>
              <w:t>数量</w:t>
            </w:r>
          </w:p>
        </w:tc>
        <w:tc>
          <w:tcPr>
            <w:tcW w:w="364" w:type="pct"/>
            <w:tcBorders>
              <w:top w:val="single" w:color="000000" w:sz="4" w:space="0"/>
              <w:left w:val="single" w:color="000000" w:sz="4" w:space="0"/>
              <w:bottom w:val="single" w:color="000000" w:sz="4" w:space="0"/>
              <w:right w:val="single" w:color="000000" w:sz="4" w:space="0"/>
            </w:tcBorders>
            <w:vAlign w:val="center"/>
          </w:tcPr>
          <w:p w14:paraId="1F444CF8">
            <w:pPr>
              <w:snapToGrid w:val="0"/>
              <w:spacing w:line="400" w:lineRule="exact"/>
              <w:jc w:val="center"/>
              <w:rPr>
                <w:rFonts w:hint="default"/>
                <w:color w:val="auto"/>
                <w:highlight w:val="none"/>
                <w:lang w:val="en-US" w:eastAsia="zh-CN"/>
              </w:rPr>
            </w:pPr>
            <w:r>
              <w:rPr>
                <w:rFonts w:hint="eastAsia"/>
                <w:color w:val="auto"/>
                <w:highlight w:val="none"/>
                <w:lang w:val="en-US" w:eastAsia="zh-CN"/>
              </w:rPr>
              <w:t>单价（元）</w:t>
            </w:r>
          </w:p>
        </w:tc>
        <w:tc>
          <w:tcPr>
            <w:tcW w:w="394" w:type="pct"/>
            <w:tcBorders>
              <w:top w:val="single" w:color="000000" w:sz="4" w:space="0"/>
              <w:left w:val="single" w:color="000000" w:sz="4" w:space="0"/>
              <w:bottom w:val="single" w:color="000000" w:sz="4" w:space="0"/>
              <w:right w:val="single" w:color="000000" w:sz="4" w:space="0"/>
            </w:tcBorders>
            <w:vAlign w:val="center"/>
          </w:tcPr>
          <w:p w14:paraId="4A2E3B29">
            <w:pPr>
              <w:snapToGrid w:val="0"/>
              <w:spacing w:line="400" w:lineRule="exact"/>
              <w:jc w:val="center"/>
              <w:rPr>
                <w:rFonts w:hint="default"/>
                <w:color w:val="auto"/>
                <w:highlight w:val="none"/>
                <w:lang w:val="en-US" w:eastAsia="zh-CN"/>
              </w:rPr>
            </w:pPr>
            <w:r>
              <w:rPr>
                <w:rFonts w:hint="eastAsia"/>
                <w:color w:val="auto"/>
                <w:highlight w:val="none"/>
                <w:lang w:val="en-US" w:eastAsia="zh-CN"/>
              </w:rPr>
              <w:t>小计（元）</w:t>
            </w:r>
          </w:p>
        </w:tc>
      </w:tr>
      <w:tr w14:paraId="0B77280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2" w:type="pct"/>
            <w:vMerge w:val="restart"/>
            <w:tcBorders>
              <w:top w:val="single" w:color="000000" w:sz="4" w:space="0"/>
              <w:left w:val="single" w:color="000000" w:sz="4" w:space="0"/>
              <w:right w:val="single" w:color="000000" w:sz="4" w:space="0"/>
            </w:tcBorders>
            <w:vAlign w:val="center"/>
          </w:tcPr>
          <w:p w14:paraId="35D62EC7">
            <w:pPr>
              <w:snapToGrid w:val="0"/>
              <w:spacing w:line="400" w:lineRule="exact"/>
              <w:jc w:val="center"/>
              <w:rPr>
                <w:rFonts w:hint="eastAsia" w:eastAsiaTheme="minorEastAsia"/>
                <w:color w:val="auto"/>
                <w:highlight w:val="none"/>
                <w:lang w:val="en-US" w:eastAsia="zh-CN"/>
              </w:rPr>
            </w:pPr>
            <w:r>
              <w:rPr>
                <w:rFonts w:hint="eastAsia"/>
                <w:color w:val="auto"/>
                <w:highlight w:val="none"/>
                <w:lang w:val="en-US" w:eastAsia="zh-CN"/>
              </w:rPr>
              <w:t>1</w:t>
            </w:r>
          </w:p>
        </w:tc>
        <w:tc>
          <w:tcPr>
            <w:tcW w:w="323" w:type="pct"/>
            <w:tcBorders>
              <w:top w:val="single" w:color="000000" w:sz="4" w:space="0"/>
              <w:left w:val="single" w:color="000000" w:sz="4" w:space="0"/>
              <w:bottom w:val="single" w:color="000000" w:sz="4" w:space="0"/>
              <w:right w:val="single" w:color="000000" w:sz="4" w:space="0"/>
            </w:tcBorders>
            <w:vAlign w:val="center"/>
          </w:tcPr>
          <w:p w14:paraId="12B42770">
            <w:pPr>
              <w:snapToGrid w:val="0"/>
              <w:spacing w:line="400" w:lineRule="exact"/>
              <w:jc w:val="both"/>
              <w:rPr>
                <w:rFonts w:hint="default" w:eastAsiaTheme="minorEastAsia"/>
                <w:color w:val="auto"/>
                <w:highlight w:val="none"/>
                <w:lang w:val="en-US" w:eastAsia="zh-CN"/>
              </w:rPr>
            </w:pPr>
            <w:r>
              <w:rPr>
                <w:rFonts w:hint="eastAsia"/>
                <w:color w:val="auto"/>
                <w:highlight w:val="none"/>
                <w:lang w:val="en-US" w:eastAsia="zh-CN"/>
              </w:rPr>
              <w:t>地面找平</w:t>
            </w:r>
          </w:p>
        </w:tc>
        <w:tc>
          <w:tcPr>
            <w:tcW w:w="2525" w:type="pct"/>
            <w:tcBorders>
              <w:top w:val="single" w:color="000000" w:sz="4" w:space="0"/>
              <w:left w:val="single" w:color="000000" w:sz="4" w:space="0"/>
              <w:bottom w:val="single" w:color="000000" w:sz="4" w:space="0"/>
              <w:right w:val="single" w:color="000000" w:sz="4" w:space="0"/>
            </w:tcBorders>
            <w:vAlign w:val="center"/>
          </w:tcPr>
          <w:p w14:paraId="591E86F5">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1.原混凝土地面勾机破碎，碴土运走，排水筛接好找平，泵送C30混凝土铺垫厚度15cm，</w:t>
            </w:r>
          </w:p>
          <w:p w14:paraId="57AD3E4B">
            <w:pPr>
              <w:pStyle w:val="9"/>
              <w:ind w:left="0" w:leftChars="0" w:firstLine="0" w:firstLineChars="0"/>
              <w:jc w:val="left"/>
              <w:rPr>
                <w:rFonts w:hint="eastAsia" w:ascii="Arial" w:hAnsi="Arial" w:cs="Arial"/>
                <w:color w:val="auto"/>
                <w:highlight w:val="none"/>
                <w:lang w:val="en-US" w:eastAsia="zh-CN"/>
              </w:rPr>
            </w:pPr>
            <w:r>
              <w:rPr>
                <w:rFonts w:hint="eastAsia"/>
                <w:lang w:val="en-US" w:eastAsia="zh-CN"/>
              </w:rPr>
              <w:t>2.</w:t>
            </w:r>
            <w:r>
              <w:rPr>
                <w:rFonts w:hint="eastAsia" w:ascii="Arial" w:hAnsi="Arial" w:cs="Arial"/>
                <w:color w:val="auto"/>
                <w:highlight w:val="none"/>
                <w:lang w:val="en-US" w:eastAsia="zh-CN"/>
              </w:rPr>
              <w:t>整个层面要求：</w:t>
            </w:r>
          </w:p>
          <w:p w14:paraId="1AB193F8">
            <w:pPr>
              <w:keepNext w:val="0"/>
              <w:keepLines w:val="0"/>
              <w:widowControl/>
              <w:suppressLineNumbers w:val="0"/>
              <w:jc w:val="left"/>
              <w:rPr>
                <w:rFonts w:hint="eastAsia"/>
                <w:lang w:val="en-US" w:eastAsia="zh-CN"/>
              </w:rPr>
            </w:pPr>
            <w:r>
              <w:rPr>
                <w:rFonts w:hint="eastAsia"/>
                <w:lang w:val="en-US" w:eastAsia="zh-CN"/>
              </w:rPr>
              <w:t>3.篮球场地横向（短边）坡度≤0.8%，纵向（长边）坡度≤0.6%；两用球场横向（短边）坡度≤0.2%，纵向（长边）坡度≤0.4%；随意选点用3米直尺度量，凹陷</w:t>
            </w:r>
            <w:r>
              <w:rPr>
                <w:rFonts w:hint="default"/>
                <w:lang w:val="en-US" w:eastAsia="zh-CN"/>
              </w:rPr>
              <w:t>≤</w:t>
            </w:r>
            <w:r>
              <w:rPr>
                <w:rFonts w:hint="eastAsia"/>
                <w:lang w:val="en-US" w:eastAsia="zh-CN"/>
              </w:rPr>
              <w:t>5mm</w:t>
            </w:r>
          </w:p>
          <w:p w14:paraId="180357CD">
            <w:pPr>
              <w:pStyle w:val="9"/>
              <w:ind w:left="0" w:leftChars="0" w:firstLine="0" w:firstLineChars="0"/>
              <w:jc w:val="left"/>
              <w:rPr>
                <w:rFonts w:hint="eastAsia"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4</w:t>
            </w:r>
            <w:r>
              <w:rPr>
                <w:rFonts w:hint="eastAsia" w:asciiTheme="minorHAnsi" w:hAnsiTheme="minorHAnsi" w:eastAsiaTheme="minorEastAsia" w:cstheme="minorBidi"/>
                <w:kern w:val="2"/>
                <w:sz w:val="21"/>
                <w:szCs w:val="24"/>
                <w:lang w:val="en-US" w:eastAsia="zh-CN" w:bidi="ar-SA"/>
              </w:rPr>
              <w:t>基层面平整坚实，密实度达95%以上，面漆涂布均匀、无气泡、无结块，有防滑处理</w:t>
            </w:r>
          </w:p>
          <w:p w14:paraId="2303F1B8">
            <w:pPr>
              <w:pStyle w:val="9"/>
              <w:ind w:left="0" w:leftChars="0" w:firstLine="0" w:firstLineChars="0"/>
              <w:jc w:val="left"/>
              <w:rPr>
                <w:rFonts w:hint="default" w:ascii="Arial" w:hAnsi="Arial" w:cs="Arial"/>
                <w:color w:val="auto"/>
                <w:highlight w:val="none"/>
                <w:lang w:val="en-US" w:eastAsia="zh-CN"/>
              </w:rPr>
            </w:pPr>
            <w:r>
              <w:rPr>
                <w:rFonts w:hint="eastAsia" w:cstheme="minorBidi"/>
                <w:kern w:val="2"/>
                <w:sz w:val="21"/>
                <w:szCs w:val="24"/>
                <w:lang w:val="en-US" w:eastAsia="zh-CN" w:bidi="ar-SA"/>
              </w:rPr>
              <w:t>5</w:t>
            </w:r>
            <w:r>
              <w:rPr>
                <w:rFonts w:hint="eastAsia" w:asciiTheme="minorHAnsi" w:hAnsiTheme="minorHAnsi" w:eastAsiaTheme="minorEastAsia" w:cstheme="minorBidi"/>
                <w:kern w:val="2"/>
                <w:sz w:val="21"/>
                <w:szCs w:val="24"/>
                <w:lang w:val="en-US" w:eastAsia="zh-CN" w:bidi="ar-SA"/>
              </w:rPr>
              <w:t>.球场面积：</w:t>
            </w:r>
            <w:r>
              <w:rPr>
                <w:rFonts w:hint="eastAsia" w:cstheme="minorBidi"/>
                <w:kern w:val="2"/>
                <w:sz w:val="21"/>
                <w:szCs w:val="24"/>
                <w:lang w:val="en-US" w:eastAsia="zh-CN" w:bidi="ar-SA"/>
              </w:rPr>
              <w:t>18*31</w:t>
            </w:r>
          </w:p>
        </w:tc>
        <w:tc>
          <w:tcPr>
            <w:tcW w:w="344" w:type="pct"/>
            <w:tcBorders>
              <w:top w:val="single" w:color="000000" w:sz="4" w:space="0"/>
              <w:left w:val="single" w:color="000000" w:sz="4" w:space="0"/>
              <w:bottom w:val="single" w:color="000000" w:sz="4" w:space="0"/>
              <w:right w:val="single" w:color="000000" w:sz="4" w:space="0"/>
            </w:tcBorders>
            <w:vAlign w:val="center"/>
          </w:tcPr>
          <w:p w14:paraId="79407F9F">
            <w:pPr>
              <w:pStyle w:val="9"/>
              <w:ind w:left="0" w:leftChars="0" w:firstLine="0" w:firstLineChars="0"/>
              <w:jc w:val="both"/>
              <w:rPr>
                <w:rFonts w:hint="eastAsia"/>
                <w:lang w:val="en-US" w:eastAsia="zh-CN"/>
              </w:rPr>
            </w:pPr>
          </w:p>
        </w:tc>
        <w:tc>
          <w:tcPr>
            <w:tcW w:w="281" w:type="pct"/>
            <w:tcBorders>
              <w:top w:val="single" w:color="000000" w:sz="4" w:space="0"/>
              <w:left w:val="single" w:color="000000" w:sz="4" w:space="0"/>
              <w:bottom w:val="single" w:color="000000" w:sz="4" w:space="0"/>
              <w:right w:val="single" w:color="000000" w:sz="4" w:space="0"/>
            </w:tcBorders>
            <w:vAlign w:val="center"/>
          </w:tcPr>
          <w:p w14:paraId="22DBB6E6">
            <w:pPr>
              <w:pStyle w:val="9"/>
              <w:ind w:left="0" w:leftChars="0" w:firstLine="0" w:firstLineChars="0"/>
              <w:jc w:val="both"/>
              <w:rPr>
                <w:rFonts w:hint="eastAsia"/>
                <w:lang w:val="en-US" w:eastAsia="zh-CN"/>
              </w:rPr>
            </w:pPr>
          </w:p>
        </w:tc>
        <w:tc>
          <w:tcPr>
            <w:tcW w:w="279" w:type="pct"/>
            <w:tcBorders>
              <w:top w:val="single" w:color="000000" w:sz="4" w:space="0"/>
              <w:left w:val="single" w:color="000000" w:sz="4" w:space="0"/>
              <w:bottom w:val="single" w:color="000000" w:sz="4" w:space="0"/>
              <w:right w:val="single" w:color="000000" w:sz="4" w:space="0"/>
            </w:tcBorders>
            <w:vAlign w:val="center"/>
          </w:tcPr>
          <w:p w14:paraId="0FBB5744">
            <w:pPr>
              <w:pStyle w:val="9"/>
              <w:ind w:left="0" w:leftChars="0" w:firstLine="0" w:firstLineChars="0"/>
              <w:jc w:val="center"/>
              <w:rPr>
                <w:rFonts w:hint="default"/>
                <w:lang w:val="en-US" w:eastAsia="zh-CN"/>
              </w:rPr>
            </w:pPr>
            <w:r>
              <w:rPr>
                <w:rFonts w:hint="eastAsia"/>
                <w:lang w:val="en-US" w:eastAsia="zh-CN"/>
              </w:rPr>
              <w:t>平方米</w:t>
            </w:r>
          </w:p>
        </w:tc>
        <w:tc>
          <w:tcPr>
            <w:tcW w:w="285" w:type="pct"/>
            <w:tcBorders>
              <w:top w:val="single" w:color="000000" w:sz="4" w:space="0"/>
              <w:left w:val="single" w:color="000000" w:sz="4" w:space="0"/>
              <w:bottom w:val="single" w:color="000000" w:sz="4" w:space="0"/>
              <w:right w:val="single" w:color="000000" w:sz="4" w:space="0"/>
            </w:tcBorders>
            <w:vAlign w:val="center"/>
          </w:tcPr>
          <w:p w14:paraId="7E128B7D">
            <w:pPr>
              <w:pStyle w:val="9"/>
              <w:ind w:left="0" w:leftChars="0" w:firstLine="0" w:firstLineChars="0"/>
              <w:jc w:val="center"/>
              <w:rPr>
                <w:rFonts w:hint="default"/>
                <w:lang w:val="en-US" w:eastAsia="zh-CN"/>
              </w:rPr>
            </w:pPr>
            <w:r>
              <w:rPr>
                <w:rFonts w:hint="eastAsia"/>
                <w:lang w:val="en-US" w:eastAsia="zh-CN"/>
              </w:rPr>
              <w:t>558</w:t>
            </w:r>
          </w:p>
        </w:tc>
        <w:tc>
          <w:tcPr>
            <w:tcW w:w="364" w:type="pct"/>
            <w:tcBorders>
              <w:top w:val="single" w:color="000000" w:sz="4" w:space="0"/>
              <w:left w:val="single" w:color="000000" w:sz="4" w:space="0"/>
              <w:bottom w:val="single" w:color="000000" w:sz="4" w:space="0"/>
              <w:right w:val="single" w:color="000000" w:sz="4" w:space="0"/>
            </w:tcBorders>
            <w:vAlign w:val="center"/>
          </w:tcPr>
          <w:p w14:paraId="7FF044BC">
            <w:pPr>
              <w:pStyle w:val="9"/>
              <w:ind w:left="0" w:leftChars="0" w:firstLine="0" w:firstLineChars="0"/>
              <w:jc w:val="center"/>
              <w:rPr>
                <w:rFonts w:hint="eastAsia"/>
                <w:lang w:val="en-US" w:eastAsia="zh-CN"/>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6D708131">
            <w:pPr>
              <w:pStyle w:val="9"/>
              <w:ind w:left="0" w:leftChars="0" w:firstLine="0" w:firstLineChars="0"/>
              <w:jc w:val="center"/>
              <w:rPr>
                <w:rFonts w:hint="eastAsia"/>
                <w:lang w:val="en-US" w:eastAsia="zh-CN"/>
              </w:rPr>
            </w:pPr>
          </w:p>
          <w:p w14:paraId="24C96B7D">
            <w:pPr>
              <w:pStyle w:val="9"/>
              <w:ind w:left="0" w:leftChars="0" w:firstLine="0" w:firstLineChars="0"/>
              <w:jc w:val="center"/>
              <w:rPr>
                <w:rFonts w:hint="eastAsia"/>
                <w:lang w:val="en-US" w:eastAsia="zh-CN"/>
              </w:rPr>
            </w:pPr>
          </w:p>
        </w:tc>
      </w:tr>
      <w:tr w14:paraId="7D8F50A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02" w:type="pct"/>
            <w:vMerge w:val="continue"/>
            <w:tcBorders>
              <w:left w:val="single" w:color="000000" w:sz="4" w:space="0"/>
              <w:bottom w:val="single" w:color="000000" w:sz="4" w:space="0"/>
              <w:right w:val="single" w:color="000000" w:sz="4" w:space="0"/>
            </w:tcBorders>
            <w:vAlign w:val="center"/>
          </w:tcPr>
          <w:p w14:paraId="1F45F4EB">
            <w:pPr>
              <w:snapToGrid w:val="0"/>
              <w:spacing w:line="400" w:lineRule="exact"/>
              <w:jc w:val="center"/>
              <w:rPr>
                <w:rFonts w:hint="eastAsia"/>
                <w:color w:val="auto"/>
                <w:highlight w:val="none"/>
              </w:rPr>
            </w:pPr>
          </w:p>
        </w:tc>
        <w:tc>
          <w:tcPr>
            <w:tcW w:w="323" w:type="pct"/>
            <w:tcBorders>
              <w:top w:val="single" w:color="000000" w:sz="4" w:space="0"/>
              <w:left w:val="single" w:color="000000" w:sz="4" w:space="0"/>
              <w:bottom w:val="single" w:color="000000" w:sz="4" w:space="0"/>
              <w:right w:val="single" w:color="000000" w:sz="4" w:space="0"/>
            </w:tcBorders>
            <w:vAlign w:val="center"/>
          </w:tcPr>
          <w:p w14:paraId="289390B6">
            <w:pPr>
              <w:snapToGrid w:val="0"/>
              <w:spacing w:line="400" w:lineRule="exact"/>
              <w:jc w:val="center"/>
              <w:rPr>
                <w:rFonts w:hint="default" w:eastAsiaTheme="minorEastAsia"/>
                <w:color w:val="auto"/>
                <w:highlight w:val="none"/>
                <w:lang w:val="en-US" w:eastAsia="zh-CN"/>
              </w:rPr>
            </w:pPr>
            <w:r>
              <w:rPr>
                <w:rFonts w:hint="eastAsia"/>
                <w:color w:val="auto"/>
                <w:highlight w:val="none"/>
                <w:lang w:val="en-US" w:eastAsia="zh-CN"/>
              </w:rPr>
              <w:t>丙烯酸</w:t>
            </w:r>
          </w:p>
        </w:tc>
        <w:tc>
          <w:tcPr>
            <w:tcW w:w="2525" w:type="pct"/>
            <w:tcBorders>
              <w:top w:val="single" w:color="000000" w:sz="4" w:space="0"/>
              <w:left w:val="single" w:color="000000" w:sz="4" w:space="0"/>
              <w:bottom w:val="single" w:color="000000" w:sz="4" w:space="0"/>
              <w:right w:val="single" w:color="000000" w:sz="4" w:space="0"/>
            </w:tcBorders>
            <w:vAlign w:val="center"/>
          </w:tcPr>
          <w:p w14:paraId="7BC9B6A7">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1.球场和缓冲区面漆要求为丙烯酸，符合国标GB/T 17598-2008，要求100%内稀酸类树脂成分，无毒，不含石棉，100%环保，为绿色环保产品</w:t>
            </w:r>
          </w:p>
          <w:p w14:paraId="4C18FBE4">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2.每层面漆的厚度要求2.0mm，施工层数要求6次（含划线）</w:t>
            </w:r>
          </w:p>
          <w:p w14:paraId="00ADDB7F">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3.场地配色要求：绿色#186537、红色#B82126</w:t>
            </w:r>
          </w:p>
          <w:p w14:paraId="4D5FDD76">
            <w:pPr>
              <w:pStyle w:val="9"/>
              <w:ind w:left="0" w:leftChars="0" w:firstLine="0" w:firstLineChars="0"/>
              <w:jc w:val="left"/>
              <w:rPr>
                <w:rFonts w:hint="eastAsia" w:ascii="Arial" w:hAnsi="Arial" w:cs="Arial"/>
                <w:color w:val="auto"/>
                <w:highlight w:val="none"/>
                <w:lang w:val="en-US" w:eastAsia="zh-CN"/>
              </w:rPr>
            </w:pPr>
            <w:r>
              <w:rPr>
                <w:rFonts w:hint="eastAsia"/>
                <w:color w:val="auto"/>
                <w:highlight w:val="none"/>
                <w:lang w:val="en-US" w:eastAsia="zh-CN"/>
              </w:rPr>
              <w:t>4.篮球场长28m、宽15m、净空</w:t>
            </w:r>
            <w:r>
              <w:rPr>
                <w:rFonts w:hint="default"/>
                <w:color w:val="auto"/>
                <w:highlight w:val="none"/>
                <w:lang w:val="en-US" w:eastAsia="zh-CN"/>
              </w:rPr>
              <w:t>≥</w:t>
            </w:r>
            <w:r>
              <w:rPr>
                <w:rFonts w:hint="eastAsia"/>
                <w:color w:val="auto"/>
                <w:highlight w:val="none"/>
                <w:lang w:val="en-US" w:eastAsia="zh-CN"/>
              </w:rPr>
              <w:t>7.0m，缓冲区距端线</w:t>
            </w:r>
            <w:r>
              <w:rPr>
                <w:rFonts w:hint="default"/>
                <w:color w:val="auto"/>
                <w:highlight w:val="none"/>
                <w:lang w:val="en-US" w:eastAsia="zh-CN"/>
              </w:rPr>
              <w:t>≥</w:t>
            </w:r>
            <w:r>
              <w:rPr>
                <w:rFonts w:hint="eastAsia"/>
                <w:color w:val="auto"/>
                <w:highlight w:val="none"/>
                <w:lang w:val="en-US" w:eastAsia="zh-CN"/>
              </w:rPr>
              <w:t>1.5m、距边线</w:t>
            </w:r>
            <w:r>
              <w:rPr>
                <w:rFonts w:hint="default"/>
                <w:color w:val="auto"/>
                <w:highlight w:val="none"/>
                <w:lang w:val="en-US" w:eastAsia="zh-CN"/>
              </w:rPr>
              <w:t>≥</w:t>
            </w:r>
            <w:r>
              <w:rPr>
                <w:rFonts w:hint="eastAsia"/>
                <w:color w:val="auto"/>
                <w:highlight w:val="none"/>
                <w:lang w:val="en-US" w:eastAsia="zh-CN"/>
              </w:rPr>
              <w:t>1.5m，场标线宽50mm</w:t>
            </w:r>
          </w:p>
        </w:tc>
        <w:tc>
          <w:tcPr>
            <w:tcW w:w="344" w:type="pct"/>
            <w:tcBorders>
              <w:top w:val="single" w:color="000000" w:sz="4" w:space="0"/>
              <w:left w:val="single" w:color="000000" w:sz="4" w:space="0"/>
              <w:bottom w:val="single" w:color="000000" w:sz="4" w:space="0"/>
              <w:right w:val="single" w:color="000000" w:sz="4" w:space="0"/>
            </w:tcBorders>
            <w:vAlign w:val="center"/>
          </w:tcPr>
          <w:p w14:paraId="5F165DE8">
            <w:pPr>
              <w:pStyle w:val="9"/>
              <w:ind w:left="0" w:leftChars="0" w:firstLine="0" w:firstLineChars="0"/>
              <w:jc w:val="both"/>
              <w:rPr>
                <w:rFonts w:hint="eastAsia"/>
                <w:lang w:val="en-US" w:eastAsia="zh-CN"/>
              </w:rPr>
            </w:pPr>
            <w:r>
              <w:rPr>
                <w:rFonts w:hint="eastAsia"/>
                <w:lang w:val="en-US" w:eastAsia="zh-CN"/>
              </w:rPr>
              <w:t>壹诺领跑/风铃树/实力</w:t>
            </w:r>
          </w:p>
        </w:tc>
        <w:tc>
          <w:tcPr>
            <w:tcW w:w="281" w:type="pct"/>
            <w:tcBorders>
              <w:top w:val="single" w:color="000000" w:sz="4" w:space="0"/>
              <w:left w:val="single" w:color="000000" w:sz="4" w:space="0"/>
              <w:bottom w:val="single" w:color="000000" w:sz="4" w:space="0"/>
              <w:right w:val="single" w:color="000000" w:sz="4" w:space="0"/>
            </w:tcBorders>
            <w:vAlign w:val="center"/>
          </w:tcPr>
          <w:p w14:paraId="0D3048B8">
            <w:pPr>
              <w:pStyle w:val="9"/>
              <w:ind w:left="0" w:leftChars="0" w:firstLine="0" w:firstLineChars="0"/>
              <w:jc w:val="both"/>
              <w:rPr>
                <w:rFonts w:hint="eastAsia"/>
                <w:lang w:val="en-US" w:eastAsia="zh-CN"/>
              </w:rPr>
            </w:pPr>
          </w:p>
        </w:tc>
        <w:tc>
          <w:tcPr>
            <w:tcW w:w="279" w:type="pct"/>
            <w:tcBorders>
              <w:top w:val="single" w:color="000000" w:sz="4" w:space="0"/>
              <w:left w:val="single" w:color="000000" w:sz="4" w:space="0"/>
              <w:bottom w:val="single" w:color="000000" w:sz="4" w:space="0"/>
              <w:right w:val="single" w:color="000000" w:sz="4" w:space="0"/>
            </w:tcBorders>
            <w:vAlign w:val="center"/>
          </w:tcPr>
          <w:p w14:paraId="49C0872D">
            <w:pPr>
              <w:pStyle w:val="9"/>
              <w:ind w:left="0" w:leftChars="0" w:firstLine="0" w:firstLineChars="0"/>
              <w:jc w:val="center"/>
              <w:rPr>
                <w:rFonts w:hint="default"/>
                <w:lang w:val="en-US" w:eastAsia="zh-CN"/>
              </w:rPr>
            </w:pPr>
            <w:r>
              <w:rPr>
                <w:rFonts w:hint="eastAsia"/>
                <w:lang w:val="en-US" w:eastAsia="zh-CN"/>
              </w:rPr>
              <w:t>平方米</w:t>
            </w:r>
          </w:p>
        </w:tc>
        <w:tc>
          <w:tcPr>
            <w:tcW w:w="285" w:type="pct"/>
            <w:tcBorders>
              <w:top w:val="single" w:color="000000" w:sz="4" w:space="0"/>
              <w:left w:val="single" w:color="000000" w:sz="4" w:space="0"/>
              <w:bottom w:val="single" w:color="000000" w:sz="4" w:space="0"/>
              <w:right w:val="single" w:color="000000" w:sz="4" w:space="0"/>
            </w:tcBorders>
            <w:vAlign w:val="center"/>
          </w:tcPr>
          <w:p w14:paraId="66192CB4">
            <w:pPr>
              <w:pStyle w:val="9"/>
              <w:ind w:left="0" w:leftChars="0" w:firstLine="0" w:firstLineChars="0"/>
              <w:jc w:val="center"/>
              <w:rPr>
                <w:rFonts w:hint="default"/>
                <w:lang w:val="en-US" w:eastAsia="zh-CN"/>
              </w:rPr>
            </w:pPr>
            <w:r>
              <w:rPr>
                <w:rFonts w:hint="eastAsia"/>
                <w:lang w:val="en-US" w:eastAsia="zh-CN"/>
              </w:rPr>
              <w:t>558</w:t>
            </w:r>
          </w:p>
        </w:tc>
        <w:tc>
          <w:tcPr>
            <w:tcW w:w="364" w:type="pct"/>
            <w:tcBorders>
              <w:top w:val="single" w:color="000000" w:sz="4" w:space="0"/>
              <w:left w:val="single" w:color="000000" w:sz="4" w:space="0"/>
              <w:bottom w:val="single" w:color="000000" w:sz="4" w:space="0"/>
              <w:right w:val="single" w:color="000000" w:sz="4" w:space="0"/>
            </w:tcBorders>
            <w:vAlign w:val="center"/>
          </w:tcPr>
          <w:p w14:paraId="19FE0F94">
            <w:pPr>
              <w:pStyle w:val="9"/>
              <w:ind w:left="0" w:leftChars="0" w:firstLine="0" w:firstLineChars="0"/>
              <w:jc w:val="center"/>
              <w:rPr>
                <w:rFonts w:hint="eastAsia"/>
                <w:lang w:val="en-US" w:eastAsia="zh-CN"/>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254722FA">
            <w:pPr>
              <w:pStyle w:val="9"/>
              <w:ind w:left="0" w:leftChars="0" w:firstLine="0" w:firstLineChars="0"/>
              <w:jc w:val="center"/>
              <w:rPr>
                <w:rFonts w:hint="eastAsia"/>
                <w:lang w:val="en-US" w:eastAsia="zh-CN"/>
              </w:rPr>
            </w:pPr>
          </w:p>
        </w:tc>
      </w:tr>
      <w:tr w14:paraId="4F6B5FC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202" w:type="pct"/>
            <w:tcBorders>
              <w:top w:val="single" w:color="000000" w:sz="4" w:space="0"/>
              <w:left w:val="single" w:color="000000" w:sz="4" w:space="0"/>
              <w:right w:val="single" w:color="000000" w:sz="4" w:space="0"/>
            </w:tcBorders>
            <w:vAlign w:val="center"/>
          </w:tcPr>
          <w:p w14:paraId="35EBDE54">
            <w:pPr>
              <w:snapToGrid w:val="0"/>
              <w:spacing w:line="400" w:lineRule="exact"/>
              <w:jc w:val="center"/>
              <w:rPr>
                <w:rFonts w:hint="eastAsia"/>
                <w:lang w:val="en-US" w:eastAsia="zh-CN"/>
              </w:rPr>
            </w:pPr>
            <w:r>
              <w:rPr>
                <w:rFonts w:hint="eastAsia"/>
                <w:lang w:val="en-US" w:eastAsia="zh-CN"/>
              </w:rPr>
              <w:t>2</w:t>
            </w:r>
          </w:p>
        </w:tc>
        <w:tc>
          <w:tcPr>
            <w:tcW w:w="323" w:type="pct"/>
            <w:tcBorders>
              <w:top w:val="single" w:color="000000" w:sz="4" w:space="0"/>
              <w:left w:val="single" w:color="000000" w:sz="4" w:space="0"/>
              <w:right w:val="single" w:color="000000" w:sz="4" w:space="0"/>
            </w:tcBorders>
            <w:vAlign w:val="center"/>
          </w:tcPr>
          <w:p w14:paraId="13209031">
            <w:pPr>
              <w:snapToGrid w:val="0"/>
              <w:spacing w:line="400" w:lineRule="exact"/>
              <w:jc w:val="center"/>
              <w:rPr>
                <w:rFonts w:hint="default" w:eastAsiaTheme="minorEastAsia"/>
                <w:lang w:val="en-US" w:eastAsia="zh-CN"/>
              </w:rPr>
            </w:pPr>
            <w:r>
              <w:rPr>
                <w:rFonts w:hint="eastAsia"/>
                <w:lang w:val="en-US" w:eastAsia="zh-CN"/>
              </w:rPr>
              <w:t>埋地篮球架</w:t>
            </w:r>
          </w:p>
        </w:tc>
        <w:tc>
          <w:tcPr>
            <w:tcW w:w="2525" w:type="pct"/>
            <w:tcBorders>
              <w:top w:val="single" w:color="000000" w:sz="4" w:space="0"/>
              <w:left w:val="single" w:color="000000" w:sz="4" w:space="0"/>
              <w:bottom w:val="single" w:color="000000" w:sz="4" w:space="0"/>
              <w:right w:val="single" w:color="000000" w:sz="4" w:space="0"/>
            </w:tcBorders>
            <w:vAlign w:val="center"/>
          </w:tcPr>
          <w:p w14:paraId="610F8E44">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1.要求埋地式篮球架</w:t>
            </w:r>
          </w:p>
          <w:p w14:paraId="69C27EA6">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2.标准篮球架高度为3.05m，</w:t>
            </w:r>
          </w:p>
          <w:p w14:paraId="49177D25">
            <w:pPr>
              <w:pStyle w:val="9"/>
              <w:ind w:left="0" w:leftChars="0" w:firstLine="0" w:firstLineChars="0"/>
              <w:jc w:val="left"/>
              <w:rPr>
                <w:rFonts w:hint="default"/>
                <w:color w:val="auto"/>
                <w:highlight w:val="none"/>
                <w:lang w:val="en-US" w:eastAsia="zh-CN"/>
              </w:rPr>
            </w:pPr>
            <w:r>
              <w:rPr>
                <w:rFonts w:hint="eastAsia"/>
                <w:color w:val="auto"/>
                <w:highlight w:val="none"/>
                <w:lang w:val="en-US" w:eastAsia="zh-CN"/>
              </w:rPr>
              <w:t>3.篮球架须配有篮板、篮圈、篮网：篮板横宽 1.80m，竖高1.05m，下沿距地面2.90m；篮圈内缘直径</w:t>
            </w:r>
            <w:r>
              <w:rPr>
                <w:rFonts w:hint="default"/>
                <w:color w:val="auto"/>
                <w:highlight w:val="none"/>
                <w:lang w:val="en-US" w:eastAsia="zh-CN"/>
              </w:rPr>
              <w:t>≤</w:t>
            </w:r>
            <w:r>
              <w:rPr>
                <w:rFonts w:hint="eastAsia"/>
                <w:color w:val="auto"/>
                <w:highlight w:val="none"/>
                <w:lang w:val="en-US" w:eastAsia="zh-CN"/>
              </w:rPr>
              <w:t>0.45m，高:3.05m；篮网标准网长大于40cm 小于45cm</w:t>
            </w:r>
          </w:p>
          <w:p w14:paraId="151D1E73">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4.主杆材质要求优质方管</w:t>
            </w:r>
          </w:p>
          <w:p w14:paraId="45C99FF3">
            <w:pPr>
              <w:pStyle w:val="9"/>
              <w:ind w:left="0" w:leftChars="0" w:firstLine="0" w:firstLineChars="0"/>
              <w:jc w:val="left"/>
              <w:rPr>
                <w:rFonts w:hint="default" w:ascii="Arial" w:hAnsi="Arial" w:cs="Arial"/>
                <w:color w:val="auto"/>
                <w:highlight w:val="none"/>
                <w:lang w:val="en-US" w:eastAsia="zh-CN"/>
              </w:rPr>
            </w:pPr>
            <w:r>
              <w:rPr>
                <w:rFonts w:hint="eastAsia"/>
                <w:color w:val="auto"/>
                <w:highlight w:val="none"/>
                <w:lang w:val="en-US" w:eastAsia="zh-CN"/>
              </w:rPr>
              <w:t>5.能应对日常室外高温、日晒、雨淋等天气，质保期内不生锈、变形、破损</w:t>
            </w:r>
          </w:p>
        </w:tc>
        <w:tc>
          <w:tcPr>
            <w:tcW w:w="344" w:type="pct"/>
            <w:tcBorders>
              <w:top w:val="single" w:color="000000" w:sz="4" w:space="0"/>
              <w:left w:val="single" w:color="000000" w:sz="4" w:space="0"/>
              <w:bottom w:val="single" w:color="000000" w:sz="4" w:space="0"/>
              <w:right w:val="single" w:color="000000" w:sz="4" w:space="0"/>
            </w:tcBorders>
            <w:vAlign w:val="center"/>
          </w:tcPr>
          <w:p w14:paraId="1DF3A55E">
            <w:pPr>
              <w:pStyle w:val="9"/>
              <w:ind w:left="0" w:leftChars="0" w:firstLine="0" w:firstLineChars="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给力/鑫海/鹏之泰</w:t>
            </w:r>
          </w:p>
        </w:tc>
        <w:tc>
          <w:tcPr>
            <w:tcW w:w="281" w:type="pct"/>
            <w:tcBorders>
              <w:top w:val="single" w:color="000000" w:sz="4" w:space="0"/>
              <w:left w:val="single" w:color="000000" w:sz="4" w:space="0"/>
              <w:bottom w:val="single" w:color="000000" w:sz="4" w:space="0"/>
              <w:right w:val="single" w:color="000000" w:sz="4" w:space="0"/>
            </w:tcBorders>
            <w:vAlign w:val="center"/>
          </w:tcPr>
          <w:p w14:paraId="21F51B79">
            <w:pPr>
              <w:pStyle w:val="9"/>
              <w:ind w:left="360" w:firstLine="0" w:firstLineChars="0"/>
              <w:jc w:val="both"/>
              <w:rPr>
                <w:rFonts w:hint="eastAsia"/>
                <w:color w:val="000000" w:themeColor="text1"/>
                <w:lang w:val="en-US" w:eastAsia="zh-CN"/>
                <w14:textFill>
                  <w14:solidFill>
                    <w14:schemeClr w14:val="tx1"/>
                  </w14:solidFill>
                </w14:textFill>
              </w:rPr>
            </w:pPr>
          </w:p>
        </w:tc>
        <w:tc>
          <w:tcPr>
            <w:tcW w:w="279" w:type="pct"/>
            <w:tcBorders>
              <w:top w:val="single" w:color="000000" w:sz="4" w:space="0"/>
              <w:left w:val="single" w:color="000000" w:sz="4" w:space="0"/>
              <w:bottom w:val="single" w:color="000000" w:sz="4" w:space="0"/>
              <w:right w:val="single" w:color="000000" w:sz="4" w:space="0"/>
            </w:tcBorders>
            <w:vAlign w:val="center"/>
          </w:tcPr>
          <w:p w14:paraId="5A6008A8">
            <w:pPr>
              <w:pStyle w:val="9"/>
              <w:ind w:left="0" w:leftChars="0" w:firstLine="0" w:firstLineChars="0"/>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套</w:t>
            </w:r>
          </w:p>
        </w:tc>
        <w:tc>
          <w:tcPr>
            <w:tcW w:w="285" w:type="pct"/>
            <w:tcBorders>
              <w:top w:val="single" w:color="000000" w:sz="4" w:space="0"/>
              <w:left w:val="single" w:color="000000" w:sz="4" w:space="0"/>
              <w:bottom w:val="single" w:color="000000" w:sz="4" w:space="0"/>
              <w:right w:val="single" w:color="000000" w:sz="4" w:space="0"/>
            </w:tcBorders>
            <w:vAlign w:val="center"/>
          </w:tcPr>
          <w:p w14:paraId="45B39EF3">
            <w:pPr>
              <w:pStyle w:val="9"/>
              <w:ind w:left="0" w:leftChars="0" w:firstLine="0" w:firstLineChars="0"/>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364" w:type="pct"/>
            <w:tcBorders>
              <w:top w:val="single" w:color="000000" w:sz="4" w:space="0"/>
              <w:left w:val="single" w:color="000000" w:sz="4" w:space="0"/>
              <w:bottom w:val="single" w:color="000000" w:sz="4" w:space="0"/>
              <w:right w:val="single" w:color="000000" w:sz="4" w:space="0"/>
            </w:tcBorders>
            <w:vAlign w:val="center"/>
          </w:tcPr>
          <w:p w14:paraId="45F09E4C">
            <w:pPr>
              <w:pStyle w:val="9"/>
              <w:ind w:left="360" w:firstLine="0" w:firstLineChars="0"/>
              <w:jc w:val="center"/>
              <w:rPr>
                <w:rFonts w:hint="eastAsia"/>
                <w:color w:val="000000" w:themeColor="text1"/>
                <w:lang w:val="en-US" w:eastAsia="zh-CN"/>
                <w14:textFill>
                  <w14:solidFill>
                    <w14:schemeClr w14:val="tx1"/>
                  </w14:solidFill>
                </w14:textFill>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12D82968">
            <w:pPr>
              <w:pStyle w:val="9"/>
              <w:ind w:left="360" w:firstLine="0" w:firstLineChars="0"/>
              <w:jc w:val="center"/>
              <w:rPr>
                <w:rFonts w:hint="eastAsia"/>
                <w:color w:val="000000" w:themeColor="text1"/>
                <w:lang w:val="en-US" w:eastAsia="zh-CN"/>
                <w14:textFill>
                  <w14:solidFill>
                    <w14:schemeClr w14:val="tx1"/>
                  </w14:solidFill>
                </w14:textFill>
              </w:rPr>
            </w:pPr>
          </w:p>
        </w:tc>
      </w:tr>
      <w:tr w14:paraId="4D54433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02" w:type="pct"/>
            <w:tcBorders>
              <w:top w:val="single" w:color="000000" w:sz="4" w:space="0"/>
              <w:left w:val="single" w:color="000000" w:sz="4" w:space="0"/>
              <w:bottom w:val="single" w:color="000000" w:sz="4" w:space="0"/>
              <w:right w:val="single" w:color="000000" w:sz="4" w:space="0"/>
            </w:tcBorders>
            <w:vAlign w:val="center"/>
          </w:tcPr>
          <w:p w14:paraId="0D3C53CE">
            <w:pPr>
              <w:pStyle w:val="2"/>
              <w:ind w:firstLine="0"/>
              <w:jc w:val="center"/>
              <w:rPr>
                <w:rFonts w:hint="eastAsia"/>
                <w:lang w:val="en-US" w:eastAsia="zh-CN"/>
              </w:rPr>
            </w:pPr>
            <w:r>
              <w:rPr>
                <w:rFonts w:hint="eastAsia"/>
                <w:lang w:val="en-US" w:eastAsia="zh-CN"/>
              </w:rPr>
              <w:t>3</w:t>
            </w:r>
          </w:p>
        </w:tc>
        <w:tc>
          <w:tcPr>
            <w:tcW w:w="323" w:type="pct"/>
            <w:tcBorders>
              <w:top w:val="single" w:color="000000" w:sz="4" w:space="0"/>
              <w:left w:val="single" w:color="000000" w:sz="4" w:space="0"/>
              <w:bottom w:val="single" w:color="000000" w:sz="4" w:space="0"/>
              <w:right w:val="single" w:color="000000" w:sz="4" w:space="0"/>
            </w:tcBorders>
            <w:vAlign w:val="center"/>
          </w:tcPr>
          <w:p w14:paraId="70818E51">
            <w:pPr>
              <w:snapToGrid w:val="0"/>
              <w:spacing w:line="400" w:lineRule="exact"/>
              <w:jc w:val="center"/>
              <w:rPr>
                <w:rFonts w:hint="default"/>
                <w:highlight w:val="none"/>
                <w:lang w:val="en-US" w:eastAsia="zh-CN"/>
              </w:rPr>
            </w:pPr>
            <w:r>
              <w:rPr>
                <w:rFonts w:hint="eastAsia"/>
                <w:highlight w:val="none"/>
                <w:lang w:val="en-US" w:eastAsia="zh-CN"/>
              </w:rPr>
              <w:t>球场外围栏</w:t>
            </w:r>
          </w:p>
        </w:tc>
        <w:tc>
          <w:tcPr>
            <w:tcW w:w="2525" w:type="pct"/>
            <w:tcBorders>
              <w:top w:val="single" w:color="000000" w:sz="4" w:space="0"/>
              <w:left w:val="single" w:color="000000" w:sz="4" w:space="0"/>
              <w:bottom w:val="single" w:color="000000" w:sz="4" w:space="0"/>
              <w:right w:val="single" w:color="000000" w:sz="4" w:space="0"/>
            </w:tcBorders>
            <w:vAlign w:val="center"/>
          </w:tcPr>
          <w:p w14:paraId="3C816177">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1.安装高度4m，立柱间距3m，日字形组装式</w:t>
            </w:r>
          </w:p>
          <w:p w14:paraId="69C67EFC">
            <w:pPr>
              <w:pStyle w:val="9"/>
              <w:ind w:left="0" w:leftChars="0" w:firstLine="0" w:firstLineChars="0"/>
              <w:jc w:val="left"/>
              <w:rPr>
                <w:rFonts w:hint="eastAsia"/>
                <w:color w:val="auto"/>
                <w:highlight w:val="none"/>
                <w:lang w:val="en-US" w:eastAsia="zh-CN"/>
              </w:rPr>
            </w:pPr>
            <w:r>
              <w:rPr>
                <w:rFonts w:hint="eastAsia"/>
                <w:color w:val="auto"/>
                <w:highlight w:val="none"/>
                <w:lang w:val="en-US" w:eastAsia="zh-CN"/>
              </w:rPr>
              <w:t>圆管立柱75*2.5mm塑后、圆管横梁60*2.0mm塑后立柱横梁套筒固定、包塑围网3.8mm孔径58*58mm、围网穿钢筋条固定，黑管/墨绿色浸塑工艺、立柱混凝土地面水钻打孔直埋40公分</w:t>
            </w:r>
          </w:p>
          <w:p w14:paraId="14F78678">
            <w:pPr>
              <w:numPr>
                <w:ilvl w:val="0"/>
                <w:numId w:val="0"/>
              </w:numPr>
              <w:jc w:val="left"/>
              <w:rPr>
                <w:rFonts w:hint="eastAsia"/>
                <w:lang w:val="en-US" w:eastAsia="zh-CN"/>
              </w:rPr>
            </w:pPr>
            <w:r>
              <w:rPr>
                <w:rFonts w:hint="eastAsia"/>
                <w:lang w:val="en-US" w:eastAsia="zh-CN"/>
              </w:rPr>
              <w:t>2.围网有同材质围网的门口1个，尺寸为宽2m高2m，要求隐藏门把手和门等突出部分</w:t>
            </w:r>
          </w:p>
          <w:p w14:paraId="2C8047E9">
            <w:pPr>
              <w:numPr>
                <w:ilvl w:val="0"/>
                <w:numId w:val="0"/>
              </w:numPr>
              <w:jc w:val="left"/>
              <w:rPr>
                <w:rFonts w:hint="eastAsia"/>
                <w:lang w:val="en-US" w:eastAsia="zh-CN"/>
              </w:rPr>
            </w:pPr>
            <w:r>
              <w:rPr>
                <w:rFonts w:hint="eastAsia"/>
                <w:lang w:val="en-US" w:eastAsia="zh-CN"/>
              </w:rPr>
              <w:t>3.围网应在篮球场尺寸基础上向外延伸1.5米</w:t>
            </w:r>
          </w:p>
          <w:p w14:paraId="4575FA69">
            <w:pPr>
              <w:pStyle w:val="3"/>
              <w:jc w:val="left"/>
              <w:rPr>
                <w:rFonts w:hint="default"/>
                <w:lang w:val="en-US" w:eastAsia="zh-CN"/>
              </w:rPr>
            </w:pPr>
            <w:r>
              <w:rPr>
                <w:rFonts w:hint="eastAsia"/>
                <w:b w:val="0"/>
                <w:bCs w:val="0"/>
                <w:lang w:val="en-US" w:eastAsia="zh-CN"/>
              </w:rPr>
              <w:t>4.围网灯柱：114管直径，厚度4.0毫米，两支8m高。</w:t>
            </w:r>
          </w:p>
        </w:tc>
        <w:tc>
          <w:tcPr>
            <w:tcW w:w="344" w:type="pct"/>
            <w:tcBorders>
              <w:top w:val="single" w:color="000000" w:sz="4" w:space="0"/>
              <w:left w:val="single" w:color="000000" w:sz="4" w:space="0"/>
              <w:bottom w:val="single" w:color="000000" w:sz="4" w:space="0"/>
              <w:right w:val="single" w:color="000000" w:sz="4" w:space="0"/>
            </w:tcBorders>
            <w:vAlign w:val="center"/>
          </w:tcPr>
          <w:p w14:paraId="5E3B88A4">
            <w:pPr>
              <w:jc w:val="both"/>
              <w:rPr>
                <w:rFonts w:hint="eastAsia"/>
                <w:lang w:val="en-US" w:eastAsia="zh-CN"/>
              </w:rPr>
            </w:pPr>
            <w:r>
              <w:rPr>
                <w:rFonts w:hint="eastAsia"/>
                <w:lang w:val="en-US" w:eastAsia="zh-CN"/>
              </w:rPr>
              <w:t>河川汇远/鑫源/鹏威</w:t>
            </w:r>
          </w:p>
        </w:tc>
        <w:tc>
          <w:tcPr>
            <w:tcW w:w="281" w:type="pct"/>
            <w:tcBorders>
              <w:top w:val="single" w:color="000000" w:sz="4" w:space="0"/>
              <w:left w:val="single" w:color="000000" w:sz="4" w:space="0"/>
              <w:bottom w:val="single" w:color="000000" w:sz="4" w:space="0"/>
              <w:right w:val="single" w:color="000000" w:sz="4" w:space="0"/>
            </w:tcBorders>
            <w:vAlign w:val="center"/>
          </w:tcPr>
          <w:p w14:paraId="11C69272">
            <w:pPr>
              <w:jc w:val="both"/>
              <w:rPr>
                <w:rFonts w:hint="eastAsia"/>
                <w:lang w:val="en-US" w:eastAsia="zh-CN"/>
              </w:rPr>
            </w:pPr>
          </w:p>
        </w:tc>
        <w:tc>
          <w:tcPr>
            <w:tcW w:w="279" w:type="pct"/>
            <w:tcBorders>
              <w:top w:val="single" w:color="000000" w:sz="4" w:space="0"/>
              <w:left w:val="single" w:color="000000" w:sz="4" w:space="0"/>
              <w:bottom w:val="single" w:color="000000" w:sz="4" w:space="0"/>
              <w:right w:val="single" w:color="000000" w:sz="4" w:space="0"/>
            </w:tcBorders>
            <w:vAlign w:val="center"/>
          </w:tcPr>
          <w:p w14:paraId="26BA40A2">
            <w:pPr>
              <w:jc w:val="center"/>
              <w:rPr>
                <w:rFonts w:hint="default"/>
                <w:lang w:val="en-US" w:eastAsia="zh-CN"/>
              </w:rPr>
            </w:pPr>
            <w:r>
              <w:rPr>
                <w:rFonts w:hint="eastAsia"/>
                <w:lang w:val="en-US" w:eastAsia="zh-CN"/>
              </w:rPr>
              <w:t>平方米</w:t>
            </w:r>
          </w:p>
        </w:tc>
        <w:tc>
          <w:tcPr>
            <w:tcW w:w="285" w:type="pct"/>
            <w:tcBorders>
              <w:top w:val="single" w:color="000000" w:sz="4" w:space="0"/>
              <w:left w:val="single" w:color="000000" w:sz="4" w:space="0"/>
              <w:bottom w:val="single" w:color="000000" w:sz="4" w:space="0"/>
              <w:right w:val="single" w:color="000000" w:sz="4" w:space="0"/>
            </w:tcBorders>
            <w:vAlign w:val="center"/>
          </w:tcPr>
          <w:p w14:paraId="469BC152">
            <w:pPr>
              <w:jc w:val="center"/>
              <w:rPr>
                <w:rFonts w:hint="default"/>
                <w:lang w:val="en-US" w:eastAsia="zh-CN"/>
              </w:rPr>
            </w:pPr>
            <w:r>
              <w:rPr>
                <w:rFonts w:hint="eastAsia"/>
                <w:lang w:val="en-US" w:eastAsia="zh-CN"/>
              </w:rPr>
              <w:t>268</w:t>
            </w:r>
          </w:p>
        </w:tc>
        <w:tc>
          <w:tcPr>
            <w:tcW w:w="364" w:type="pct"/>
            <w:tcBorders>
              <w:top w:val="single" w:color="000000" w:sz="4" w:space="0"/>
              <w:left w:val="single" w:color="000000" w:sz="4" w:space="0"/>
              <w:bottom w:val="single" w:color="000000" w:sz="4" w:space="0"/>
              <w:right w:val="single" w:color="000000" w:sz="4" w:space="0"/>
            </w:tcBorders>
            <w:vAlign w:val="center"/>
          </w:tcPr>
          <w:p w14:paraId="3F716281">
            <w:pPr>
              <w:jc w:val="center"/>
              <w:rPr>
                <w:rFonts w:hint="eastAsia"/>
                <w:lang w:val="en-US" w:eastAsia="zh-CN"/>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1C2BA246">
            <w:pPr>
              <w:jc w:val="center"/>
              <w:rPr>
                <w:rFonts w:hint="eastAsia"/>
                <w:lang w:val="en-US" w:eastAsia="zh-CN"/>
              </w:rPr>
            </w:pPr>
          </w:p>
        </w:tc>
      </w:tr>
      <w:tr w14:paraId="233AFF0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02" w:type="pct"/>
            <w:tcBorders>
              <w:top w:val="single" w:color="000000" w:sz="4" w:space="0"/>
              <w:left w:val="single" w:color="000000" w:sz="4" w:space="0"/>
              <w:bottom w:val="single" w:color="000000" w:sz="4" w:space="0"/>
              <w:right w:val="single" w:color="000000" w:sz="4" w:space="0"/>
            </w:tcBorders>
            <w:vAlign w:val="center"/>
          </w:tcPr>
          <w:p w14:paraId="11997FE6">
            <w:pPr>
              <w:pStyle w:val="2"/>
              <w:ind w:firstLine="0"/>
              <w:jc w:val="center"/>
              <w:rPr>
                <w:rFonts w:hint="default"/>
                <w:lang w:val="en-US" w:eastAsia="zh-CN"/>
              </w:rPr>
            </w:pPr>
            <w:r>
              <w:rPr>
                <w:rFonts w:hint="eastAsia"/>
                <w:lang w:val="en-US" w:eastAsia="zh-CN"/>
              </w:rPr>
              <w:t>4</w:t>
            </w:r>
          </w:p>
        </w:tc>
        <w:tc>
          <w:tcPr>
            <w:tcW w:w="323" w:type="pct"/>
            <w:tcBorders>
              <w:top w:val="single" w:color="000000" w:sz="4" w:space="0"/>
              <w:left w:val="single" w:color="000000" w:sz="4" w:space="0"/>
              <w:bottom w:val="single" w:color="000000" w:sz="4" w:space="0"/>
              <w:right w:val="single" w:color="000000" w:sz="4" w:space="0"/>
            </w:tcBorders>
            <w:vAlign w:val="center"/>
          </w:tcPr>
          <w:p w14:paraId="61DC60CC">
            <w:pPr>
              <w:snapToGrid w:val="0"/>
              <w:spacing w:line="400" w:lineRule="exact"/>
              <w:jc w:val="center"/>
              <w:rPr>
                <w:rFonts w:hint="default"/>
                <w:highlight w:val="none"/>
                <w:lang w:val="en-US" w:eastAsia="zh-CN"/>
              </w:rPr>
            </w:pPr>
            <w:r>
              <w:rPr>
                <w:rFonts w:hint="eastAsia"/>
                <w:highlight w:val="none"/>
                <w:lang w:val="en-US" w:eastAsia="zh-CN"/>
              </w:rPr>
              <w:t>灯具</w:t>
            </w:r>
          </w:p>
        </w:tc>
        <w:tc>
          <w:tcPr>
            <w:tcW w:w="2525" w:type="pct"/>
            <w:tcBorders>
              <w:top w:val="single" w:color="000000" w:sz="4" w:space="0"/>
              <w:left w:val="single" w:color="000000" w:sz="4" w:space="0"/>
              <w:bottom w:val="single" w:color="000000" w:sz="4" w:space="0"/>
              <w:right w:val="single" w:color="000000" w:sz="4" w:space="0"/>
            </w:tcBorders>
            <w:vAlign w:val="center"/>
          </w:tcPr>
          <w:p w14:paraId="701AB99D">
            <w:pPr>
              <w:pStyle w:val="3"/>
              <w:jc w:val="left"/>
              <w:rPr>
                <w:rFonts w:hint="default"/>
                <w:lang w:val="en-US" w:eastAsia="zh-CN"/>
              </w:rPr>
            </w:pPr>
            <w:r>
              <w:rPr>
                <w:rFonts w:hint="eastAsia" w:asciiTheme="minorHAnsi" w:hAnsiTheme="minorHAnsi" w:eastAsiaTheme="minorEastAsia" w:cstheme="minorBidi"/>
                <w:b w:val="0"/>
                <w:bCs w:val="0"/>
                <w:kern w:val="2"/>
                <w:sz w:val="21"/>
                <w:szCs w:val="24"/>
                <w:lang w:val="en-US" w:eastAsia="zh-CN" w:bidi="ar-SA"/>
              </w:rPr>
              <w:t>灯具参数：1.篮球场200WLED灯；2.光源外形：310*360*75mm，孔距150mm ；3.灯体颜色：灰色铝合金灯体+表面静电喷涂；4.光通量：20000Lm，发光角70~140；5.光色/色温：暖白色/5700K；6.高帝电源+普瑞芯片；7.防护等级：IP65</w:t>
            </w:r>
          </w:p>
        </w:tc>
        <w:tc>
          <w:tcPr>
            <w:tcW w:w="344" w:type="pct"/>
            <w:tcBorders>
              <w:top w:val="single" w:color="000000" w:sz="4" w:space="0"/>
              <w:left w:val="single" w:color="000000" w:sz="4" w:space="0"/>
              <w:bottom w:val="single" w:color="000000" w:sz="4" w:space="0"/>
              <w:right w:val="single" w:color="000000" w:sz="4" w:space="0"/>
            </w:tcBorders>
            <w:vAlign w:val="center"/>
          </w:tcPr>
          <w:p w14:paraId="702EED02">
            <w:pPr>
              <w:jc w:val="both"/>
              <w:rPr>
                <w:rFonts w:hint="eastAsia"/>
                <w:lang w:val="en-US" w:eastAsia="zh-CN"/>
              </w:rPr>
            </w:pPr>
            <w:r>
              <w:rPr>
                <w:rFonts w:hint="eastAsia"/>
                <w:lang w:val="en-US" w:eastAsia="zh-CN"/>
              </w:rPr>
              <w:t>柏克/顶鸣/洲明</w:t>
            </w:r>
          </w:p>
        </w:tc>
        <w:tc>
          <w:tcPr>
            <w:tcW w:w="281" w:type="pct"/>
            <w:tcBorders>
              <w:top w:val="single" w:color="000000" w:sz="4" w:space="0"/>
              <w:left w:val="single" w:color="000000" w:sz="4" w:space="0"/>
              <w:bottom w:val="single" w:color="000000" w:sz="4" w:space="0"/>
              <w:right w:val="single" w:color="000000" w:sz="4" w:space="0"/>
            </w:tcBorders>
            <w:vAlign w:val="center"/>
          </w:tcPr>
          <w:p w14:paraId="6464EB0E">
            <w:pPr>
              <w:jc w:val="both"/>
              <w:rPr>
                <w:rFonts w:hint="eastAsia"/>
                <w:lang w:val="en-US" w:eastAsia="zh-CN"/>
              </w:rPr>
            </w:pPr>
          </w:p>
        </w:tc>
        <w:tc>
          <w:tcPr>
            <w:tcW w:w="279" w:type="pct"/>
            <w:tcBorders>
              <w:top w:val="single" w:color="000000" w:sz="4" w:space="0"/>
              <w:left w:val="single" w:color="000000" w:sz="4" w:space="0"/>
              <w:bottom w:val="single" w:color="000000" w:sz="4" w:space="0"/>
              <w:right w:val="single" w:color="000000" w:sz="4" w:space="0"/>
            </w:tcBorders>
            <w:vAlign w:val="center"/>
          </w:tcPr>
          <w:p w14:paraId="27682941">
            <w:pPr>
              <w:jc w:val="center"/>
              <w:rPr>
                <w:rFonts w:hint="default"/>
                <w:lang w:val="en-US" w:eastAsia="zh-CN"/>
              </w:rPr>
            </w:pPr>
            <w:r>
              <w:rPr>
                <w:rFonts w:hint="eastAsia"/>
                <w:lang w:val="en-US" w:eastAsia="zh-CN"/>
              </w:rPr>
              <w:t>盏</w:t>
            </w:r>
          </w:p>
        </w:tc>
        <w:tc>
          <w:tcPr>
            <w:tcW w:w="285" w:type="pct"/>
            <w:tcBorders>
              <w:top w:val="single" w:color="000000" w:sz="4" w:space="0"/>
              <w:left w:val="single" w:color="000000" w:sz="4" w:space="0"/>
              <w:bottom w:val="single" w:color="000000" w:sz="4" w:space="0"/>
              <w:right w:val="single" w:color="000000" w:sz="4" w:space="0"/>
            </w:tcBorders>
            <w:vAlign w:val="center"/>
          </w:tcPr>
          <w:p w14:paraId="2EB8B5FB">
            <w:pPr>
              <w:jc w:val="center"/>
              <w:rPr>
                <w:rFonts w:hint="default"/>
                <w:lang w:val="en-US" w:eastAsia="zh-CN"/>
              </w:rPr>
            </w:pPr>
            <w:r>
              <w:rPr>
                <w:rFonts w:hint="eastAsia"/>
                <w:lang w:val="en-US" w:eastAsia="zh-CN"/>
              </w:rPr>
              <w:t>10</w:t>
            </w:r>
          </w:p>
        </w:tc>
        <w:tc>
          <w:tcPr>
            <w:tcW w:w="364" w:type="pct"/>
            <w:tcBorders>
              <w:top w:val="single" w:color="000000" w:sz="4" w:space="0"/>
              <w:left w:val="single" w:color="000000" w:sz="4" w:space="0"/>
              <w:bottom w:val="single" w:color="000000" w:sz="4" w:space="0"/>
              <w:right w:val="single" w:color="000000" w:sz="4" w:space="0"/>
            </w:tcBorders>
            <w:vAlign w:val="center"/>
          </w:tcPr>
          <w:p w14:paraId="1FC41A81">
            <w:pPr>
              <w:jc w:val="center"/>
              <w:rPr>
                <w:rFonts w:hint="eastAsia"/>
                <w:lang w:val="en-US" w:eastAsia="zh-CN"/>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67987451">
            <w:pPr>
              <w:jc w:val="center"/>
              <w:rPr>
                <w:rFonts w:hint="eastAsia"/>
                <w:lang w:val="en-US" w:eastAsia="zh-CN"/>
              </w:rPr>
            </w:pPr>
          </w:p>
        </w:tc>
      </w:tr>
      <w:tr w14:paraId="3679A90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02" w:type="pct"/>
            <w:vMerge w:val="restart"/>
            <w:tcBorders>
              <w:top w:val="single" w:color="000000" w:sz="4" w:space="0"/>
              <w:left w:val="single" w:color="000000" w:sz="4" w:space="0"/>
              <w:right w:val="single" w:color="000000" w:sz="4" w:space="0"/>
            </w:tcBorders>
            <w:vAlign w:val="center"/>
          </w:tcPr>
          <w:p w14:paraId="2ADBDEB7">
            <w:pPr>
              <w:pStyle w:val="2"/>
              <w:ind w:firstLine="0"/>
              <w:jc w:val="center"/>
              <w:rPr>
                <w:rFonts w:hint="default"/>
                <w:lang w:val="en-US" w:eastAsia="zh-CN"/>
              </w:rPr>
            </w:pPr>
            <w:r>
              <w:rPr>
                <w:rFonts w:hint="eastAsia"/>
                <w:lang w:val="en-US" w:eastAsia="zh-CN"/>
              </w:rPr>
              <w:t>5</w:t>
            </w:r>
          </w:p>
        </w:tc>
        <w:tc>
          <w:tcPr>
            <w:tcW w:w="323" w:type="pct"/>
            <w:vMerge w:val="restart"/>
            <w:tcBorders>
              <w:top w:val="single" w:color="000000" w:sz="4" w:space="0"/>
              <w:left w:val="single" w:color="000000" w:sz="4" w:space="0"/>
              <w:right w:val="single" w:color="000000" w:sz="4" w:space="0"/>
            </w:tcBorders>
            <w:vAlign w:val="center"/>
          </w:tcPr>
          <w:p w14:paraId="7EE5FB9A">
            <w:pPr>
              <w:snapToGrid w:val="0"/>
              <w:spacing w:line="400" w:lineRule="exact"/>
              <w:jc w:val="center"/>
              <w:rPr>
                <w:rFonts w:hint="default"/>
                <w:highlight w:val="none"/>
                <w:lang w:val="en-US" w:eastAsia="zh-CN"/>
              </w:rPr>
            </w:pPr>
            <w:r>
              <w:rPr>
                <w:rFonts w:hint="eastAsia"/>
                <w:highlight w:val="none"/>
                <w:lang w:val="en-US" w:eastAsia="zh-CN"/>
              </w:rPr>
              <w:t>灯杆和基础处理</w:t>
            </w:r>
          </w:p>
        </w:tc>
        <w:tc>
          <w:tcPr>
            <w:tcW w:w="2525" w:type="pct"/>
            <w:tcBorders>
              <w:top w:val="single" w:color="000000" w:sz="4" w:space="0"/>
              <w:left w:val="single" w:color="000000" w:sz="4" w:space="0"/>
              <w:bottom w:val="single" w:color="000000" w:sz="4" w:space="0"/>
              <w:right w:val="single" w:color="000000" w:sz="4" w:space="0"/>
            </w:tcBorders>
            <w:vAlign w:val="center"/>
          </w:tcPr>
          <w:p w14:paraId="3D02C215">
            <w:pPr>
              <w:pStyle w:val="4"/>
              <w:ind w:left="0" w:leftChars="0" w:firstLine="218" w:firstLineChars="104"/>
              <w:jc w:val="left"/>
              <w:rPr>
                <w:rFonts w:hint="eastAsia" w:asciiTheme="minorHAnsi" w:hAnsiTheme="minorHAnsi" w:cstheme="minorBidi"/>
                <w:b w:val="0"/>
                <w:bCs w:val="0"/>
                <w:kern w:val="2"/>
                <w:sz w:val="21"/>
                <w:szCs w:val="24"/>
                <w:lang w:val="en-US" w:eastAsia="zh-CN" w:bidi="ar-SA"/>
              </w:rPr>
            </w:pPr>
            <w:r>
              <w:rPr>
                <w:rFonts w:hint="eastAsia" w:asciiTheme="minorHAnsi" w:hAnsiTheme="minorHAnsi" w:cstheme="minorBidi"/>
                <w:b w:val="0"/>
                <w:bCs w:val="0"/>
                <w:kern w:val="2"/>
                <w:sz w:val="21"/>
                <w:szCs w:val="24"/>
                <w:lang w:val="en-US" w:eastAsia="zh-CN" w:bidi="ar-SA"/>
              </w:rPr>
              <w:t>灯杆要求：1.H=8米，灯杆上口径60mm，下口径145mm；2.灯杆厚度：2.5锥形mm；3.法兰盘：280*280*10mm；4.材质Q235钢材,镀锌材质，静电户外专用氟碳漆；</w:t>
            </w:r>
          </w:p>
          <w:p w14:paraId="7AF8BAA6">
            <w:pPr>
              <w:pStyle w:val="4"/>
              <w:ind w:left="0" w:leftChars="0" w:firstLine="0" w:firstLineChars="0"/>
              <w:jc w:val="left"/>
              <w:rPr>
                <w:rFonts w:hint="default"/>
                <w:lang w:val="en-US" w:eastAsia="zh-CN"/>
              </w:rPr>
            </w:pPr>
            <w:r>
              <w:rPr>
                <w:rFonts w:hint="eastAsia" w:asciiTheme="minorHAnsi" w:hAnsiTheme="minorHAnsi" w:cstheme="minorBidi"/>
                <w:b w:val="0"/>
                <w:bCs w:val="0"/>
                <w:kern w:val="2"/>
                <w:sz w:val="21"/>
                <w:szCs w:val="24"/>
                <w:lang w:val="en-US" w:eastAsia="zh-CN" w:bidi="ar-SA"/>
              </w:rPr>
              <w:t>5.预埋件:￠200*200*16*700mm</w:t>
            </w:r>
          </w:p>
        </w:tc>
        <w:tc>
          <w:tcPr>
            <w:tcW w:w="344" w:type="pct"/>
            <w:tcBorders>
              <w:top w:val="single" w:color="000000" w:sz="4" w:space="0"/>
              <w:left w:val="single" w:color="000000" w:sz="4" w:space="0"/>
              <w:bottom w:val="single" w:color="000000" w:sz="4" w:space="0"/>
              <w:right w:val="single" w:color="000000" w:sz="4" w:space="0"/>
            </w:tcBorders>
            <w:vAlign w:val="center"/>
          </w:tcPr>
          <w:p w14:paraId="6B18395B">
            <w:pPr>
              <w:jc w:val="both"/>
              <w:rPr>
                <w:rFonts w:hint="eastAsia"/>
                <w:lang w:val="en-US" w:eastAsia="zh-CN"/>
              </w:rPr>
            </w:pPr>
            <w:r>
              <w:rPr>
                <w:rFonts w:hint="eastAsia"/>
                <w:lang w:val="en-US" w:eastAsia="zh-CN"/>
              </w:rPr>
              <w:t>柏克/顶鸣/洲明</w:t>
            </w:r>
          </w:p>
        </w:tc>
        <w:tc>
          <w:tcPr>
            <w:tcW w:w="281" w:type="pct"/>
            <w:tcBorders>
              <w:top w:val="single" w:color="000000" w:sz="4" w:space="0"/>
              <w:left w:val="single" w:color="000000" w:sz="4" w:space="0"/>
              <w:bottom w:val="single" w:color="000000" w:sz="4" w:space="0"/>
              <w:right w:val="single" w:color="000000" w:sz="4" w:space="0"/>
            </w:tcBorders>
            <w:vAlign w:val="center"/>
          </w:tcPr>
          <w:p w14:paraId="2B913C71">
            <w:pPr>
              <w:jc w:val="both"/>
              <w:rPr>
                <w:rFonts w:hint="eastAsia"/>
                <w:lang w:val="en-US" w:eastAsia="zh-CN"/>
              </w:rPr>
            </w:pPr>
          </w:p>
        </w:tc>
        <w:tc>
          <w:tcPr>
            <w:tcW w:w="279" w:type="pct"/>
            <w:vMerge w:val="restart"/>
            <w:tcBorders>
              <w:top w:val="single" w:color="000000" w:sz="4" w:space="0"/>
              <w:left w:val="single" w:color="000000" w:sz="4" w:space="0"/>
              <w:right w:val="single" w:color="000000" w:sz="4" w:space="0"/>
            </w:tcBorders>
            <w:vAlign w:val="center"/>
          </w:tcPr>
          <w:p w14:paraId="1FF725A9">
            <w:pPr>
              <w:jc w:val="center"/>
              <w:rPr>
                <w:rFonts w:hint="default"/>
                <w:lang w:val="en-US" w:eastAsia="zh-CN"/>
              </w:rPr>
            </w:pPr>
            <w:r>
              <w:rPr>
                <w:rFonts w:hint="eastAsia"/>
                <w:lang w:val="en-US" w:eastAsia="zh-CN"/>
              </w:rPr>
              <w:t>支</w:t>
            </w:r>
          </w:p>
        </w:tc>
        <w:tc>
          <w:tcPr>
            <w:tcW w:w="285" w:type="pct"/>
            <w:vMerge w:val="restart"/>
            <w:tcBorders>
              <w:top w:val="single" w:color="000000" w:sz="4" w:space="0"/>
              <w:left w:val="single" w:color="000000" w:sz="4" w:space="0"/>
              <w:right w:val="single" w:color="000000" w:sz="4" w:space="0"/>
            </w:tcBorders>
            <w:vAlign w:val="center"/>
          </w:tcPr>
          <w:p w14:paraId="601A8D79">
            <w:pPr>
              <w:jc w:val="center"/>
              <w:rPr>
                <w:rFonts w:hint="default"/>
                <w:lang w:val="en-US" w:eastAsia="zh-CN"/>
              </w:rPr>
            </w:pPr>
            <w:r>
              <w:rPr>
                <w:rFonts w:hint="eastAsia"/>
                <w:lang w:val="en-US" w:eastAsia="zh-CN"/>
              </w:rPr>
              <w:t>2</w:t>
            </w:r>
          </w:p>
        </w:tc>
        <w:tc>
          <w:tcPr>
            <w:tcW w:w="364" w:type="pct"/>
            <w:tcBorders>
              <w:top w:val="single" w:color="000000" w:sz="4" w:space="0"/>
              <w:left w:val="single" w:color="000000" w:sz="4" w:space="0"/>
              <w:bottom w:val="single" w:color="000000" w:sz="4" w:space="0"/>
              <w:right w:val="single" w:color="000000" w:sz="4" w:space="0"/>
            </w:tcBorders>
            <w:vAlign w:val="center"/>
          </w:tcPr>
          <w:p w14:paraId="474D2B70">
            <w:pPr>
              <w:jc w:val="center"/>
              <w:rPr>
                <w:rFonts w:hint="eastAsia"/>
                <w:lang w:val="en-US" w:eastAsia="zh-CN"/>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006EB473">
            <w:pPr>
              <w:jc w:val="center"/>
              <w:rPr>
                <w:rFonts w:hint="eastAsia"/>
                <w:lang w:val="en-US" w:eastAsia="zh-CN"/>
              </w:rPr>
            </w:pPr>
          </w:p>
        </w:tc>
      </w:tr>
      <w:tr w14:paraId="6DFEB22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02" w:type="pct"/>
            <w:vMerge w:val="continue"/>
            <w:tcBorders>
              <w:left w:val="single" w:color="000000" w:sz="4" w:space="0"/>
              <w:bottom w:val="single" w:color="000000" w:sz="4" w:space="0"/>
              <w:right w:val="single" w:color="000000" w:sz="4" w:space="0"/>
            </w:tcBorders>
            <w:vAlign w:val="center"/>
          </w:tcPr>
          <w:p w14:paraId="6E3CD70D">
            <w:pPr>
              <w:pStyle w:val="2"/>
              <w:ind w:firstLine="0"/>
              <w:jc w:val="center"/>
              <w:rPr>
                <w:rFonts w:hint="default"/>
                <w:lang w:val="en-US" w:eastAsia="zh-CN"/>
              </w:rPr>
            </w:pPr>
          </w:p>
        </w:tc>
        <w:tc>
          <w:tcPr>
            <w:tcW w:w="323" w:type="pct"/>
            <w:vMerge w:val="continue"/>
            <w:tcBorders>
              <w:left w:val="single" w:color="000000" w:sz="4" w:space="0"/>
              <w:bottom w:val="single" w:color="000000" w:sz="4" w:space="0"/>
              <w:right w:val="single" w:color="000000" w:sz="4" w:space="0"/>
            </w:tcBorders>
            <w:vAlign w:val="center"/>
          </w:tcPr>
          <w:p w14:paraId="42D581D5">
            <w:pPr>
              <w:snapToGrid w:val="0"/>
              <w:spacing w:line="400" w:lineRule="exact"/>
              <w:jc w:val="center"/>
              <w:rPr>
                <w:rFonts w:hint="eastAsia"/>
                <w:highlight w:val="none"/>
                <w:lang w:val="en-US" w:eastAsia="zh-CN"/>
              </w:rPr>
            </w:pPr>
          </w:p>
        </w:tc>
        <w:tc>
          <w:tcPr>
            <w:tcW w:w="2525" w:type="pct"/>
            <w:tcBorders>
              <w:top w:val="single" w:color="000000" w:sz="4" w:space="0"/>
              <w:left w:val="single" w:color="000000" w:sz="4" w:space="0"/>
              <w:bottom w:val="single" w:color="000000" w:sz="4" w:space="0"/>
              <w:right w:val="single" w:color="000000" w:sz="4" w:space="0"/>
            </w:tcBorders>
            <w:vAlign w:val="center"/>
          </w:tcPr>
          <w:p w14:paraId="242D906F">
            <w:pPr>
              <w:pStyle w:val="4"/>
              <w:ind w:left="0" w:leftChars="0" w:firstLine="218" w:firstLineChars="104"/>
              <w:jc w:val="left"/>
              <w:rPr>
                <w:rFonts w:hint="default"/>
                <w:lang w:val="en-US" w:eastAsia="zh-CN"/>
              </w:rPr>
            </w:pPr>
            <w:r>
              <w:rPr>
                <w:rFonts w:hint="eastAsia" w:asciiTheme="minorHAnsi" w:hAnsiTheme="minorHAnsi" w:cstheme="minorBidi"/>
                <w:b w:val="0"/>
                <w:bCs w:val="0"/>
                <w:kern w:val="2"/>
                <w:sz w:val="21"/>
                <w:szCs w:val="24"/>
                <w:lang w:val="en-US" w:eastAsia="zh-CN" w:bidi="ar-SA"/>
              </w:rPr>
              <w:t>基础要求：1.地面开挖及底板固定；2.安装地笼及配件；3.地面修复</w:t>
            </w:r>
          </w:p>
        </w:tc>
        <w:tc>
          <w:tcPr>
            <w:tcW w:w="344" w:type="pct"/>
            <w:tcBorders>
              <w:top w:val="single" w:color="000000" w:sz="4" w:space="0"/>
              <w:left w:val="single" w:color="000000" w:sz="4" w:space="0"/>
              <w:bottom w:val="single" w:color="000000" w:sz="4" w:space="0"/>
              <w:right w:val="single" w:color="000000" w:sz="4" w:space="0"/>
            </w:tcBorders>
            <w:vAlign w:val="center"/>
          </w:tcPr>
          <w:p w14:paraId="77EC7DEE">
            <w:pPr>
              <w:jc w:val="both"/>
              <w:rPr>
                <w:rFonts w:hint="eastAsia"/>
                <w:lang w:val="en-US" w:eastAsia="zh-CN"/>
              </w:rPr>
            </w:pPr>
          </w:p>
        </w:tc>
        <w:tc>
          <w:tcPr>
            <w:tcW w:w="281" w:type="pct"/>
            <w:tcBorders>
              <w:top w:val="single" w:color="000000" w:sz="4" w:space="0"/>
              <w:left w:val="single" w:color="000000" w:sz="4" w:space="0"/>
              <w:bottom w:val="single" w:color="000000" w:sz="4" w:space="0"/>
              <w:right w:val="single" w:color="000000" w:sz="4" w:space="0"/>
            </w:tcBorders>
            <w:vAlign w:val="center"/>
          </w:tcPr>
          <w:p w14:paraId="232B1DAF">
            <w:pPr>
              <w:jc w:val="both"/>
              <w:rPr>
                <w:rFonts w:hint="eastAsia"/>
                <w:lang w:val="en-US" w:eastAsia="zh-CN"/>
              </w:rPr>
            </w:pPr>
          </w:p>
        </w:tc>
        <w:tc>
          <w:tcPr>
            <w:tcW w:w="279" w:type="pct"/>
            <w:vMerge w:val="continue"/>
            <w:tcBorders>
              <w:left w:val="single" w:color="000000" w:sz="4" w:space="0"/>
              <w:bottom w:val="single" w:color="000000" w:sz="4" w:space="0"/>
              <w:right w:val="single" w:color="000000" w:sz="4" w:space="0"/>
            </w:tcBorders>
            <w:vAlign w:val="center"/>
          </w:tcPr>
          <w:p w14:paraId="13A50CDE">
            <w:pPr>
              <w:jc w:val="center"/>
              <w:rPr>
                <w:rFonts w:hint="eastAsia"/>
                <w:lang w:val="en-US" w:eastAsia="zh-CN"/>
              </w:rPr>
            </w:pPr>
          </w:p>
        </w:tc>
        <w:tc>
          <w:tcPr>
            <w:tcW w:w="285" w:type="pct"/>
            <w:vMerge w:val="continue"/>
            <w:tcBorders>
              <w:left w:val="single" w:color="000000" w:sz="4" w:space="0"/>
              <w:bottom w:val="single" w:color="000000" w:sz="4" w:space="0"/>
              <w:right w:val="single" w:color="000000" w:sz="4" w:space="0"/>
            </w:tcBorders>
            <w:vAlign w:val="center"/>
          </w:tcPr>
          <w:p w14:paraId="0BB17ACA">
            <w:pPr>
              <w:jc w:val="center"/>
              <w:rPr>
                <w:rFonts w:hint="eastAsia"/>
                <w:lang w:val="en-US" w:eastAsia="zh-CN"/>
              </w:rPr>
            </w:pPr>
          </w:p>
        </w:tc>
        <w:tc>
          <w:tcPr>
            <w:tcW w:w="364" w:type="pct"/>
            <w:tcBorders>
              <w:top w:val="single" w:color="000000" w:sz="4" w:space="0"/>
              <w:left w:val="single" w:color="000000" w:sz="4" w:space="0"/>
              <w:bottom w:val="single" w:color="000000" w:sz="4" w:space="0"/>
              <w:right w:val="single" w:color="000000" w:sz="4" w:space="0"/>
            </w:tcBorders>
            <w:vAlign w:val="center"/>
          </w:tcPr>
          <w:p w14:paraId="499F6970">
            <w:pPr>
              <w:jc w:val="center"/>
              <w:rPr>
                <w:rFonts w:hint="eastAsia"/>
                <w:lang w:val="en-US" w:eastAsia="zh-CN"/>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3F2C2307">
            <w:pPr>
              <w:jc w:val="center"/>
              <w:rPr>
                <w:rFonts w:hint="eastAsia"/>
                <w:lang w:val="en-US" w:eastAsia="zh-CN"/>
              </w:rPr>
            </w:pPr>
          </w:p>
        </w:tc>
      </w:tr>
      <w:tr w14:paraId="32C0D0E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02" w:type="pct"/>
            <w:tcBorders>
              <w:top w:val="single" w:color="000000" w:sz="4" w:space="0"/>
              <w:left w:val="single" w:color="000000" w:sz="4" w:space="0"/>
              <w:bottom w:val="single" w:color="000000" w:sz="4" w:space="0"/>
              <w:right w:val="single" w:color="000000" w:sz="4" w:space="0"/>
            </w:tcBorders>
            <w:vAlign w:val="center"/>
          </w:tcPr>
          <w:p w14:paraId="1D2275BB">
            <w:pPr>
              <w:pStyle w:val="2"/>
              <w:ind w:firstLine="0"/>
              <w:jc w:val="center"/>
              <w:rPr>
                <w:rFonts w:hint="default"/>
                <w:lang w:val="en-US" w:eastAsia="zh-CN"/>
              </w:rPr>
            </w:pPr>
            <w:r>
              <w:rPr>
                <w:rFonts w:hint="eastAsia"/>
                <w:lang w:val="en-US" w:eastAsia="zh-CN"/>
              </w:rPr>
              <w:t>6</w:t>
            </w:r>
          </w:p>
        </w:tc>
        <w:tc>
          <w:tcPr>
            <w:tcW w:w="323" w:type="pct"/>
            <w:tcBorders>
              <w:top w:val="single" w:color="000000" w:sz="4" w:space="0"/>
              <w:left w:val="single" w:color="000000" w:sz="4" w:space="0"/>
              <w:bottom w:val="single" w:color="000000" w:sz="4" w:space="0"/>
              <w:right w:val="single" w:color="000000" w:sz="4" w:space="0"/>
            </w:tcBorders>
            <w:vAlign w:val="center"/>
          </w:tcPr>
          <w:p w14:paraId="4C11C809">
            <w:pPr>
              <w:snapToGrid w:val="0"/>
              <w:spacing w:line="400" w:lineRule="exact"/>
              <w:jc w:val="center"/>
              <w:rPr>
                <w:rFonts w:hint="default"/>
                <w:highlight w:val="none"/>
                <w:lang w:val="en-US" w:eastAsia="zh-CN"/>
              </w:rPr>
            </w:pPr>
            <w:r>
              <w:rPr>
                <w:rFonts w:hint="eastAsia"/>
                <w:highlight w:val="none"/>
                <w:lang w:val="en-US" w:eastAsia="zh-CN"/>
              </w:rPr>
              <w:t>电路工程</w:t>
            </w:r>
          </w:p>
        </w:tc>
        <w:tc>
          <w:tcPr>
            <w:tcW w:w="2525" w:type="pct"/>
            <w:tcBorders>
              <w:top w:val="single" w:color="000000" w:sz="4" w:space="0"/>
              <w:left w:val="single" w:color="000000" w:sz="4" w:space="0"/>
              <w:bottom w:val="single" w:color="000000" w:sz="4" w:space="0"/>
              <w:right w:val="single" w:color="000000" w:sz="4" w:space="0"/>
            </w:tcBorders>
            <w:vAlign w:val="center"/>
          </w:tcPr>
          <w:p w14:paraId="0CEA49CA">
            <w:pPr>
              <w:pStyle w:val="4"/>
              <w:ind w:left="0" w:leftChars="0" w:firstLine="0" w:firstLineChars="0"/>
              <w:jc w:val="left"/>
              <w:rPr>
                <w:rFonts w:hint="default" w:asciiTheme="minorHAnsi" w:hAnsiTheme="minorHAnsi" w:cstheme="minorBidi"/>
                <w:b w:val="0"/>
                <w:bCs w:val="0"/>
                <w:kern w:val="2"/>
                <w:sz w:val="21"/>
                <w:szCs w:val="24"/>
                <w:lang w:val="en-US" w:eastAsia="zh-CN" w:bidi="ar-SA"/>
              </w:rPr>
            </w:pPr>
            <w:r>
              <w:rPr>
                <w:rFonts w:hint="eastAsia" w:asciiTheme="minorHAnsi" w:hAnsiTheme="minorHAnsi" w:cstheme="minorBidi"/>
                <w:b w:val="0"/>
                <w:bCs w:val="0"/>
                <w:kern w:val="2"/>
                <w:sz w:val="21"/>
                <w:szCs w:val="24"/>
                <w:lang w:val="en-US" w:eastAsia="zh-CN" w:bidi="ar-SA"/>
              </w:rPr>
              <w:t>最低配置：</w:t>
            </w:r>
          </w:p>
          <w:p w14:paraId="1D07397B">
            <w:pPr>
              <w:pStyle w:val="4"/>
              <w:ind w:left="0" w:leftChars="0" w:firstLine="0" w:firstLineChars="0"/>
              <w:jc w:val="left"/>
              <w:rPr>
                <w:rFonts w:hint="eastAsia" w:asciiTheme="minorHAnsi" w:hAnsiTheme="minorHAnsi" w:cstheme="minorBidi"/>
                <w:b w:val="0"/>
                <w:bCs w:val="0"/>
                <w:kern w:val="2"/>
                <w:sz w:val="21"/>
                <w:szCs w:val="24"/>
                <w:lang w:val="en-US" w:eastAsia="zh-CN" w:bidi="ar-SA"/>
              </w:rPr>
            </w:pPr>
            <w:r>
              <w:rPr>
                <w:rFonts w:hint="eastAsia" w:asciiTheme="minorHAnsi" w:hAnsiTheme="minorHAnsi" w:cstheme="minorBidi"/>
                <w:b w:val="0"/>
                <w:bCs w:val="0"/>
                <w:kern w:val="2"/>
                <w:sz w:val="21"/>
                <w:szCs w:val="24"/>
                <w:lang w:val="en-US" w:eastAsia="zh-CN" w:bidi="ar-SA"/>
              </w:rPr>
              <w:t>1.硬矿物绝缘控制电缆敷设 电缆（芯数） ≤7</w:t>
            </w:r>
          </w:p>
          <w:p w14:paraId="43FE6E8A">
            <w:pPr>
              <w:pStyle w:val="4"/>
              <w:numPr>
                <w:ilvl w:val="0"/>
                <w:numId w:val="0"/>
              </w:numPr>
              <w:jc w:val="left"/>
              <w:rPr>
                <w:rFonts w:hint="eastAsia" w:asciiTheme="minorHAnsi" w:hAnsiTheme="minorHAnsi" w:cstheme="minorBidi"/>
                <w:b w:val="0"/>
                <w:bCs w:val="0"/>
                <w:kern w:val="2"/>
                <w:sz w:val="21"/>
                <w:szCs w:val="24"/>
                <w:lang w:val="en-US" w:eastAsia="zh-CN" w:bidi="ar-SA"/>
              </w:rPr>
            </w:pPr>
            <w:r>
              <w:rPr>
                <w:rFonts w:hint="eastAsia" w:asciiTheme="minorHAnsi" w:hAnsiTheme="minorHAnsi" w:cstheme="minorBidi"/>
                <w:b w:val="0"/>
                <w:bCs w:val="0"/>
                <w:kern w:val="2"/>
                <w:sz w:val="21"/>
                <w:szCs w:val="24"/>
                <w:lang w:val="en-US" w:eastAsia="zh-CN" w:bidi="ar-SA"/>
              </w:rPr>
              <w:t xml:space="preserve">2.控制电缆 BVV-2*4mm2   </w:t>
            </w:r>
          </w:p>
          <w:p w14:paraId="7BFD9207">
            <w:pPr>
              <w:pStyle w:val="4"/>
              <w:numPr>
                <w:ilvl w:val="0"/>
                <w:numId w:val="0"/>
              </w:numPr>
              <w:jc w:val="left"/>
              <w:rPr>
                <w:rFonts w:hint="eastAsia" w:asciiTheme="minorHAnsi" w:hAnsiTheme="minorHAnsi" w:cstheme="minorBidi"/>
                <w:b w:val="0"/>
                <w:bCs w:val="0"/>
                <w:kern w:val="2"/>
                <w:sz w:val="21"/>
                <w:szCs w:val="24"/>
                <w:lang w:val="en-US" w:eastAsia="zh-CN" w:bidi="ar-SA"/>
              </w:rPr>
            </w:pPr>
            <w:r>
              <w:rPr>
                <w:rFonts w:hint="eastAsia" w:asciiTheme="minorHAnsi" w:hAnsiTheme="minorHAnsi" w:cstheme="minorBidi"/>
                <w:b w:val="0"/>
                <w:bCs w:val="0"/>
                <w:kern w:val="2"/>
                <w:sz w:val="21"/>
                <w:szCs w:val="24"/>
                <w:lang w:val="en-US" w:eastAsia="zh-CN" w:bidi="ar-SA"/>
              </w:rPr>
              <w:t>3.电缆保护管埋地敷设 塑料管 公称直径25mm</w:t>
            </w:r>
          </w:p>
          <w:p w14:paraId="337CB3CF">
            <w:pPr>
              <w:pStyle w:val="4"/>
              <w:numPr>
                <w:ilvl w:val="0"/>
                <w:numId w:val="0"/>
              </w:numPr>
              <w:jc w:val="left"/>
              <w:rPr>
                <w:rFonts w:hint="eastAsia" w:asciiTheme="minorHAnsi" w:hAnsiTheme="minorHAnsi" w:cstheme="minorBidi"/>
                <w:b w:val="0"/>
                <w:bCs w:val="0"/>
                <w:kern w:val="2"/>
                <w:sz w:val="21"/>
                <w:szCs w:val="24"/>
                <w:lang w:val="en-US" w:eastAsia="zh-CN" w:bidi="ar-SA"/>
              </w:rPr>
            </w:pPr>
            <w:r>
              <w:rPr>
                <w:rFonts w:hint="eastAsia" w:asciiTheme="minorHAnsi" w:hAnsiTheme="minorHAnsi" w:cstheme="minorBidi"/>
                <w:b w:val="0"/>
                <w:bCs w:val="0"/>
                <w:kern w:val="2"/>
                <w:sz w:val="21"/>
                <w:szCs w:val="24"/>
                <w:lang w:val="en-US" w:eastAsia="zh-CN" w:bidi="ar-SA"/>
              </w:rPr>
              <w:t xml:space="preserve">4.PC管 25管件 </w:t>
            </w:r>
          </w:p>
          <w:p w14:paraId="4D72ED61">
            <w:pPr>
              <w:pStyle w:val="4"/>
              <w:numPr>
                <w:ilvl w:val="0"/>
                <w:numId w:val="0"/>
              </w:numPr>
              <w:jc w:val="left"/>
              <w:rPr>
                <w:rFonts w:hint="default"/>
                <w:lang w:val="en-US" w:eastAsia="zh-CN"/>
              </w:rPr>
            </w:pPr>
            <w:r>
              <w:rPr>
                <w:rFonts w:hint="eastAsia" w:asciiTheme="minorHAnsi" w:hAnsiTheme="minorHAnsi" w:cstheme="minorBidi"/>
                <w:b w:val="0"/>
                <w:bCs w:val="0"/>
                <w:kern w:val="2"/>
                <w:sz w:val="21"/>
                <w:szCs w:val="24"/>
                <w:lang w:val="en-US" w:eastAsia="zh-CN" w:bidi="ar-SA"/>
              </w:rPr>
              <w:t>5.控制设备及低压电器安装 室外不锈钢(SUS304)防水电箱</w:t>
            </w:r>
          </w:p>
        </w:tc>
        <w:tc>
          <w:tcPr>
            <w:tcW w:w="344" w:type="pct"/>
            <w:tcBorders>
              <w:top w:val="single" w:color="000000" w:sz="4" w:space="0"/>
              <w:left w:val="single" w:color="000000" w:sz="4" w:space="0"/>
              <w:bottom w:val="single" w:color="000000" w:sz="4" w:space="0"/>
              <w:right w:val="single" w:color="000000" w:sz="4" w:space="0"/>
            </w:tcBorders>
            <w:vAlign w:val="center"/>
          </w:tcPr>
          <w:p w14:paraId="73F786D0">
            <w:pPr>
              <w:jc w:val="both"/>
              <w:rPr>
                <w:rFonts w:hint="eastAsia"/>
                <w:lang w:val="en-US" w:eastAsia="zh-CN"/>
              </w:rPr>
            </w:pPr>
            <w:r>
              <w:rPr>
                <w:rFonts w:hint="eastAsia"/>
                <w:lang w:val="en-US" w:eastAsia="zh-CN"/>
              </w:rPr>
              <w:t>电缆：</w:t>
            </w:r>
          </w:p>
          <w:p w14:paraId="6E922923">
            <w:pPr>
              <w:jc w:val="both"/>
              <w:rPr>
                <w:rFonts w:hint="eastAsia"/>
                <w:lang w:val="en-US" w:eastAsia="zh-CN"/>
              </w:rPr>
            </w:pPr>
            <w:r>
              <w:rPr>
                <w:rFonts w:hint="eastAsia"/>
                <w:lang w:val="en-US" w:eastAsia="zh-CN"/>
              </w:rPr>
              <w:t>汇丰电缆/铁城电缆/广东珠江</w:t>
            </w:r>
          </w:p>
          <w:p w14:paraId="3DEFC899">
            <w:pPr>
              <w:jc w:val="both"/>
              <w:rPr>
                <w:rFonts w:hint="eastAsia" w:eastAsiaTheme="minorEastAsia"/>
                <w:lang w:val="en-US" w:eastAsia="zh-CN"/>
              </w:rPr>
            </w:pPr>
            <w:r>
              <w:rPr>
                <w:rFonts w:hint="eastAsia"/>
                <w:lang w:val="en-US" w:eastAsia="zh-CN"/>
              </w:rPr>
              <w:t>pvc管：</w:t>
            </w:r>
          </w:p>
          <w:p w14:paraId="61131BEB">
            <w:pPr>
              <w:jc w:val="both"/>
              <w:rPr>
                <w:rFonts w:hint="eastAsia"/>
                <w:lang w:val="en-US" w:eastAsia="zh-CN"/>
              </w:rPr>
            </w:pPr>
            <w:r>
              <w:rPr>
                <w:rFonts w:hint="eastAsia"/>
                <w:lang w:val="en-US" w:eastAsia="zh-CN"/>
              </w:rPr>
              <w:t>联塑管道/雄塑管道/莞达管道</w:t>
            </w:r>
          </w:p>
        </w:tc>
        <w:tc>
          <w:tcPr>
            <w:tcW w:w="281" w:type="pct"/>
            <w:tcBorders>
              <w:top w:val="single" w:color="000000" w:sz="4" w:space="0"/>
              <w:left w:val="single" w:color="000000" w:sz="4" w:space="0"/>
              <w:bottom w:val="single" w:color="000000" w:sz="4" w:space="0"/>
              <w:right w:val="single" w:color="000000" w:sz="4" w:space="0"/>
            </w:tcBorders>
            <w:vAlign w:val="center"/>
          </w:tcPr>
          <w:p w14:paraId="13AD250E">
            <w:pPr>
              <w:jc w:val="both"/>
              <w:rPr>
                <w:rFonts w:hint="eastAsia"/>
                <w:lang w:val="en-US" w:eastAsia="zh-CN"/>
              </w:rPr>
            </w:pPr>
          </w:p>
        </w:tc>
        <w:tc>
          <w:tcPr>
            <w:tcW w:w="279" w:type="pct"/>
            <w:tcBorders>
              <w:top w:val="single" w:color="000000" w:sz="4" w:space="0"/>
              <w:left w:val="single" w:color="000000" w:sz="4" w:space="0"/>
              <w:bottom w:val="single" w:color="000000" w:sz="4" w:space="0"/>
              <w:right w:val="single" w:color="000000" w:sz="4" w:space="0"/>
            </w:tcBorders>
            <w:vAlign w:val="center"/>
          </w:tcPr>
          <w:p w14:paraId="6C5DC0A1">
            <w:pPr>
              <w:jc w:val="center"/>
              <w:rPr>
                <w:rFonts w:hint="default"/>
                <w:lang w:val="en-US" w:eastAsia="zh-CN"/>
              </w:rPr>
            </w:pPr>
            <w:r>
              <w:rPr>
                <w:rFonts w:hint="eastAsia"/>
                <w:lang w:val="en-US" w:eastAsia="zh-CN"/>
              </w:rPr>
              <w:t>套</w:t>
            </w:r>
          </w:p>
        </w:tc>
        <w:tc>
          <w:tcPr>
            <w:tcW w:w="285" w:type="pct"/>
            <w:tcBorders>
              <w:top w:val="single" w:color="000000" w:sz="4" w:space="0"/>
              <w:left w:val="single" w:color="000000" w:sz="4" w:space="0"/>
              <w:bottom w:val="single" w:color="000000" w:sz="4" w:space="0"/>
              <w:right w:val="single" w:color="000000" w:sz="4" w:space="0"/>
            </w:tcBorders>
            <w:vAlign w:val="center"/>
          </w:tcPr>
          <w:p w14:paraId="30847CFC">
            <w:pPr>
              <w:jc w:val="center"/>
              <w:rPr>
                <w:rFonts w:hint="default"/>
                <w:lang w:val="en-US" w:eastAsia="zh-CN"/>
              </w:rPr>
            </w:pPr>
            <w:r>
              <w:rPr>
                <w:rFonts w:hint="eastAsia"/>
                <w:lang w:val="en-US" w:eastAsia="zh-CN"/>
              </w:rPr>
              <w:t>1</w:t>
            </w:r>
          </w:p>
        </w:tc>
        <w:tc>
          <w:tcPr>
            <w:tcW w:w="364" w:type="pct"/>
            <w:tcBorders>
              <w:top w:val="single" w:color="000000" w:sz="4" w:space="0"/>
              <w:left w:val="single" w:color="000000" w:sz="4" w:space="0"/>
              <w:bottom w:val="single" w:color="000000" w:sz="4" w:space="0"/>
              <w:right w:val="single" w:color="000000" w:sz="4" w:space="0"/>
            </w:tcBorders>
            <w:vAlign w:val="center"/>
          </w:tcPr>
          <w:p w14:paraId="1A4A4BC8">
            <w:pPr>
              <w:jc w:val="center"/>
              <w:rPr>
                <w:rFonts w:hint="eastAsia"/>
                <w:lang w:val="en-US" w:eastAsia="zh-CN"/>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3C9E8F63">
            <w:pPr>
              <w:jc w:val="center"/>
              <w:rPr>
                <w:rFonts w:hint="eastAsia"/>
                <w:lang w:val="en-US" w:eastAsia="zh-CN"/>
              </w:rPr>
            </w:pPr>
          </w:p>
        </w:tc>
      </w:tr>
      <w:tr w14:paraId="2529D95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202" w:type="pct"/>
            <w:tcBorders>
              <w:top w:val="single" w:color="000000" w:sz="4" w:space="0"/>
              <w:left w:val="single" w:color="000000" w:sz="4" w:space="0"/>
              <w:bottom w:val="single" w:color="000000" w:sz="4" w:space="0"/>
              <w:right w:val="single" w:color="000000" w:sz="4" w:space="0"/>
            </w:tcBorders>
            <w:vAlign w:val="center"/>
          </w:tcPr>
          <w:p w14:paraId="26F5A06A">
            <w:pPr>
              <w:pStyle w:val="2"/>
              <w:ind w:firstLine="0"/>
              <w:jc w:val="center"/>
              <w:rPr>
                <w:rFonts w:hint="eastAsia"/>
                <w:lang w:val="en-US" w:eastAsia="zh-CN"/>
              </w:rPr>
            </w:pPr>
          </w:p>
        </w:tc>
        <w:tc>
          <w:tcPr>
            <w:tcW w:w="2848" w:type="pct"/>
            <w:gridSpan w:val="2"/>
            <w:tcBorders>
              <w:top w:val="single" w:color="000000" w:sz="4" w:space="0"/>
              <w:left w:val="single" w:color="000000" w:sz="4" w:space="0"/>
              <w:bottom w:val="single" w:color="000000" w:sz="4" w:space="0"/>
              <w:right w:val="single" w:color="000000" w:sz="4" w:space="0"/>
            </w:tcBorders>
            <w:vAlign w:val="center"/>
          </w:tcPr>
          <w:p w14:paraId="532E2383">
            <w:pPr>
              <w:jc w:val="center"/>
              <w:rPr>
                <w:rFonts w:hint="eastAsia"/>
                <w:lang w:val="en-US" w:eastAsia="zh-CN"/>
              </w:rPr>
            </w:pPr>
            <w:r>
              <w:rPr>
                <w:rFonts w:hint="eastAsia"/>
                <w:highlight w:val="none"/>
                <w:lang w:val="en-US" w:eastAsia="zh-CN"/>
              </w:rPr>
              <w:t>总计（含税，元）</w:t>
            </w:r>
          </w:p>
        </w:tc>
        <w:tc>
          <w:tcPr>
            <w:tcW w:w="344" w:type="pct"/>
            <w:tcBorders>
              <w:top w:val="single" w:color="000000" w:sz="4" w:space="0"/>
              <w:left w:val="single" w:color="000000" w:sz="4" w:space="0"/>
              <w:bottom w:val="single" w:color="000000" w:sz="4" w:space="0"/>
              <w:right w:val="single" w:color="000000" w:sz="4" w:space="0"/>
            </w:tcBorders>
            <w:vAlign w:val="center"/>
          </w:tcPr>
          <w:p w14:paraId="7717AD8B">
            <w:pPr>
              <w:jc w:val="both"/>
              <w:rPr>
                <w:rFonts w:hint="eastAsia"/>
                <w:lang w:val="en-US" w:eastAsia="zh-CN"/>
              </w:rPr>
            </w:pPr>
          </w:p>
        </w:tc>
        <w:tc>
          <w:tcPr>
            <w:tcW w:w="281" w:type="pct"/>
            <w:tcBorders>
              <w:top w:val="single" w:color="000000" w:sz="4" w:space="0"/>
              <w:left w:val="single" w:color="000000" w:sz="4" w:space="0"/>
              <w:bottom w:val="single" w:color="000000" w:sz="4" w:space="0"/>
              <w:right w:val="single" w:color="000000" w:sz="4" w:space="0"/>
            </w:tcBorders>
            <w:vAlign w:val="center"/>
          </w:tcPr>
          <w:p w14:paraId="5747ED75">
            <w:pPr>
              <w:jc w:val="both"/>
              <w:rPr>
                <w:rFonts w:hint="eastAsia"/>
                <w:lang w:val="en-US" w:eastAsia="zh-CN"/>
              </w:rPr>
            </w:pPr>
          </w:p>
        </w:tc>
        <w:tc>
          <w:tcPr>
            <w:tcW w:w="279" w:type="pct"/>
            <w:tcBorders>
              <w:top w:val="single" w:color="000000" w:sz="4" w:space="0"/>
              <w:left w:val="single" w:color="000000" w:sz="4" w:space="0"/>
              <w:bottom w:val="single" w:color="000000" w:sz="4" w:space="0"/>
              <w:right w:val="single" w:color="000000" w:sz="4" w:space="0"/>
            </w:tcBorders>
            <w:vAlign w:val="center"/>
          </w:tcPr>
          <w:p w14:paraId="3C4228B3">
            <w:pPr>
              <w:jc w:val="center"/>
              <w:rPr>
                <w:rFonts w:hint="eastAsia"/>
                <w:lang w:val="en-US" w:eastAsia="zh-CN"/>
              </w:rPr>
            </w:pPr>
          </w:p>
        </w:tc>
        <w:tc>
          <w:tcPr>
            <w:tcW w:w="285" w:type="pct"/>
            <w:tcBorders>
              <w:top w:val="single" w:color="000000" w:sz="4" w:space="0"/>
              <w:left w:val="single" w:color="000000" w:sz="4" w:space="0"/>
              <w:bottom w:val="single" w:color="000000" w:sz="4" w:space="0"/>
              <w:right w:val="single" w:color="000000" w:sz="4" w:space="0"/>
            </w:tcBorders>
            <w:vAlign w:val="center"/>
          </w:tcPr>
          <w:p w14:paraId="6285F196">
            <w:pPr>
              <w:jc w:val="center"/>
              <w:rPr>
                <w:rFonts w:hint="eastAsia"/>
                <w:lang w:val="en-US" w:eastAsia="zh-CN"/>
              </w:rPr>
            </w:pPr>
          </w:p>
        </w:tc>
        <w:tc>
          <w:tcPr>
            <w:tcW w:w="364" w:type="pct"/>
            <w:tcBorders>
              <w:top w:val="single" w:color="000000" w:sz="4" w:space="0"/>
              <w:left w:val="single" w:color="000000" w:sz="4" w:space="0"/>
              <w:bottom w:val="single" w:color="000000" w:sz="4" w:space="0"/>
              <w:right w:val="single" w:color="000000" w:sz="4" w:space="0"/>
            </w:tcBorders>
            <w:vAlign w:val="center"/>
          </w:tcPr>
          <w:p w14:paraId="04F78073">
            <w:pPr>
              <w:jc w:val="center"/>
              <w:rPr>
                <w:rFonts w:hint="eastAsia"/>
                <w:lang w:val="en-US" w:eastAsia="zh-CN"/>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38CBC043">
            <w:pPr>
              <w:jc w:val="center"/>
              <w:rPr>
                <w:rFonts w:hint="eastAsia"/>
                <w:lang w:val="en-US" w:eastAsia="zh-CN"/>
              </w:rPr>
            </w:pPr>
          </w:p>
        </w:tc>
      </w:tr>
    </w:tbl>
    <w:p w14:paraId="6C91360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2F6162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报价公司：</w:t>
      </w:r>
    </w:p>
    <w:p w14:paraId="3E0506A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联系人：</w:t>
      </w:r>
    </w:p>
    <w:p w14:paraId="50E21B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联系电话：</w:t>
      </w:r>
      <w:bookmarkStart w:id="0" w:name="_GoBack"/>
      <w:bookmarkEnd w:id="0"/>
    </w:p>
    <w:p w14:paraId="29C3D6DE">
      <w:pPr>
        <w:rPr>
          <w:rFonts w:hint="eastAsia"/>
          <w:b/>
          <w:bCs/>
          <w:sz w:val="24"/>
          <w:szCs w:val="24"/>
          <w:lang w:val="en-US" w:eastAsia="zh-CN"/>
        </w:rPr>
      </w:pPr>
      <w:r>
        <w:rPr>
          <w:rFonts w:hint="eastAsia"/>
          <w:b/>
          <w:bCs/>
          <w:sz w:val="28"/>
          <w:szCs w:val="28"/>
          <w:lang w:val="en-US" w:eastAsia="zh-CN"/>
        </w:rPr>
        <w:t>报价日期：</w:t>
      </w:r>
    </w:p>
    <w:p w14:paraId="619D3375">
      <w:pPr>
        <w:pStyle w:val="3"/>
        <w:rPr>
          <w:rFonts w:hint="eastAsia"/>
          <w:b/>
          <w:bCs/>
          <w:sz w:val="24"/>
          <w:szCs w:val="24"/>
          <w:lang w:val="en-US" w:eastAsia="zh-CN"/>
        </w:rPr>
      </w:pPr>
    </w:p>
    <w:p w14:paraId="50879111">
      <w:pPr>
        <w:pStyle w:val="4"/>
        <w:rPr>
          <w:rFonts w:hint="eastAsia"/>
          <w:b/>
          <w:bCs/>
          <w:sz w:val="24"/>
          <w:szCs w:val="24"/>
          <w:lang w:val="en-US" w:eastAsia="zh-CN"/>
        </w:rPr>
      </w:pPr>
    </w:p>
    <w:p w14:paraId="4DC4A183">
      <w:pPr>
        <w:rPr>
          <w:rFonts w:hint="eastAsia"/>
          <w:b/>
          <w:bCs/>
          <w:sz w:val="24"/>
          <w:szCs w:val="24"/>
          <w:lang w:val="en-US" w:eastAsia="zh-CN"/>
        </w:rPr>
      </w:pPr>
    </w:p>
    <w:p w14:paraId="1BAB6F4B">
      <w:pPr>
        <w:rPr>
          <w:rFonts w:hint="eastAsia" w:ascii="宋体" w:hAnsi="宋体" w:eastAsia="宋体" w:cs="宋体"/>
          <w:b/>
          <w:bCs/>
          <w:color w:val="000000"/>
          <w:spacing w:val="0"/>
          <w:position w:val="0"/>
          <w:sz w:val="24"/>
          <w:szCs w:val="24"/>
        </w:rPr>
      </w:pPr>
    </w:p>
    <w:p w14:paraId="23E880EE">
      <w:pPr>
        <w:rPr>
          <w:rFonts w:hint="eastAsia" w:ascii="宋体" w:hAnsi="宋体" w:eastAsia="宋体" w:cs="宋体"/>
          <w:b/>
          <w:bCs/>
          <w:color w:val="000000"/>
          <w:spacing w:val="0"/>
          <w:position w:val="0"/>
          <w:sz w:val="24"/>
          <w:szCs w:val="24"/>
        </w:rPr>
      </w:pPr>
    </w:p>
    <w:p w14:paraId="2C1AB3F1">
      <w:pPr>
        <w:rPr>
          <w:rFonts w:hint="eastAsia" w:ascii="宋体" w:hAnsi="宋体" w:eastAsia="宋体" w:cs="宋体"/>
          <w:b/>
          <w:bCs/>
          <w:color w:val="000000"/>
          <w:spacing w:val="0"/>
          <w:position w:val="0"/>
          <w:sz w:val="24"/>
          <w:szCs w:val="24"/>
        </w:rPr>
      </w:pPr>
    </w:p>
    <w:p w14:paraId="3184060D">
      <w:pPr>
        <w:rPr>
          <w:rFonts w:hint="eastAsia" w:ascii="宋体" w:hAnsi="宋体" w:eastAsia="宋体" w:cs="宋体"/>
          <w:b/>
          <w:bCs/>
          <w:color w:val="000000"/>
          <w:spacing w:val="0"/>
          <w:position w:val="0"/>
          <w:sz w:val="24"/>
          <w:szCs w:val="24"/>
        </w:rPr>
      </w:pPr>
    </w:p>
    <w:p w14:paraId="1647DDCC">
      <w:pPr>
        <w:rPr>
          <w:rFonts w:hint="eastAsia" w:ascii="宋体" w:hAnsi="宋体" w:eastAsia="宋体" w:cs="宋体"/>
          <w:b/>
          <w:bCs/>
          <w:color w:val="000000"/>
          <w:spacing w:val="0"/>
          <w:position w:val="0"/>
          <w:sz w:val="24"/>
          <w:szCs w:val="24"/>
        </w:rPr>
      </w:pPr>
    </w:p>
    <w:p w14:paraId="352E7000">
      <w:pPr>
        <w:keepNext w:val="0"/>
        <w:keepLines w:val="0"/>
        <w:pageBreakBefore w:val="0"/>
        <w:widowControl w:val="0"/>
        <w:kinsoku/>
        <w:wordWrap/>
        <w:overflowPunct/>
        <w:topLinePunct w:val="0"/>
        <w:autoSpaceDE/>
        <w:autoSpaceDN/>
        <w:bidi w:val="0"/>
        <w:adjustRightInd/>
        <w:snapToGrid/>
        <w:spacing w:before="257" w:line="240" w:lineRule="auto"/>
        <w:jc w:val="center"/>
        <w:textAlignment w:val="auto"/>
        <w:rPr>
          <w:rFonts w:ascii="宋体" w:hAnsi="宋体" w:eastAsia="宋体" w:cs="宋体"/>
          <w:b/>
          <w:bCs/>
          <w:spacing w:val="-7"/>
          <w:sz w:val="30"/>
          <w:szCs w:val="30"/>
          <w:lang w:eastAsia="zh-CN"/>
        </w:rPr>
      </w:pPr>
      <w:r>
        <w:rPr>
          <w:rFonts w:hint="eastAsia" w:ascii="宋体" w:hAnsi="宋体" w:eastAsia="宋体" w:cs="宋体"/>
          <w:b/>
          <w:bCs/>
          <w:spacing w:val="-7"/>
          <w:sz w:val="30"/>
          <w:szCs w:val="30"/>
          <w:lang w:eastAsia="zh-CN"/>
        </w:rPr>
        <w:t>问卷调查</w:t>
      </w:r>
      <w:r>
        <w:rPr>
          <w:rFonts w:ascii="宋体" w:hAnsi="宋体" w:eastAsia="宋体" w:cs="宋体"/>
          <w:b/>
          <w:bCs/>
          <w:spacing w:val="-7"/>
          <w:sz w:val="30"/>
          <w:szCs w:val="30"/>
          <w:lang w:eastAsia="zh-CN"/>
        </w:rPr>
        <w:t>表</w:t>
      </w:r>
    </w:p>
    <w:tbl>
      <w:tblPr>
        <w:tblStyle w:val="11"/>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113" w:type="dxa"/>
          <w:left w:w="113" w:type="dxa"/>
          <w:bottom w:w="113" w:type="dxa"/>
          <w:right w:w="113" w:type="dxa"/>
        </w:tblCellMar>
      </w:tblPr>
      <w:tblGrid>
        <w:gridCol w:w="809"/>
        <w:gridCol w:w="6188"/>
        <w:gridCol w:w="1775"/>
        <w:gridCol w:w="1737"/>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385" w:type="pct"/>
            <w:vAlign w:val="center"/>
          </w:tcPr>
          <w:p w14:paraId="5BDB5DDC">
            <w:pPr>
              <w:keepNext w:val="0"/>
              <w:keepLines w:val="0"/>
              <w:pageBreakBefore w:val="0"/>
              <w:widowControl w:val="0"/>
              <w:kinsoku/>
              <w:wordWrap/>
              <w:overflowPunct/>
              <w:topLinePunct w:val="0"/>
              <w:autoSpaceDE/>
              <w:autoSpaceDN/>
              <w:bidi w:val="0"/>
              <w:adjustRightInd/>
              <w:snapToGrid/>
              <w:spacing w:before="65" w:line="240" w:lineRule="auto"/>
              <w:jc w:val="center"/>
              <w:textAlignment w:val="auto"/>
              <w:rPr>
                <w:rFonts w:ascii="宋体" w:hAnsi="宋体" w:eastAsia="宋体" w:cs="宋体"/>
                <w:b/>
                <w:bCs/>
                <w:sz w:val="21"/>
                <w:szCs w:val="21"/>
              </w:rPr>
            </w:pPr>
            <w:r>
              <w:rPr>
                <w:rFonts w:hint="eastAsia" w:ascii="宋体" w:hAnsi="宋体" w:eastAsia="宋体" w:cs="宋体"/>
                <w:b/>
                <w:bCs/>
                <w:spacing w:val="5"/>
                <w:sz w:val="21"/>
                <w:szCs w:val="21"/>
              </w:rPr>
              <w:t>序号</w:t>
            </w:r>
          </w:p>
        </w:tc>
        <w:tc>
          <w:tcPr>
            <w:tcW w:w="2943" w:type="pct"/>
            <w:vAlign w:val="center"/>
          </w:tcPr>
          <w:p w14:paraId="3674397B">
            <w:pPr>
              <w:keepNext w:val="0"/>
              <w:keepLines w:val="0"/>
              <w:pageBreakBefore w:val="0"/>
              <w:widowControl w:val="0"/>
              <w:kinsoku/>
              <w:wordWrap/>
              <w:overflowPunct/>
              <w:topLinePunct w:val="0"/>
              <w:autoSpaceDE/>
              <w:autoSpaceDN/>
              <w:bidi w:val="0"/>
              <w:adjustRightInd/>
              <w:snapToGrid/>
              <w:spacing w:before="65" w:line="240" w:lineRule="auto"/>
              <w:jc w:val="center"/>
              <w:textAlignment w:val="auto"/>
              <w:rPr>
                <w:rFonts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844" w:type="pct"/>
            <w:vAlign w:val="center"/>
          </w:tcPr>
          <w:p w14:paraId="53D5C9DE">
            <w:pPr>
              <w:keepNext w:val="0"/>
              <w:keepLines w:val="0"/>
              <w:pageBreakBefore w:val="0"/>
              <w:widowControl w:val="0"/>
              <w:kinsoku/>
              <w:wordWrap/>
              <w:overflowPunct/>
              <w:topLinePunct w:val="0"/>
              <w:autoSpaceDE/>
              <w:autoSpaceDN/>
              <w:bidi w:val="0"/>
              <w:adjustRightInd/>
              <w:snapToGrid/>
              <w:spacing w:before="180" w:line="240" w:lineRule="auto"/>
              <w:ind w:right="241"/>
              <w:jc w:val="center"/>
              <w:textAlignment w:val="auto"/>
              <w:rPr>
                <w:rFonts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826" w:type="pct"/>
            <w:vAlign w:val="center"/>
          </w:tcPr>
          <w:p w14:paraId="189B2D09">
            <w:pPr>
              <w:keepNext w:val="0"/>
              <w:keepLines w:val="0"/>
              <w:pageBreakBefore w:val="0"/>
              <w:widowControl w:val="0"/>
              <w:kinsoku/>
              <w:wordWrap/>
              <w:overflowPunct/>
              <w:topLinePunct w:val="0"/>
              <w:autoSpaceDE/>
              <w:autoSpaceDN/>
              <w:bidi w:val="0"/>
              <w:adjustRightInd/>
              <w:snapToGrid/>
              <w:spacing w:before="65" w:line="240" w:lineRule="auto"/>
              <w:jc w:val="center"/>
              <w:textAlignment w:val="auto"/>
              <w:rPr>
                <w:rFonts w:ascii="宋体" w:hAnsi="宋体" w:eastAsia="宋体" w:cs="宋体"/>
                <w:b/>
                <w:bCs/>
                <w:sz w:val="21"/>
                <w:szCs w:val="21"/>
              </w:rPr>
            </w:pPr>
            <w:r>
              <w:rPr>
                <w:rFonts w:hint="eastAsia" w:ascii="宋体" w:hAnsi="宋体" w:eastAsia="宋体" w:cs="宋体"/>
                <w:b/>
                <w:bCs/>
                <w:spacing w:val="7"/>
                <w:sz w:val="21"/>
                <w:szCs w:val="21"/>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385" w:type="pct"/>
            <w:vAlign w:val="center"/>
          </w:tcPr>
          <w:p w14:paraId="65A6A3D8">
            <w:pPr>
              <w:keepNext w:val="0"/>
              <w:keepLines w:val="0"/>
              <w:pageBreakBefore w:val="0"/>
              <w:widowControl w:val="0"/>
              <w:kinsoku/>
              <w:wordWrap/>
              <w:overflowPunct/>
              <w:topLinePunct w:val="0"/>
              <w:autoSpaceDE/>
              <w:autoSpaceDN/>
              <w:bidi w:val="0"/>
              <w:adjustRightInd/>
              <w:snapToGrid/>
              <w:spacing w:before="65" w:line="240" w:lineRule="auto"/>
              <w:jc w:val="center"/>
              <w:textAlignment w:val="auto"/>
              <w:rPr>
                <w:rFonts w:ascii="宋体" w:hAnsi="宋体" w:eastAsia="宋体" w:cs="宋体"/>
                <w:sz w:val="21"/>
                <w:szCs w:val="21"/>
              </w:rPr>
            </w:pPr>
            <w:r>
              <w:rPr>
                <w:rFonts w:hint="eastAsia" w:ascii="宋体" w:hAnsi="宋体" w:eastAsia="宋体" w:cs="宋体"/>
                <w:position w:val="1"/>
                <w:sz w:val="21"/>
                <w:szCs w:val="21"/>
              </w:rPr>
              <w:t>1</w:t>
            </w:r>
          </w:p>
        </w:tc>
        <w:tc>
          <w:tcPr>
            <w:tcW w:w="2943" w:type="pct"/>
          </w:tcPr>
          <w:p w14:paraId="37C4610E">
            <w:pPr>
              <w:keepNext w:val="0"/>
              <w:keepLines w:val="0"/>
              <w:pageBreakBefore w:val="0"/>
              <w:numPr>
                <w:ilvl w:val="0"/>
                <w:numId w:val="0"/>
              </w:numPr>
              <w:kinsoku/>
              <w:wordWrap/>
              <w:overflowPunct/>
              <w:topLinePunct w:val="0"/>
              <w:autoSpaceDE/>
              <w:autoSpaceDN/>
              <w:bidi w:val="0"/>
              <w:adjustRightInd/>
              <w:snapToGrid/>
              <w:spacing w:beforeAutospacing="0" w:afterAutospacing="0"/>
              <w:rPr>
                <w:rStyle w:val="8"/>
                <w:rFonts w:hint="eastAsia" w:ascii="宋体" w:hAnsi="宋体" w:eastAsia="宋体" w:cs="宋体"/>
                <w:i w:val="0"/>
                <w:iCs w:val="0"/>
                <w:caps w:val="0"/>
                <w:color w:val="000000"/>
                <w:spacing w:val="15"/>
                <w:sz w:val="21"/>
                <w:szCs w:val="21"/>
                <w:shd w:val="clear" w:fill="FFFFFF"/>
                <w:vertAlign w:val="baseline"/>
              </w:rPr>
            </w:pPr>
            <w:r>
              <w:rPr>
                <w:rStyle w:val="8"/>
                <w:rFonts w:hint="eastAsia" w:ascii="宋体" w:hAnsi="宋体" w:eastAsia="宋体" w:cs="宋体"/>
                <w:i w:val="0"/>
                <w:iCs w:val="0"/>
                <w:caps w:val="0"/>
                <w:color w:val="000000"/>
                <w:spacing w:val="15"/>
                <w:sz w:val="21"/>
                <w:szCs w:val="21"/>
                <w:shd w:val="clear" w:fill="FFFFFF"/>
                <w:vertAlign w:val="baseline"/>
              </w:rPr>
              <w:t>供应商的资格要求</w:t>
            </w:r>
          </w:p>
          <w:p w14:paraId="2EA2FC3D">
            <w:pPr>
              <w:keepNext w:val="0"/>
              <w:keepLines w:val="0"/>
              <w:pageBreakBefore w:val="0"/>
              <w:numPr>
                <w:ilvl w:val="0"/>
                <w:numId w:val="0"/>
              </w:numPr>
              <w:kinsoku/>
              <w:wordWrap/>
              <w:overflowPunct/>
              <w:topLinePunct w:val="0"/>
              <w:autoSpaceDE/>
              <w:autoSpaceDN/>
              <w:bidi w:val="0"/>
              <w:adjustRightInd/>
              <w:snapToGrid/>
              <w:spacing w:beforeAutospacing="0" w:afterAutospacing="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rPr>
              <w:t>1.响应供应商必须是</w:t>
            </w:r>
            <w:r>
              <w:rPr>
                <w:rFonts w:hint="eastAsia" w:ascii="宋体" w:hAnsi="宋体" w:eastAsia="宋体" w:cs="宋体"/>
                <w:sz w:val="21"/>
                <w:szCs w:val="21"/>
              </w:rPr>
              <w:t>具有独立承担民事责任的能力：在中华人民共和国境内注册的法人或其他组织或自然人， 投标（响应）时提交营业执照（或事业法人登记证或身份证等相关证明） 复印件。</w:t>
            </w:r>
            <w:r>
              <w:rPr>
                <w:rFonts w:hint="eastAsia" w:ascii="宋体" w:hAnsi="宋体" w:eastAsia="宋体" w:cs="宋体"/>
                <w:sz w:val="21"/>
                <w:szCs w:val="21"/>
                <w:lang w:eastAsia="zh-CN"/>
              </w:rPr>
              <w:t>如</w:t>
            </w:r>
            <w:r>
              <w:rPr>
                <w:rFonts w:hint="eastAsia" w:ascii="宋体" w:hAnsi="宋体" w:eastAsia="宋体" w:cs="宋体"/>
                <w:sz w:val="21"/>
                <w:szCs w:val="21"/>
              </w:rPr>
              <w:t>分支机构投标的，须提供总公司和分公司营业执照复印件，总公司出具给分支机构的授权书。</w:t>
            </w:r>
          </w:p>
          <w:p w14:paraId="729965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rPr>
              <w:t>2.响应供应商须具有效的且具备相关经营范围的营业执照</w:t>
            </w:r>
            <w:r>
              <w:rPr>
                <w:rFonts w:hint="eastAsia" w:ascii="宋体" w:hAnsi="宋体" w:eastAsia="宋体" w:cs="宋体"/>
                <w:i w:val="0"/>
                <w:iCs w:val="0"/>
                <w:caps w:val="0"/>
                <w:color w:val="000000"/>
                <w:spacing w:val="0"/>
                <w:sz w:val="21"/>
                <w:szCs w:val="21"/>
                <w:lang w:eastAsia="zh-CN"/>
              </w:rPr>
              <w:t>（体育场地施工）</w:t>
            </w:r>
            <w:r>
              <w:rPr>
                <w:rFonts w:hint="eastAsia" w:ascii="宋体" w:hAnsi="宋体" w:eastAsia="宋体" w:cs="宋体"/>
                <w:i w:val="0"/>
                <w:iCs w:val="0"/>
                <w:caps w:val="0"/>
                <w:color w:val="000000"/>
                <w:spacing w:val="0"/>
                <w:sz w:val="21"/>
                <w:szCs w:val="21"/>
              </w:rPr>
              <w:t>；</w:t>
            </w:r>
          </w:p>
          <w:p w14:paraId="6409E4D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lang w:val="en-US" w:eastAsia="zh-CN"/>
              </w:rPr>
              <w:t>3</w:t>
            </w:r>
            <w:r>
              <w:rPr>
                <w:rFonts w:hint="eastAsia" w:ascii="宋体" w:hAnsi="宋体" w:eastAsia="宋体" w:cs="宋体"/>
                <w:i w:val="0"/>
                <w:iCs w:val="0"/>
                <w:caps w:val="0"/>
                <w:color w:val="000000"/>
                <w:spacing w:val="0"/>
                <w:sz w:val="21"/>
                <w:szCs w:val="21"/>
              </w:rPr>
              <w:t>.响应供应商应具有项目的承接能力、合同的履约能力、售后供应能力和良好的信誉；</w:t>
            </w:r>
          </w:p>
          <w:p w14:paraId="615BE2DF">
            <w:pPr>
              <w:pStyle w:val="5"/>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ascii="宋体" w:hAnsi="宋体" w:eastAsia="宋体" w:cs="宋体"/>
                <w:sz w:val="21"/>
                <w:szCs w:val="21"/>
              </w:rPr>
            </w:pPr>
            <w:r>
              <w:rPr>
                <w:rFonts w:hint="eastAsia" w:ascii="宋体" w:hAnsi="宋体" w:eastAsia="宋体" w:cs="宋体"/>
                <w:i w:val="0"/>
                <w:iCs w:val="0"/>
                <w:caps w:val="0"/>
                <w:color w:val="000000"/>
                <w:spacing w:val="0"/>
                <w:sz w:val="21"/>
                <w:szCs w:val="21"/>
                <w:shd w:val="clear" w:fill="FFFFFF"/>
                <w:vertAlign w:val="baseline"/>
                <w:lang w:val="en-US" w:eastAsia="zh-CN"/>
              </w:rPr>
              <w:t>4</w:t>
            </w:r>
            <w:r>
              <w:rPr>
                <w:rFonts w:hint="eastAsia" w:ascii="宋体" w:hAnsi="宋体" w:eastAsia="宋体" w:cs="宋体"/>
                <w:i w:val="0"/>
                <w:iCs w:val="0"/>
                <w:caps w:val="0"/>
                <w:color w:val="000000"/>
                <w:spacing w:val="0"/>
                <w:sz w:val="21"/>
                <w:szCs w:val="21"/>
                <w:shd w:val="clear" w:fill="FFFFFF"/>
                <w:vertAlign w:val="baseline"/>
              </w:rPr>
              <w:t>.响应供应商在参与公开招标活动中未有违法违纪行为并受过处罚，响应供应商无围标、串标行为。</w:t>
            </w:r>
          </w:p>
        </w:tc>
        <w:tc>
          <w:tcPr>
            <w:tcW w:w="844" w:type="pct"/>
          </w:tcPr>
          <w:p w14:paraId="5B3B314A">
            <w:pPr>
              <w:pStyle w:val="12"/>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宋体"/>
                <w:sz w:val="21"/>
                <w:szCs w:val="21"/>
                <w:lang w:eastAsia="zh-CN"/>
              </w:rPr>
            </w:pPr>
          </w:p>
        </w:tc>
        <w:tc>
          <w:tcPr>
            <w:tcW w:w="826" w:type="pct"/>
          </w:tcPr>
          <w:p w14:paraId="28582A36">
            <w:pPr>
              <w:pStyle w:val="12"/>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宋体"/>
                <w:sz w:val="21"/>
                <w:szCs w:val="21"/>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23" w:hRule="atLeast"/>
        </w:trPr>
        <w:tc>
          <w:tcPr>
            <w:tcW w:w="385" w:type="pct"/>
            <w:vAlign w:val="center"/>
          </w:tcPr>
          <w:p w14:paraId="2D18E0F6">
            <w:pPr>
              <w:spacing w:before="65" w:line="270" w:lineRule="exact"/>
              <w:jc w:val="center"/>
              <w:rPr>
                <w:rFonts w:ascii="宋体" w:hAnsi="宋体" w:eastAsia="宋体" w:cs="宋体"/>
                <w:position w:val="1"/>
                <w:sz w:val="21"/>
                <w:szCs w:val="21"/>
                <w:lang w:eastAsia="zh-CN"/>
              </w:rPr>
            </w:pPr>
            <w:r>
              <w:rPr>
                <w:rFonts w:hint="eastAsia" w:ascii="宋体" w:hAnsi="宋体" w:eastAsia="宋体" w:cs="宋体"/>
                <w:position w:val="1"/>
                <w:sz w:val="21"/>
                <w:szCs w:val="21"/>
                <w:lang w:eastAsia="zh-CN"/>
              </w:rPr>
              <w:t>2</w:t>
            </w:r>
          </w:p>
        </w:tc>
        <w:tc>
          <w:tcPr>
            <w:tcW w:w="2943" w:type="pct"/>
          </w:tcPr>
          <w:p w14:paraId="1F01E9FC">
            <w:pPr>
              <w:keepNext w:val="0"/>
              <w:keepLines w:val="0"/>
              <w:pageBreakBefore w:val="0"/>
              <w:kinsoku/>
              <w:wordWrap/>
              <w:overflowPunct/>
              <w:topLinePunct w:val="0"/>
              <w:autoSpaceDE/>
              <w:autoSpaceDN/>
              <w:bidi w:val="0"/>
              <w:adjustRightInd/>
              <w:snapToGrid/>
              <w:spacing w:beforeAutospacing="0" w:afterAutospacing="0"/>
              <w:rPr>
                <w:sz w:val="21"/>
                <w:szCs w:val="21"/>
              </w:rPr>
            </w:pPr>
            <w:r>
              <w:rPr>
                <w:rFonts w:hint="eastAsia" w:ascii="宋体" w:hAnsi="宋体" w:eastAsia="宋体" w:cs="宋体"/>
                <w:b/>
                <w:bCs/>
                <w:color w:val="000000"/>
                <w:spacing w:val="0"/>
                <w:position w:val="0"/>
                <w:sz w:val="21"/>
                <w:szCs w:val="21"/>
              </w:rPr>
              <w:t>工期要求</w:t>
            </w:r>
          </w:p>
          <w:p w14:paraId="396FB72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14"/>
              <w:contextualSpacing/>
              <w:jc w:val="left"/>
              <w:rPr>
                <w:sz w:val="21"/>
                <w:szCs w:val="21"/>
              </w:rPr>
            </w:pPr>
            <w:r>
              <w:rPr>
                <w:rFonts w:hint="eastAsia" w:ascii="宋体" w:hAnsi="宋体" w:eastAsia="宋体" w:cs="宋体"/>
                <w:color w:val="000000"/>
                <w:spacing w:val="0"/>
                <w:position w:val="0"/>
                <w:sz w:val="21"/>
                <w:szCs w:val="21"/>
              </w:rPr>
              <w:t>1.工期要求：</w:t>
            </w:r>
            <w:r>
              <w:rPr>
                <w:rFonts w:hint="eastAsia" w:ascii="宋体" w:hAnsi="宋体" w:eastAsia="宋体" w:cs="宋体"/>
                <w:color w:val="000000"/>
                <w:spacing w:val="0"/>
                <w:position w:val="0"/>
                <w:sz w:val="21"/>
                <w:szCs w:val="21"/>
                <w:u w:val="single"/>
                <w:lang w:val="en-US" w:eastAsia="zh-CN"/>
              </w:rPr>
              <w:t>30</w:t>
            </w:r>
            <w:r>
              <w:rPr>
                <w:rFonts w:hint="eastAsia" w:ascii="宋体" w:hAnsi="宋体" w:eastAsia="宋体" w:cs="宋体"/>
                <w:color w:val="000000"/>
                <w:spacing w:val="0"/>
                <w:position w:val="0"/>
                <w:sz w:val="21"/>
                <w:szCs w:val="21"/>
              </w:rPr>
              <w:t>个日历天内验收合格并交付使用。</w:t>
            </w:r>
          </w:p>
          <w:p w14:paraId="15375C1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contextualSpacing/>
              <w:jc w:val="left"/>
              <w:rPr>
                <w:sz w:val="21"/>
                <w:szCs w:val="21"/>
              </w:rPr>
            </w:pPr>
            <w:r>
              <w:rPr>
                <w:rFonts w:hint="eastAsia" w:ascii="宋体" w:hAnsi="宋体" w:eastAsia="宋体" w:cs="宋体"/>
                <w:color w:val="000000"/>
                <w:spacing w:val="0"/>
                <w:position w:val="0"/>
                <w:sz w:val="21"/>
                <w:szCs w:val="21"/>
              </w:rPr>
              <w:t>2.以采购人发出书面开工通知起开始计算工期，完成工期以采购人签认的竣工时间为准。工程实施过程中，出现下列情形，经采购人确认，工期予以顺延:</w:t>
            </w:r>
          </w:p>
          <w:p w14:paraId="435C7C1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80"/>
              <w:contextualSpacing/>
              <w:jc w:val="left"/>
              <w:rPr>
                <w:sz w:val="21"/>
                <w:szCs w:val="21"/>
              </w:rPr>
            </w:pPr>
            <w:r>
              <w:rPr>
                <w:rFonts w:hint="eastAsia" w:ascii="宋体" w:hAnsi="宋体" w:eastAsia="宋体" w:cs="宋体"/>
                <w:color w:val="000000"/>
                <w:spacing w:val="0"/>
                <w:position w:val="0"/>
                <w:sz w:val="21"/>
                <w:szCs w:val="21"/>
              </w:rPr>
              <w:t>1 不可抗因素，包括自然灾害、政府行为、社会异常事件等；</w:t>
            </w:r>
          </w:p>
          <w:p w14:paraId="0B775BFF">
            <w:pPr>
              <w:widowControl w:val="0"/>
              <w:spacing w:line="240" w:lineRule="exact"/>
              <w:rPr>
                <w:rFonts w:ascii="宋体" w:hAnsi="宋体" w:eastAsia="宋体" w:cs="宋体"/>
                <w:sz w:val="21"/>
                <w:szCs w:val="21"/>
                <w:lang w:eastAsia="zh-CN"/>
              </w:rPr>
            </w:pPr>
            <w:r>
              <w:rPr>
                <w:rFonts w:hint="eastAsia" w:ascii="宋体" w:hAnsi="宋体" w:eastAsia="宋体" w:cs="宋体"/>
                <w:color w:val="000000"/>
                <w:spacing w:val="0"/>
                <w:position w:val="0"/>
                <w:sz w:val="21"/>
                <w:szCs w:val="21"/>
              </w:rPr>
              <w:t>2 由于设计变更，致使工作量重大增加者（设计变更项目预算超过合同价的10%）。</w:t>
            </w:r>
          </w:p>
        </w:tc>
        <w:tc>
          <w:tcPr>
            <w:tcW w:w="844" w:type="pct"/>
          </w:tcPr>
          <w:p w14:paraId="11B334CA">
            <w:pPr>
              <w:pStyle w:val="12"/>
              <w:rPr>
                <w:rFonts w:ascii="宋体" w:hAnsi="宋体" w:eastAsia="宋体" w:cs="宋体"/>
                <w:sz w:val="21"/>
                <w:szCs w:val="21"/>
                <w:lang w:eastAsia="zh-CN"/>
              </w:rPr>
            </w:pPr>
          </w:p>
        </w:tc>
        <w:tc>
          <w:tcPr>
            <w:tcW w:w="826" w:type="pct"/>
          </w:tcPr>
          <w:p w14:paraId="0566467E">
            <w:pPr>
              <w:pStyle w:val="12"/>
              <w:rPr>
                <w:rFonts w:ascii="宋体" w:hAnsi="宋体" w:eastAsia="宋体" w:cs="宋体"/>
                <w:sz w:val="21"/>
                <w:szCs w:val="21"/>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74" w:hRule="atLeast"/>
        </w:trPr>
        <w:tc>
          <w:tcPr>
            <w:tcW w:w="385" w:type="pct"/>
            <w:vAlign w:val="center"/>
          </w:tcPr>
          <w:p w14:paraId="7A7E1C2D">
            <w:pPr>
              <w:spacing w:before="65" w:line="270" w:lineRule="exact"/>
              <w:jc w:val="center"/>
              <w:rPr>
                <w:rFonts w:ascii="宋体" w:hAnsi="宋体" w:eastAsia="宋体" w:cs="宋体"/>
                <w:position w:val="1"/>
                <w:sz w:val="21"/>
                <w:szCs w:val="21"/>
                <w:lang w:eastAsia="zh-CN"/>
              </w:rPr>
            </w:pPr>
            <w:r>
              <w:rPr>
                <w:rFonts w:hint="eastAsia" w:ascii="宋体" w:hAnsi="宋体" w:eastAsia="宋体" w:cs="宋体"/>
                <w:position w:val="1"/>
                <w:sz w:val="21"/>
                <w:szCs w:val="21"/>
                <w:lang w:eastAsia="zh-CN"/>
              </w:rPr>
              <w:t>3</w:t>
            </w:r>
          </w:p>
        </w:tc>
        <w:tc>
          <w:tcPr>
            <w:tcW w:w="2943" w:type="pct"/>
          </w:tcPr>
          <w:p w14:paraId="098309E1">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0"/>
              <w:jc w:val="left"/>
              <w:textAlignment w:val="center"/>
              <w:rPr>
                <w:sz w:val="21"/>
                <w:szCs w:val="21"/>
              </w:rPr>
            </w:pPr>
            <w:r>
              <w:rPr>
                <w:rFonts w:hint="eastAsia" w:ascii="宋体" w:hAnsi="宋体" w:eastAsia="宋体" w:cs="宋体"/>
                <w:b/>
                <w:bCs/>
                <w:color w:val="000000"/>
                <w:spacing w:val="0"/>
                <w:position w:val="0"/>
                <w:sz w:val="21"/>
                <w:szCs w:val="21"/>
              </w:rPr>
              <w:t>施工要求</w:t>
            </w:r>
          </w:p>
          <w:p w14:paraId="6348DC4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18"/>
              <w:contextualSpacing/>
              <w:jc w:val="left"/>
              <w:rPr>
                <w:sz w:val="21"/>
                <w:szCs w:val="21"/>
              </w:rPr>
            </w:pPr>
            <w:r>
              <w:rPr>
                <w:rFonts w:hint="eastAsia" w:ascii="宋体" w:hAnsi="宋体" w:eastAsia="宋体" w:cs="宋体"/>
                <w:color w:val="000000"/>
                <w:spacing w:val="0"/>
                <w:position w:val="0"/>
                <w:sz w:val="21"/>
                <w:szCs w:val="21"/>
              </w:rPr>
              <w:t>1.严格按照采购人用户需求施工，主材及关系到装修效果的材料在采购前需经采购人确认。</w:t>
            </w:r>
          </w:p>
          <w:p w14:paraId="64EB912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4"/>
              <w:contextualSpacing/>
              <w:jc w:val="left"/>
              <w:rPr>
                <w:sz w:val="21"/>
                <w:szCs w:val="21"/>
              </w:rPr>
            </w:pPr>
            <w:r>
              <w:rPr>
                <w:rFonts w:hint="eastAsia" w:ascii="宋体" w:hAnsi="宋体" w:eastAsia="宋体" w:cs="宋体"/>
                <w:color w:val="000000"/>
                <w:spacing w:val="0"/>
                <w:position w:val="0"/>
                <w:sz w:val="21"/>
                <w:szCs w:val="21"/>
              </w:rPr>
              <w:t>2.施工质量及施工材料须满足国家现行相关建筑、装修、机电安装工程及篮球场规范及标准要求。</w:t>
            </w:r>
          </w:p>
          <w:p w14:paraId="703D7F3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6"/>
              <w:contextualSpacing/>
              <w:jc w:val="left"/>
              <w:rPr>
                <w:sz w:val="21"/>
                <w:szCs w:val="21"/>
              </w:rPr>
            </w:pPr>
            <w:r>
              <w:rPr>
                <w:rFonts w:hint="eastAsia" w:ascii="宋体" w:hAnsi="宋体" w:eastAsia="宋体" w:cs="宋体"/>
                <w:color w:val="000000"/>
                <w:spacing w:val="0"/>
                <w:position w:val="0"/>
                <w:sz w:val="21"/>
                <w:szCs w:val="21"/>
              </w:rPr>
              <w:t>3.施工过程中须按照国家现行相关安全管理规范及标准做好现场安全文明施工，因成交供应商原因造成的任何安全事故及相关的赔偿，由成交供应商承担。</w:t>
            </w:r>
          </w:p>
          <w:p w14:paraId="7E28EBFF">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contextualSpacing/>
              <w:jc w:val="left"/>
              <w:rPr>
                <w:sz w:val="21"/>
                <w:szCs w:val="21"/>
              </w:rPr>
            </w:pPr>
            <w:r>
              <w:rPr>
                <w:rFonts w:hint="eastAsia" w:ascii="宋体" w:hAnsi="宋体" w:eastAsia="宋体" w:cs="宋体"/>
                <w:color w:val="000000"/>
                <w:spacing w:val="0"/>
                <w:position w:val="0"/>
                <w:sz w:val="21"/>
                <w:szCs w:val="21"/>
              </w:rPr>
              <w:t>4.成交供应商在施工期间应严格遵守国家、省、市有关防火、爆破、高空作业、施工安全以及文明施工等规定，建立规章制度和防护措施。否则，由此造成的损失或被有关部门处罚，均由成交供应商负责。</w:t>
            </w:r>
          </w:p>
          <w:p w14:paraId="0B45959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6"/>
              <w:contextualSpacing/>
              <w:jc w:val="left"/>
              <w:rPr>
                <w:sz w:val="21"/>
                <w:szCs w:val="21"/>
              </w:rPr>
            </w:pPr>
            <w:r>
              <w:rPr>
                <w:rFonts w:hint="eastAsia" w:ascii="宋体" w:hAnsi="宋体" w:eastAsia="宋体" w:cs="宋体"/>
                <w:color w:val="000000"/>
                <w:spacing w:val="0"/>
                <w:position w:val="0"/>
                <w:sz w:val="21"/>
                <w:szCs w:val="21"/>
              </w:rPr>
              <w:t>5.成交供应商应按安全施工的要求，遵守一切医院的规章制度，采取严格科学的安全措施。采购人与成交供应商的服务人员不发生任何劳动和雇佣关系，服务人员、设备和物料等物资由成交供应商自行管理。成交供应商确保施工安全、自身物资安全和第三者安全，承担由于自身不力原因造成安全事故责任、财物损失发生的费用。</w:t>
            </w:r>
          </w:p>
          <w:p w14:paraId="260E106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2"/>
              <w:contextualSpacing/>
              <w:jc w:val="left"/>
              <w:rPr>
                <w:sz w:val="21"/>
                <w:szCs w:val="21"/>
              </w:rPr>
            </w:pPr>
            <w:r>
              <w:rPr>
                <w:rFonts w:hint="eastAsia" w:ascii="宋体" w:hAnsi="宋体" w:eastAsia="宋体" w:cs="宋体"/>
                <w:color w:val="000000"/>
                <w:spacing w:val="0"/>
                <w:position w:val="0"/>
                <w:sz w:val="21"/>
                <w:szCs w:val="21"/>
              </w:rPr>
              <w:t>6.成交供应商必须确保施工现场的清洁卫生，建筑垃圾必须当日清理干净，不得留在现场过夜。</w:t>
            </w:r>
          </w:p>
          <w:p w14:paraId="2DB1DBC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6"/>
              <w:contextualSpacing/>
              <w:jc w:val="left"/>
              <w:rPr>
                <w:sz w:val="21"/>
                <w:szCs w:val="21"/>
              </w:rPr>
            </w:pPr>
            <w:r>
              <w:rPr>
                <w:rFonts w:hint="eastAsia" w:ascii="宋体" w:hAnsi="宋体" w:eastAsia="宋体" w:cs="宋体"/>
                <w:color w:val="000000"/>
                <w:spacing w:val="0"/>
                <w:position w:val="0"/>
                <w:sz w:val="21"/>
                <w:szCs w:val="21"/>
              </w:rPr>
              <w:t>7.成交供应商在施工过程中，如遇到需与外部相关的单位协调的问题时，应自行解决，采购人只负责协助。</w:t>
            </w:r>
          </w:p>
          <w:p w14:paraId="632E946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2"/>
              <w:contextualSpacing/>
              <w:jc w:val="left"/>
              <w:rPr>
                <w:sz w:val="21"/>
                <w:szCs w:val="21"/>
              </w:rPr>
            </w:pPr>
            <w:r>
              <w:rPr>
                <w:rFonts w:hint="eastAsia" w:ascii="宋体" w:hAnsi="宋体" w:eastAsia="宋体" w:cs="宋体"/>
                <w:color w:val="000000"/>
                <w:spacing w:val="0"/>
                <w:position w:val="0"/>
                <w:sz w:val="21"/>
                <w:szCs w:val="21"/>
              </w:rPr>
              <w:t>8.项目施工前须采用硬质定型材料进行围蔽，不得选用彩条布、安全网等易变形材质，围蔽费用已含在项目总价内，采购人不再另行支付。施工期间做好噪音、围蔽、安全、防尘等项目的管控，不得影响科室的正常运营。</w:t>
            </w:r>
          </w:p>
          <w:p w14:paraId="302D382A">
            <w:pPr>
              <w:widowControl w:val="0"/>
              <w:spacing w:line="240" w:lineRule="exact"/>
              <w:rPr>
                <w:rFonts w:ascii="宋体" w:hAnsi="宋体" w:eastAsia="宋体" w:cs="宋体"/>
                <w:sz w:val="21"/>
                <w:szCs w:val="21"/>
                <w:lang w:eastAsia="zh-CN"/>
              </w:rPr>
            </w:pPr>
            <w:r>
              <w:rPr>
                <w:rFonts w:hint="eastAsia" w:ascii="宋体" w:hAnsi="宋体" w:eastAsia="宋体" w:cs="宋体"/>
                <w:color w:val="000000"/>
                <w:spacing w:val="0"/>
                <w:position w:val="0"/>
                <w:sz w:val="21"/>
                <w:szCs w:val="21"/>
              </w:rPr>
              <w:t>9.项目施工的临水、临电由采购人提供接驳口，接驳口以外的范围由成交供应商负责，水电费由采购人负责。</w:t>
            </w:r>
          </w:p>
        </w:tc>
        <w:tc>
          <w:tcPr>
            <w:tcW w:w="844" w:type="pct"/>
          </w:tcPr>
          <w:p w14:paraId="6483D143">
            <w:pPr>
              <w:pStyle w:val="12"/>
              <w:rPr>
                <w:rFonts w:ascii="宋体" w:hAnsi="宋体" w:eastAsia="宋体" w:cs="宋体"/>
                <w:sz w:val="21"/>
                <w:szCs w:val="21"/>
                <w:lang w:eastAsia="zh-CN"/>
              </w:rPr>
            </w:pPr>
          </w:p>
        </w:tc>
        <w:tc>
          <w:tcPr>
            <w:tcW w:w="826" w:type="pct"/>
          </w:tcPr>
          <w:p w14:paraId="774B4E9C">
            <w:pPr>
              <w:pStyle w:val="12"/>
              <w:rPr>
                <w:rFonts w:ascii="宋体" w:hAnsi="宋体" w:eastAsia="宋体" w:cs="宋体"/>
                <w:sz w:val="21"/>
                <w:szCs w:val="21"/>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385" w:type="pct"/>
            <w:vAlign w:val="center"/>
          </w:tcPr>
          <w:p w14:paraId="66BBC161">
            <w:pPr>
              <w:spacing w:before="65"/>
              <w:jc w:val="center"/>
              <w:rPr>
                <w:rFonts w:ascii="宋体" w:hAnsi="宋体" w:eastAsia="宋体" w:cs="宋体"/>
                <w:position w:val="1"/>
                <w:sz w:val="21"/>
                <w:szCs w:val="21"/>
                <w:lang w:eastAsia="zh-CN"/>
              </w:rPr>
            </w:pPr>
            <w:r>
              <w:rPr>
                <w:rFonts w:hint="eastAsia" w:ascii="宋体" w:hAnsi="宋体" w:eastAsia="宋体" w:cs="宋体"/>
                <w:position w:val="1"/>
                <w:sz w:val="21"/>
                <w:szCs w:val="21"/>
                <w:lang w:eastAsia="zh-CN"/>
              </w:rPr>
              <w:t>4</w:t>
            </w:r>
          </w:p>
        </w:tc>
        <w:tc>
          <w:tcPr>
            <w:tcW w:w="2943" w:type="pct"/>
          </w:tcPr>
          <w:p w14:paraId="4F3E52B9">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0"/>
              <w:jc w:val="left"/>
              <w:textAlignment w:val="center"/>
              <w:rPr>
                <w:sz w:val="21"/>
                <w:szCs w:val="21"/>
              </w:rPr>
            </w:pPr>
            <w:r>
              <w:rPr>
                <w:rFonts w:hint="eastAsia" w:ascii="宋体" w:hAnsi="宋体" w:eastAsia="宋体" w:cs="宋体"/>
                <w:b/>
                <w:bCs/>
                <w:color w:val="000000"/>
                <w:spacing w:val="0"/>
                <w:position w:val="0"/>
                <w:sz w:val="21"/>
                <w:szCs w:val="21"/>
              </w:rPr>
              <w:t>验收</w:t>
            </w:r>
          </w:p>
          <w:p w14:paraId="58689CC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138"/>
              <w:contextualSpacing/>
              <w:jc w:val="left"/>
              <w:rPr>
                <w:sz w:val="21"/>
                <w:szCs w:val="21"/>
              </w:rPr>
            </w:pPr>
            <w:r>
              <w:rPr>
                <w:rFonts w:hint="eastAsia" w:ascii="宋体" w:hAnsi="宋体" w:eastAsia="宋体" w:cs="宋体"/>
                <w:color w:val="000000"/>
                <w:spacing w:val="0"/>
                <w:position w:val="0"/>
                <w:sz w:val="21"/>
                <w:szCs w:val="21"/>
              </w:rPr>
              <w:t>1.本项目按国家、省、市现行的相关质量评定标准和施工验收规范、规程及招标文件相关要求进行施工和验收。</w:t>
            </w:r>
          </w:p>
          <w:p w14:paraId="273CE24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146"/>
              <w:contextualSpacing/>
              <w:jc w:val="left"/>
              <w:rPr>
                <w:sz w:val="21"/>
                <w:szCs w:val="21"/>
              </w:rPr>
            </w:pPr>
            <w:r>
              <w:rPr>
                <w:rFonts w:hint="eastAsia" w:ascii="宋体" w:hAnsi="宋体" w:eastAsia="宋体" w:cs="宋体"/>
                <w:color w:val="000000"/>
                <w:spacing w:val="0"/>
                <w:position w:val="0"/>
                <w:sz w:val="21"/>
                <w:szCs w:val="21"/>
              </w:rPr>
              <w:t>2.符合《建筑工程施工质量验收统一标准》GB50300-2013。</w:t>
            </w:r>
          </w:p>
          <w:p w14:paraId="447D5DD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148"/>
              <w:contextualSpacing/>
              <w:jc w:val="left"/>
              <w:rPr>
                <w:sz w:val="21"/>
                <w:szCs w:val="21"/>
              </w:rPr>
            </w:pPr>
            <w:r>
              <w:rPr>
                <w:rFonts w:hint="eastAsia" w:ascii="宋体" w:hAnsi="宋体" w:eastAsia="宋体" w:cs="宋体"/>
                <w:color w:val="000000"/>
                <w:spacing w:val="0"/>
                <w:position w:val="0"/>
                <w:sz w:val="21"/>
                <w:szCs w:val="21"/>
              </w:rPr>
              <w:t>3.篮球场须符合国际篮球联合会标准（FIBA）。</w:t>
            </w:r>
          </w:p>
          <w:p w14:paraId="5FC4121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142"/>
              <w:contextualSpacing/>
              <w:jc w:val="left"/>
              <w:rPr>
                <w:sz w:val="21"/>
                <w:szCs w:val="21"/>
              </w:rPr>
            </w:pPr>
            <w:r>
              <w:rPr>
                <w:rFonts w:hint="eastAsia" w:ascii="宋体" w:hAnsi="宋体" w:eastAsia="宋体" w:cs="宋体"/>
                <w:color w:val="000000"/>
                <w:spacing w:val="0"/>
                <w:position w:val="0"/>
                <w:sz w:val="21"/>
                <w:szCs w:val="21"/>
              </w:rPr>
              <w:t>4.所用材料须符合或高于强制性国家标准（GB）/推荐性国家标准(GB/T)。</w:t>
            </w:r>
          </w:p>
          <w:p w14:paraId="7BA1D9B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148"/>
              <w:contextualSpacing/>
              <w:jc w:val="left"/>
              <w:rPr>
                <w:rFonts w:ascii="宋体" w:hAnsi="宋体" w:eastAsia="宋体" w:cs="宋体"/>
                <w:sz w:val="21"/>
                <w:szCs w:val="21"/>
                <w:lang w:eastAsia="zh-CN"/>
              </w:rPr>
            </w:pPr>
            <w:r>
              <w:rPr>
                <w:rFonts w:hint="eastAsia" w:ascii="宋体" w:hAnsi="宋体" w:eastAsia="宋体" w:cs="宋体"/>
                <w:color w:val="000000"/>
                <w:spacing w:val="0"/>
                <w:position w:val="0"/>
                <w:sz w:val="21"/>
                <w:szCs w:val="21"/>
              </w:rPr>
              <w:t>5.项目施工及验收须满足采购人要求。</w:t>
            </w:r>
          </w:p>
        </w:tc>
        <w:tc>
          <w:tcPr>
            <w:tcW w:w="844" w:type="pct"/>
          </w:tcPr>
          <w:p w14:paraId="193D8761">
            <w:pPr>
              <w:pStyle w:val="12"/>
              <w:rPr>
                <w:rFonts w:ascii="宋体" w:hAnsi="宋体" w:eastAsia="宋体" w:cs="宋体"/>
                <w:sz w:val="21"/>
                <w:szCs w:val="21"/>
                <w:lang w:eastAsia="zh-CN"/>
              </w:rPr>
            </w:pPr>
          </w:p>
        </w:tc>
        <w:tc>
          <w:tcPr>
            <w:tcW w:w="826" w:type="pct"/>
          </w:tcPr>
          <w:p w14:paraId="091A4CD4">
            <w:pPr>
              <w:pStyle w:val="12"/>
              <w:rPr>
                <w:rFonts w:ascii="宋体" w:hAnsi="宋体" w:eastAsia="宋体" w:cs="宋体"/>
                <w:sz w:val="21"/>
                <w:szCs w:val="21"/>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385" w:type="pct"/>
            <w:vAlign w:val="center"/>
          </w:tcPr>
          <w:p w14:paraId="7F4016B6">
            <w:pPr>
              <w:spacing w:before="65" w:line="270" w:lineRule="exact"/>
              <w:jc w:val="center"/>
              <w:rPr>
                <w:rFonts w:ascii="宋体" w:hAnsi="宋体" w:eastAsia="宋体" w:cs="宋体"/>
                <w:position w:val="1"/>
                <w:sz w:val="21"/>
                <w:szCs w:val="21"/>
                <w:lang w:eastAsia="zh-CN"/>
              </w:rPr>
            </w:pPr>
            <w:r>
              <w:rPr>
                <w:rFonts w:hint="eastAsia" w:ascii="宋体" w:hAnsi="宋体" w:eastAsia="宋体" w:cs="宋体"/>
                <w:position w:val="1"/>
                <w:sz w:val="21"/>
                <w:szCs w:val="21"/>
                <w:lang w:eastAsia="zh-CN"/>
              </w:rPr>
              <w:t>5</w:t>
            </w:r>
          </w:p>
        </w:tc>
        <w:tc>
          <w:tcPr>
            <w:tcW w:w="2943" w:type="pct"/>
          </w:tcPr>
          <w:p w14:paraId="3D546A04">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14" w:firstLineChars="0"/>
              <w:contextualSpacing/>
              <w:jc w:val="left"/>
              <w:rPr>
                <w:rFonts w:hint="eastAsia" w:ascii="宋体" w:hAnsi="宋体" w:eastAsia="宋体" w:cs="宋体"/>
                <w:b/>
                <w:bCs/>
                <w:color w:val="000000"/>
                <w:spacing w:val="0"/>
                <w:position w:val="0"/>
                <w:sz w:val="21"/>
                <w:szCs w:val="21"/>
              </w:rPr>
            </w:pPr>
            <w:r>
              <w:rPr>
                <w:rFonts w:hint="eastAsia" w:ascii="宋体" w:hAnsi="宋体" w:eastAsia="宋体" w:cs="宋体"/>
                <w:b/>
                <w:bCs/>
                <w:color w:val="000000"/>
                <w:spacing w:val="0"/>
                <w:position w:val="0"/>
                <w:sz w:val="21"/>
                <w:szCs w:val="21"/>
              </w:rPr>
              <w:t>付款方式</w:t>
            </w:r>
          </w:p>
          <w:p w14:paraId="02E157E1">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14" w:firstLineChars="0"/>
              <w:contextualSpacing/>
              <w:jc w:val="left"/>
              <w:rPr>
                <w:rFonts w:hint="eastAsia" w:ascii="宋体" w:hAnsi="宋体" w:eastAsia="宋体" w:cs="宋体"/>
                <w:color w:val="000000"/>
                <w:spacing w:val="0"/>
                <w:position w:val="0"/>
                <w:sz w:val="21"/>
                <w:szCs w:val="21"/>
              </w:rPr>
            </w:pPr>
            <w:r>
              <w:rPr>
                <w:rFonts w:hint="eastAsia" w:ascii="宋体" w:hAnsi="宋体" w:eastAsia="宋体" w:cs="宋体"/>
                <w:color w:val="000000"/>
                <w:spacing w:val="0"/>
                <w:kern w:val="0"/>
                <w:position w:val="0"/>
                <w:sz w:val="21"/>
                <w:szCs w:val="21"/>
                <w:lang w:val="en-US" w:eastAsia="zh-CN" w:bidi="ar"/>
              </w:rPr>
              <w:t>1.</w:t>
            </w:r>
            <w:r>
              <w:rPr>
                <w:rFonts w:hint="eastAsia" w:ascii="宋体" w:hAnsi="宋体" w:eastAsia="宋体" w:cs="宋体"/>
                <w:color w:val="000000"/>
                <w:spacing w:val="0"/>
                <w:position w:val="0"/>
                <w:sz w:val="21"/>
                <w:szCs w:val="21"/>
              </w:rPr>
              <w:t>本工程完成后，成交供应商按采购人要求提交竣工资料，由第三方公司进行结算审核，并经采购人验收合格后，由成交供应商开具工程结算价全额发票，采购人</w:t>
            </w:r>
            <w:r>
              <w:rPr>
                <w:rFonts w:hint="eastAsia" w:ascii="宋体" w:hAnsi="宋体" w:eastAsia="宋体" w:cs="宋体"/>
                <w:color w:val="000000"/>
                <w:spacing w:val="0"/>
                <w:position w:val="0"/>
                <w:sz w:val="21"/>
                <w:szCs w:val="21"/>
                <w:lang w:val="en-US" w:eastAsia="zh-CN"/>
              </w:rPr>
              <w:t>60</w:t>
            </w:r>
            <w:r>
              <w:rPr>
                <w:rFonts w:hint="eastAsia" w:ascii="宋体" w:hAnsi="宋体" w:eastAsia="宋体" w:cs="宋体"/>
                <w:color w:val="000000"/>
                <w:spacing w:val="0"/>
                <w:position w:val="0"/>
                <w:sz w:val="21"/>
                <w:szCs w:val="21"/>
              </w:rPr>
              <w:t xml:space="preserve"> </w:t>
            </w:r>
            <w:r>
              <w:rPr>
                <w:rFonts w:hint="eastAsia" w:ascii="宋体" w:hAnsi="宋体" w:eastAsia="宋体" w:cs="宋体"/>
                <w:color w:val="000000"/>
                <w:spacing w:val="0"/>
                <w:position w:val="0"/>
                <w:sz w:val="21"/>
                <w:szCs w:val="21"/>
                <w:lang w:eastAsia="zh-CN"/>
              </w:rPr>
              <w:t>工作</w:t>
            </w:r>
            <w:r>
              <w:rPr>
                <w:rFonts w:hint="eastAsia" w:ascii="宋体" w:hAnsi="宋体" w:eastAsia="宋体" w:cs="宋体"/>
                <w:color w:val="000000"/>
                <w:spacing w:val="0"/>
                <w:position w:val="0"/>
                <w:sz w:val="21"/>
                <w:szCs w:val="21"/>
              </w:rPr>
              <w:t>日付至结算总额的97%，余下3%作为质量保金额，在保修期满后</w:t>
            </w:r>
            <w:r>
              <w:rPr>
                <w:rFonts w:hint="eastAsia" w:ascii="宋体" w:hAnsi="宋体" w:eastAsia="宋体" w:cs="宋体"/>
                <w:color w:val="000000"/>
                <w:spacing w:val="0"/>
                <w:position w:val="0"/>
                <w:sz w:val="21"/>
                <w:szCs w:val="21"/>
                <w:lang w:val="en-US" w:eastAsia="zh-CN"/>
              </w:rPr>
              <w:t>60</w:t>
            </w:r>
            <w:r>
              <w:rPr>
                <w:rFonts w:hint="eastAsia" w:ascii="宋体" w:hAnsi="宋体" w:eastAsia="宋体" w:cs="宋体"/>
                <w:color w:val="000000"/>
                <w:spacing w:val="0"/>
                <w:position w:val="0"/>
                <w:sz w:val="21"/>
                <w:szCs w:val="21"/>
              </w:rPr>
              <w:t xml:space="preserve"> </w:t>
            </w:r>
            <w:r>
              <w:rPr>
                <w:rFonts w:hint="eastAsia" w:ascii="宋体" w:hAnsi="宋体" w:eastAsia="宋体" w:cs="宋体"/>
                <w:color w:val="000000"/>
                <w:spacing w:val="0"/>
                <w:position w:val="0"/>
                <w:sz w:val="21"/>
                <w:szCs w:val="21"/>
                <w:lang w:eastAsia="zh-CN"/>
              </w:rPr>
              <w:t>工作</w:t>
            </w:r>
            <w:r>
              <w:rPr>
                <w:rFonts w:hint="eastAsia" w:ascii="宋体" w:hAnsi="宋体" w:eastAsia="宋体" w:cs="宋体"/>
                <w:color w:val="000000"/>
                <w:spacing w:val="0"/>
                <w:position w:val="0"/>
                <w:sz w:val="21"/>
                <w:szCs w:val="21"/>
              </w:rPr>
              <w:t>日内一次性无息支付。</w:t>
            </w:r>
          </w:p>
          <w:p w14:paraId="7C9011A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center"/>
              <w:rPr>
                <w:rFonts w:ascii="宋体" w:hAnsi="宋体" w:eastAsia="宋体" w:cs="宋体"/>
                <w:sz w:val="21"/>
                <w:szCs w:val="21"/>
                <w:lang w:eastAsia="zh-CN"/>
              </w:rPr>
            </w:pPr>
            <w:r>
              <w:rPr>
                <w:rFonts w:hint="eastAsia" w:ascii="宋体" w:hAnsi="宋体" w:eastAsia="宋体" w:cs="宋体"/>
                <w:color w:val="000000"/>
                <w:spacing w:val="0"/>
                <w:kern w:val="0"/>
                <w:position w:val="0"/>
                <w:sz w:val="21"/>
                <w:szCs w:val="21"/>
                <w:lang w:val="en-US" w:eastAsia="zh-CN" w:bidi="ar"/>
              </w:rPr>
              <w:t>2.</w:t>
            </w:r>
            <w:r>
              <w:rPr>
                <w:rFonts w:hint="eastAsia" w:ascii="宋体" w:hAnsi="宋体" w:eastAsia="宋体" w:cs="宋体"/>
                <w:color w:val="auto"/>
                <w:sz w:val="21"/>
                <w:szCs w:val="21"/>
                <w:shd w:val="clear" w:color="auto" w:fill="FFFFFF"/>
                <w:lang w:val="en-US" w:eastAsia="zh-CN" w:bidi="ar"/>
              </w:rPr>
              <w:t>特别说明：合同约定的付款期限，遵守《保障中小企业款项支付条例》的规定。如中介机构为中小企业，付款期限最长不超过60日。</w:t>
            </w:r>
          </w:p>
        </w:tc>
        <w:tc>
          <w:tcPr>
            <w:tcW w:w="844" w:type="pct"/>
          </w:tcPr>
          <w:p w14:paraId="400EB205">
            <w:pPr>
              <w:pStyle w:val="12"/>
              <w:rPr>
                <w:rFonts w:ascii="宋体" w:hAnsi="宋体" w:eastAsia="宋体" w:cs="宋体"/>
                <w:sz w:val="21"/>
                <w:szCs w:val="21"/>
                <w:lang w:eastAsia="zh-CN"/>
              </w:rPr>
            </w:pPr>
          </w:p>
        </w:tc>
        <w:tc>
          <w:tcPr>
            <w:tcW w:w="826" w:type="pct"/>
          </w:tcPr>
          <w:p w14:paraId="4379F7B4">
            <w:pPr>
              <w:pStyle w:val="12"/>
              <w:rPr>
                <w:rFonts w:ascii="宋体" w:hAnsi="宋体" w:eastAsia="宋体" w:cs="宋体"/>
                <w:sz w:val="21"/>
                <w:szCs w:val="21"/>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385" w:type="pct"/>
            <w:vAlign w:val="center"/>
          </w:tcPr>
          <w:p w14:paraId="5E6150C9">
            <w:pPr>
              <w:spacing w:before="65" w:line="270" w:lineRule="exact"/>
              <w:jc w:val="center"/>
              <w:rPr>
                <w:rFonts w:ascii="宋体" w:hAnsi="宋体" w:eastAsia="宋体" w:cs="宋体"/>
                <w:position w:val="1"/>
                <w:sz w:val="21"/>
                <w:szCs w:val="21"/>
                <w:lang w:eastAsia="zh-CN"/>
              </w:rPr>
            </w:pPr>
            <w:r>
              <w:rPr>
                <w:rFonts w:hint="eastAsia" w:ascii="宋体" w:hAnsi="宋体" w:eastAsia="宋体" w:cs="宋体"/>
                <w:position w:val="1"/>
                <w:sz w:val="21"/>
                <w:szCs w:val="21"/>
                <w:lang w:eastAsia="zh-CN"/>
              </w:rPr>
              <w:t>6</w:t>
            </w:r>
          </w:p>
        </w:tc>
        <w:tc>
          <w:tcPr>
            <w:tcW w:w="2943" w:type="pct"/>
          </w:tcPr>
          <w:p w14:paraId="4A181D61">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firstLine="0"/>
              <w:jc w:val="left"/>
              <w:textAlignment w:val="center"/>
              <w:rPr>
                <w:sz w:val="21"/>
                <w:szCs w:val="21"/>
              </w:rPr>
            </w:pPr>
            <w:r>
              <w:rPr>
                <w:rFonts w:hint="eastAsia" w:ascii="宋体" w:hAnsi="宋体" w:eastAsia="宋体" w:cs="宋体"/>
                <w:b/>
                <w:bCs/>
                <w:color w:val="000000"/>
                <w:spacing w:val="0"/>
                <w:position w:val="0"/>
                <w:sz w:val="21"/>
                <w:szCs w:val="21"/>
              </w:rPr>
              <w:t>保修期及要求</w:t>
            </w:r>
          </w:p>
          <w:p w14:paraId="5B8BAA1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18"/>
              <w:contextualSpacing/>
              <w:jc w:val="left"/>
              <w:rPr>
                <w:sz w:val="21"/>
                <w:szCs w:val="21"/>
              </w:rPr>
            </w:pPr>
            <w:r>
              <w:rPr>
                <w:rFonts w:hint="eastAsia" w:ascii="宋体" w:hAnsi="宋体" w:eastAsia="宋体" w:cs="宋体"/>
                <w:color w:val="000000"/>
                <w:spacing w:val="0"/>
                <w:position w:val="0"/>
                <w:sz w:val="21"/>
                <w:szCs w:val="21"/>
              </w:rPr>
              <w:t>1．保修期为</w:t>
            </w:r>
            <w:r>
              <w:rPr>
                <w:rFonts w:hint="eastAsia" w:ascii="宋体" w:hAnsi="宋体" w:eastAsia="宋体" w:cs="宋体"/>
                <w:color w:val="000000"/>
                <w:spacing w:val="0"/>
                <w:position w:val="0"/>
                <w:sz w:val="21"/>
                <w:szCs w:val="21"/>
                <w:u w:val="single"/>
              </w:rPr>
              <w:t xml:space="preserve">2 </w:t>
            </w:r>
            <w:r>
              <w:rPr>
                <w:rFonts w:hint="eastAsia" w:ascii="宋体" w:hAnsi="宋体" w:eastAsia="宋体" w:cs="宋体"/>
                <w:color w:val="000000"/>
                <w:spacing w:val="0"/>
                <w:position w:val="0"/>
                <w:sz w:val="21"/>
                <w:szCs w:val="21"/>
              </w:rPr>
              <w:t>年，保修期自竣工验收之日起计算。</w:t>
            </w:r>
          </w:p>
          <w:p w14:paraId="6BA1511F">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4"/>
              <w:contextualSpacing/>
              <w:jc w:val="left"/>
              <w:rPr>
                <w:sz w:val="21"/>
                <w:szCs w:val="21"/>
              </w:rPr>
            </w:pPr>
            <w:r>
              <w:rPr>
                <w:rFonts w:hint="eastAsia" w:ascii="宋体" w:hAnsi="宋体" w:eastAsia="宋体" w:cs="宋体"/>
                <w:color w:val="000000"/>
                <w:spacing w:val="0"/>
                <w:position w:val="0"/>
                <w:sz w:val="21"/>
                <w:szCs w:val="21"/>
              </w:rPr>
              <w:t>2.保修期内因质量或工艺问题（人为损坏及自然灾害除外），成交供应商应免费保修（包工包料）。</w:t>
            </w:r>
          </w:p>
          <w:p w14:paraId="1EC91E6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6"/>
              <w:contextualSpacing/>
              <w:jc w:val="left"/>
              <w:rPr>
                <w:sz w:val="21"/>
                <w:szCs w:val="21"/>
              </w:rPr>
            </w:pPr>
            <w:r>
              <w:rPr>
                <w:rFonts w:hint="eastAsia" w:ascii="宋体" w:hAnsi="宋体" w:eastAsia="宋体" w:cs="宋体"/>
                <w:color w:val="000000"/>
                <w:spacing w:val="0"/>
                <w:position w:val="0"/>
                <w:sz w:val="21"/>
                <w:szCs w:val="21"/>
              </w:rPr>
              <w:t>3.保修期及文件中未列明的其他项目的保修期按国家现行的质量保修办法的规定执行。</w:t>
            </w:r>
          </w:p>
          <w:p w14:paraId="6C52A21E">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14" w:firstLineChars="0"/>
              <w:contextualSpacing/>
              <w:jc w:val="left"/>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rPr>
              <w:t>4.保修期内，电话24 小时响应，3 小时内到场，3 天内（特殊情况下经双方协商，以协商达成时间为准）完成修复处理。如成交供应商未按约定时间进行维修，采购人可另行安排人员维修，所产生的相关费用由成交供应商承担，在质量保证金中扣除。</w:t>
            </w:r>
          </w:p>
        </w:tc>
        <w:tc>
          <w:tcPr>
            <w:tcW w:w="844" w:type="pct"/>
          </w:tcPr>
          <w:p w14:paraId="0ECC2677">
            <w:pPr>
              <w:pStyle w:val="12"/>
              <w:rPr>
                <w:rFonts w:ascii="宋体" w:hAnsi="宋体" w:eastAsia="宋体" w:cs="宋体"/>
                <w:sz w:val="21"/>
                <w:szCs w:val="21"/>
                <w:lang w:eastAsia="zh-CN"/>
              </w:rPr>
            </w:pPr>
          </w:p>
        </w:tc>
        <w:tc>
          <w:tcPr>
            <w:tcW w:w="826" w:type="pct"/>
          </w:tcPr>
          <w:p w14:paraId="79CBAC54">
            <w:pPr>
              <w:pStyle w:val="12"/>
              <w:rPr>
                <w:rFonts w:ascii="宋体" w:hAnsi="宋体" w:eastAsia="宋体" w:cs="宋体"/>
                <w:sz w:val="21"/>
                <w:szCs w:val="21"/>
                <w:lang w:eastAsia="zh-CN"/>
              </w:rPr>
            </w:pPr>
          </w:p>
        </w:tc>
      </w:tr>
    </w:tbl>
    <w:p w14:paraId="32439B15">
      <w:pPr>
        <w:keepNext w:val="0"/>
        <w:keepLines w:val="0"/>
        <w:pageBreakBefore w:val="0"/>
        <w:numPr>
          <w:ilvl w:val="0"/>
          <w:numId w:val="0"/>
        </w:numPr>
        <w:kinsoku/>
        <w:wordWrap/>
        <w:overflowPunct/>
        <w:topLinePunct w:val="0"/>
        <w:autoSpaceDE/>
        <w:autoSpaceDN/>
        <w:bidi w:val="0"/>
        <w:adjustRightInd/>
        <w:snapToGrid/>
        <w:spacing w:beforeAutospacing="0" w:afterAutospacing="0"/>
        <w:rPr>
          <w:rFonts w:hint="eastAsia" w:ascii="宋体" w:hAnsi="宋体" w:eastAsia="宋体" w:cs="宋体"/>
          <w:b/>
          <w:i w:val="0"/>
          <w:iCs w:val="0"/>
          <w:caps w:val="0"/>
          <w:color w:val="000000"/>
          <w:spacing w:val="15"/>
          <w:kern w:val="2"/>
          <w:sz w:val="24"/>
          <w:szCs w:val="24"/>
          <w:shd w:val="clear" w:fill="FFFFFF"/>
          <w:vertAlign w:val="baseline"/>
          <w:lang w:val="en-US" w:eastAsia="zh-CN" w:bidi="ar-SA"/>
        </w:rPr>
      </w:pPr>
    </w:p>
    <w:p w14:paraId="2BDC7B35">
      <w:pPr>
        <w:pStyle w:val="3"/>
        <w:rPr>
          <w:rFonts w:hint="eastAsia"/>
          <w:lang w:eastAsia="zh-CN"/>
        </w:rPr>
      </w:pPr>
      <w:r>
        <w:rPr>
          <w:rFonts w:hint="eastAsia"/>
          <w:lang w:eastAsia="zh-CN"/>
        </w:rPr>
        <w:t>填写说明：供应商结合公司自身情况填写调查响应，“完全响应”、“正偏离”或“负偏离”，正负偏离需说明情况。如有更好建议或服务方案请以下说明：</w:t>
      </w:r>
    </w:p>
    <w:p w14:paraId="2433B90C">
      <w:pPr>
        <w:pStyle w:val="3"/>
        <w:rPr>
          <w:rFonts w:hint="eastAsia"/>
          <w:lang w:eastAsia="zh-CN"/>
        </w:rPr>
      </w:pPr>
      <w:r>
        <w:rPr>
          <w:rFonts w:hint="eastAsia"/>
          <w:lang w:eastAsia="zh-CN"/>
        </w:rPr>
        <w:t>建议：</w:t>
      </w:r>
    </w:p>
    <w:p w14:paraId="32750A27">
      <w:pPr>
        <w:pStyle w:val="3"/>
        <w:numPr>
          <w:ilvl w:val="0"/>
          <w:numId w:val="0"/>
        </w:numPr>
        <w:rPr>
          <w:rFonts w:hint="eastAsia"/>
          <w:lang w:val="en-US" w:eastAsia="zh-CN"/>
        </w:rPr>
      </w:pPr>
      <w:r>
        <w:rPr>
          <w:rFonts w:hint="eastAsia" w:ascii="宋体" w:hAnsi="宋体" w:eastAsia="宋体" w:cs="宋体"/>
          <w:b/>
          <w:bCs/>
          <w:kern w:val="2"/>
          <w:sz w:val="24"/>
          <w:szCs w:val="24"/>
          <w:lang w:val="en-US" w:eastAsia="zh-CN" w:bidi="zh-CN"/>
        </w:rPr>
        <w:t>1、</w:t>
      </w:r>
      <w:r>
        <w:rPr>
          <w:rFonts w:hint="eastAsia"/>
          <w:lang w:val="en-US" w:eastAsia="zh-CN"/>
        </w:rPr>
        <w:t>...</w:t>
      </w:r>
    </w:p>
    <w:p w14:paraId="0A8231B3">
      <w:pPr>
        <w:pStyle w:val="3"/>
        <w:numPr>
          <w:ilvl w:val="0"/>
          <w:numId w:val="0"/>
        </w:numPr>
        <w:rPr>
          <w:rFonts w:hint="default"/>
          <w:lang w:val="en-US" w:eastAsia="zh-CN"/>
        </w:rPr>
      </w:pPr>
      <w:r>
        <w:rPr>
          <w:rFonts w:hint="default" w:ascii="宋体" w:hAnsi="宋体" w:eastAsia="宋体" w:cs="宋体"/>
          <w:b/>
          <w:bCs/>
          <w:kern w:val="2"/>
          <w:sz w:val="24"/>
          <w:szCs w:val="24"/>
          <w:lang w:val="en-US" w:eastAsia="zh-CN" w:bidi="zh-CN"/>
        </w:rPr>
        <w:t>2、</w:t>
      </w:r>
      <w:r>
        <w:rPr>
          <w:rFonts w:hint="eastAsia"/>
          <w:lang w:val="en-US" w:eastAsia="zh-CN"/>
        </w:rPr>
        <w:t>...</w:t>
      </w:r>
    </w:p>
    <w:p w14:paraId="45012EA2">
      <w:pPr>
        <w:pStyle w:val="3"/>
        <w:numPr>
          <w:ilvl w:val="0"/>
          <w:numId w:val="0"/>
        </w:numPr>
        <w:rPr>
          <w:rFonts w:hint="default"/>
          <w:lang w:val="en-US" w:eastAsia="zh-CN"/>
        </w:rPr>
      </w:pPr>
      <w:r>
        <w:rPr>
          <w:rFonts w:hint="default" w:ascii="宋体" w:hAnsi="宋体" w:eastAsia="宋体" w:cs="宋体"/>
          <w:b/>
          <w:bCs/>
          <w:kern w:val="2"/>
          <w:sz w:val="24"/>
          <w:szCs w:val="24"/>
          <w:lang w:val="en-US" w:eastAsia="zh-CN" w:bidi="zh-CN"/>
        </w:rPr>
        <w:t>3、</w:t>
      </w:r>
      <w:r>
        <w:rPr>
          <w:rFonts w:hint="eastAsia"/>
          <w:lang w:val="en-US" w:eastAsia="zh-CN"/>
        </w:rPr>
        <w:t>...</w:t>
      </w:r>
    </w:p>
    <w:p w14:paraId="33328919">
      <w:pPr>
        <w:pStyle w:val="3"/>
        <w:numPr>
          <w:ilvl w:val="0"/>
          <w:numId w:val="0"/>
        </w:numPr>
        <w:rPr>
          <w:rFonts w:hint="eastAsia"/>
          <w:lang w:val="en-US" w:eastAsia="zh-CN"/>
        </w:rPr>
      </w:pPr>
    </w:p>
    <w:p w14:paraId="42862A0E">
      <w:pPr>
        <w:pStyle w:val="3"/>
        <w:numPr>
          <w:ilvl w:val="0"/>
          <w:numId w:val="0"/>
        </w:numPr>
        <w:rPr>
          <w:rFonts w:hint="eastAsia"/>
          <w:lang w:val="en-US" w:eastAsia="zh-CN"/>
        </w:rPr>
      </w:pPr>
    </w:p>
    <w:p w14:paraId="6ED11771">
      <w:pPr>
        <w:pStyle w:val="3"/>
        <w:numPr>
          <w:ilvl w:val="0"/>
          <w:numId w:val="0"/>
        </w:numPr>
        <w:rPr>
          <w:rFonts w:hint="eastAsia"/>
          <w:lang w:val="en-US" w:eastAsia="zh-CN"/>
        </w:rPr>
      </w:pPr>
    </w:p>
    <w:p w14:paraId="160C9A18">
      <w:pPr>
        <w:pStyle w:val="3"/>
        <w:numPr>
          <w:ilvl w:val="0"/>
          <w:numId w:val="0"/>
        </w:numPr>
        <w:rPr>
          <w:rFonts w:hint="eastAsia"/>
          <w:lang w:val="en-US" w:eastAsia="zh-CN"/>
        </w:rPr>
      </w:pPr>
    </w:p>
    <w:p w14:paraId="6FABD2BC">
      <w:pPr>
        <w:pStyle w:val="3"/>
        <w:numPr>
          <w:ilvl w:val="0"/>
          <w:numId w:val="0"/>
        </w:numPr>
        <w:rPr>
          <w:rFonts w:hint="eastAsia"/>
          <w:lang w:val="en-US" w:eastAsia="zh-CN"/>
        </w:rPr>
      </w:pPr>
    </w:p>
    <w:p w14:paraId="1EF437AF">
      <w:pPr>
        <w:pStyle w:val="3"/>
        <w:numPr>
          <w:ilvl w:val="0"/>
          <w:numId w:val="0"/>
        </w:numPr>
        <w:rPr>
          <w:rFonts w:hint="default"/>
          <w:lang w:val="en-US" w:eastAsia="zh-CN"/>
        </w:rPr>
      </w:pPr>
      <w:r>
        <w:rPr>
          <w:rFonts w:hint="eastAsia" w:ascii="宋体" w:hAnsi="宋体" w:eastAsia="宋体" w:cs="宋体"/>
          <w:i w:val="0"/>
          <w:iCs w:val="0"/>
          <w:caps w:val="0"/>
          <w:color w:val="000000"/>
          <w:spacing w:val="0"/>
          <w:sz w:val="21"/>
          <w:szCs w:val="21"/>
        </w:rPr>
        <w:t>具备相关经营范围的营业执照</w:t>
      </w:r>
      <w:r>
        <w:rPr>
          <w:rFonts w:hint="eastAsia" w:ascii="宋体" w:hAnsi="宋体" w:eastAsia="宋体" w:cs="宋体"/>
          <w:i w:val="0"/>
          <w:iCs w:val="0"/>
          <w:caps w:val="0"/>
          <w:color w:val="000000"/>
          <w:spacing w:val="0"/>
          <w:sz w:val="21"/>
          <w:szCs w:val="21"/>
          <w:lang w:eastAsia="zh-CN"/>
        </w:rPr>
        <w:t>（体育场地施工）复印件（盖章）</w:t>
      </w:r>
    </w:p>
    <w:sectPr>
      <w:pgSz w:w="11906" w:h="16838"/>
      <w:pgMar w:top="816" w:right="839" w:bottom="816"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B544B"/>
    <w:rsid w:val="098456AC"/>
    <w:rsid w:val="1E0B544B"/>
    <w:rsid w:val="6B81115A"/>
    <w:rsid w:val="6C994F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rPr>
      <w:szCs w:val="20"/>
    </w:rPr>
  </w:style>
  <w:style w:type="paragraph" w:styleId="3">
    <w:name w:val="Body Text"/>
    <w:basedOn w:val="1"/>
    <w:unhideWhenUsed/>
    <w:qFormat/>
    <w:uiPriority w:val="0"/>
    <w:rPr>
      <w:rFonts w:ascii="宋体" w:hAnsi="宋体" w:eastAsia="宋体" w:cs="宋体"/>
      <w:b/>
      <w:bCs/>
      <w:sz w:val="24"/>
      <w:szCs w:val="24"/>
      <w:lang w:val="zh-CN" w:eastAsia="zh-CN" w:bidi="zh-CN"/>
    </w:rPr>
  </w:style>
  <w:style w:type="paragraph" w:styleId="4">
    <w:name w:val="toc 5"/>
    <w:basedOn w:val="1"/>
    <w:next w:val="1"/>
    <w:unhideWhenUsed/>
    <w:qFormat/>
    <w:uiPriority w:val="0"/>
    <w:pPr>
      <w:ind w:left="840"/>
      <w:jc w:val="left"/>
    </w:pPr>
    <w:rPr>
      <w:rFonts w:ascii="Calibri" w:hAnsi="Calibri" w:cs="Calibri"/>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styleId="9">
    <w:name w:val="List Paragraph"/>
    <w:basedOn w:val="1"/>
    <w:unhideWhenUsed/>
    <w:qFormat/>
    <w:uiPriority w:val="99"/>
    <w:pPr>
      <w:ind w:firstLine="420" w:firstLineChars="200"/>
    </w:pPr>
  </w:style>
  <w:style w:type="paragraph" w:customStyle="1" w:styleId="1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1322</Words>
  <Characters>1623</Characters>
  <Lines>0</Lines>
  <Paragraphs>0</Paragraphs>
  <TotalTime>63</TotalTime>
  <ScaleCrop>false</ScaleCrop>
  <LinksUpToDate>false</LinksUpToDate>
  <CharactersWithSpaces>1640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2026-04-27T02:18:00Z</dcterms:created>
  <dc:creator>18924981193</dc:creator>
  <cp:lastModifiedBy>18924981193</cp:lastModifiedBy>
  <dcterms:modified xsi:type="dcterms:W3CDTF">2026-04-27T07:17:59Z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B7F61C1B638940F188D0BD1408FDF37A_11</vt:lpwstr>
  </property>
  <property fmtid="{D5CDD505-2E9C-101B-9397-08002B2CF9AE}" pid="4" name="KSOTemplateDocerSaveRecord">
    <vt:lpwstr>eyJoZGlkIjoiMDI1YTQ0MGQ2NDc4NmQ3MjU4NTFkMzZmNDA5NDM5ODgiLCJ1c2VySWQiOiI3MDcxOTEyNjEifQ==</vt:lpwstr>
  </property>
</Properties>
</file>