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07C95">
      <w:pPr>
        <w:spacing w:line="360" w:lineRule="auto"/>
        <w:jc w:val="center"/>
        <w:outlineLvl w:val="1"/>
        <w:rPr>
          <w:rStyle w:val="10"/>
          <w:rFonts w:hint="eastAsia" w:ascii="宋体" w:hAnsi="宋体" w:eastAsia="宋体" w:cs="宋体"/>
          <w:b/>
          <w:bCs/>
          <w:sz w:val="48"/>
          <w:szCs w:val="48"/>
          <w:lang w:val="en-US" w:eastAsia="zh-CN"/>
        </w:rPr>
      </w:pPr>
    </w:p>
    <w:p w14:paraId="333A2128">
      <w:pPr>
        <w:spacing w:line="360" w:lineRule="auto"/>
        <w:jc w:val="center"/>
        <w:outlineLvl w:val="1"/>
        <w:rPr>
          <w:rStyle w:val="10"/>
          <w:rFonts w:hint="eastAsia" w:ascii="宋体" w:hAnsi="宋体" w:eastAsia="宋体" w:cs="宋体"/>
          <w:b/>
          <w:bCs/>
          <w:sz w:val="48"/>
          <w:szCs w:val="48"/>
          <w:lang w:val="en-US" w:eastAsia="zh-CN"/>
        </w:rPr>
      </w:pPr>
    </w:p>
    <w:p w14:paraId="1C35DC25">
      <w:pPr>
        <w:spacing w:line="360" w:lineRule="auto"/>
        <w:jc w:val="center"/>
        <w:outlineLvl w:val="1"/>
        <w:rPr>
          <w:rStyle w:val="10"/>
          <w:rFonts w:hint="eastAsia" w:ascii="宋体" w:hAnsi="宋体" w:eastAsia="宋体" w:cs="宋体"/>
          <w:b/>
          <w:bCs/>
          <w:sz w:val="48"/>
          <w:szCs w:val="48"/>
          <w:lang w:val="en-US" w:eastAsia="zh-CN"/>
        </w:rPr>
      </w:pPr>
    </w:p>
    <w:p w14:paraId="394F0EAF">
      <w:pPr>
        <w:spacing w:line="360" w:lineRule="auto"/>
        <w:jc w:val="center"/>
        <w:outlineLvl w:val="1"/>
        <w:rPr>
          <w:rStyle w:val="10"/>
          <w:rFonts w:hint="eastAsia" w:ascii="宋体" w:hAnsi="宋体" w:eastAsia="宋体" w:cs="宋体"/>
          <w:b/>
          <w:bCs/>
          <w:sz w:val="48"/>
          <w:szCs w:val="48"/>
          <w:lang w:val="en-US" w:eastAsia="zh-CN"/>
        </w:rPr>
      </w:pPr>
      <w:r>
        <w:rPr>
          <w:rStyle w:val="10"/>
          <w:rFonts w:hint="eastAsia" w:ascii="宋体" w:hAnsi="宋体" w:eastAsia="宋体" w:cs="宋体"/>
          <w:b/>
          <w:bCs/>
          <w:sz w:val="48"/>
          <w:szCs w:val="48"/>
          <w:lang w:val="en-US" w:eastAsia="zh-CN"/>
        </w:rPr>
        <w:t>中山市东升医院家电类协议供货项目</w:t>
      </w:r>
    </w:p>
    <w:p w14:paraId="73291A6C">
      <w:pPr>
        <w:spacing w:line="360" w:lineRule="auto"/>
        <w:jc w:val="center"/>
        <w:outlineLvl w:val="1"/>
        <w:rPr>
          <w:rFonts w:hint="eastAsia" w:ascii="宋体" w:hAnsi="宋体" w:eastAsia="宋体" w:cs="宋体"/>
          <w:sz w:val="48"/>
          <w:szCs w:val="48"/>
          <w:lang w:val="en-US" w:eastAsia="zh-CN"/>
        </w:rPr>
      </w:pPr>
      <w:r>
        <w:rPr>
          <w:rStyle w:val="10"/>
          <w:rFonts w:hint="eastAsia" w:ascii="宋体" w:hAnsi="宋体" w:eastAsia="宋体" w:cs="宋体"/>
          <w:b/>
          <w:bCs/>
          <w:sz w:val="48"/>
          <w:szCs w:val="48"/>
          <w:lang w:val="en-US" w:eastAsia="zh-CN"/>
        </w:rPr>
        <w:t>（二次</w:t>
      </w:r>
      <w:bookmarkStart w:id="0" w:name="_GoBack"/>
      <w:bookmarkEnd w:id="0"/>
      <w:r>
        <w:rPr>
          <w:rStyle w:val="10"/>
          <w:rFonts w:hint="eastAsia" w:ascii="宋体" w:hAnsi="宋体" w:eastAsia="宋体" w:cs="宋体"/>
          <w:b/>
          <w:bCs/>
          <w:sz w:val="48"/>
          <w:szCs w:val="48"/>
          <w:lang w:val="en-US" w:eastAsia="zh-CN"/>
        </w:rPr>
        <w:t>）调研响应文件</w:t>
      </w:r>
    </w:p>
    <w:p w14:paraId="3785F128">
      <w:pPr>
        <w:spacing w:line="360" w:lineRule="auto"/>
        <w:jc w:val="center"/>
        <w:outlineLvl w:val="1"/>
        <w:rPr>
          <w:rStyle w:val="10"/>
          <w:rFonts w:hint="eastAsia" w:ascii="宋体" w:hAnsi="宋体" w:eastAsia="宋体" w:cs="宋体"/>
          <w:b/>
          <w:bCs/>
          <w:sz w:val="32"/>
          <w:szCs w:val="28"/>
        </w:rPr>
      </w:pPr>
    </w:p>
    <w:p w14:paraId="66779CA0">
      <w:pPr>
        <w:spacing w:line="360" w:lineRule="auto"/>
        <w:jc w:val="center"/>
        <w:outlineLvl w:val="1"/>
        <w:rPr>
          <w:rStyle w:val="10"/>
          <w:rFonts w:hint="eastAsia" w:ascii="宋体" w:hAnsi="宋体" w:eastAsia="宋体" w:cs="宋体"/>
          <w:b/>
          <w:bCs/>
          <w:sz w:val="32"/>
          <w:szCs w:val="28"/>
        </w:rPr>
      </w:pPr>
    </w:p>
    <w:p w14:paraId="43C5CE10">
      <w:pPr>
        <w:pStyle w:val="3"/>
        <w:ind w:left="0" w:leftChars="0" w:firstLine="0" w:firstLineChars="0"/>
        <w:rPr>
          <w:rStyle w:val="10"/>
          <w:rFonts w:hint="eastAsia" w:ascii="宋体" w:hAnsi="宋体" w:eastAsia="宋体" w:cs="宋体"/>
          <w:b/>
          <w:bCs/>
          <w:sz w:val="32"/>
          <w:szCs w:val="28"/>
        </w:rPr>
      </w:pPr>
    </w:p>
    <w:p w14:paraId="13F4767D">
      <w:pPr>
        <w:spacing w:line="360" w:lineRule="auto"/>
        <w:ind w:firstLine="2400" w:firstLineChars="1000"/>
        <w:jc w:val="both"/>
        <w:outlineLvl w:val="1"/>
        <w:rPr>
          <w:rStyle w:val="10"/>
          <w:rFonts w:hint="default" w:ascii="宋体" w:hAnsi="宋体" w:eastAsia="宋体" w:cs="宋体"/>
          <w:b w:val="0"/>
          <w:bCs w:val="0"/>
          <w:sz w:val="24"/>
          <w:szCs w:val="24"/>
          <w:u w:val="single"/>
          <w:lang w:val="en-US" w:eastAsia="zh-CN"/>
        </w:rPr>
      </w:pPr>
      <w:r>
        <w:rPr>
          <w:rStyle w:val="10"/>
          <w:rFonts w:hint="eastAsia" w:ascii="宋体" w:hAnsi="宋体" w:eastAsia="宋体" w:cs="宋体"/>
          <w:b w:val="0"/>
          <w:bCs w:val="0"/>
          <w:sz w:val="24"/>
          <w:szCs w:val="24"/>
          <w:lang w:val="en-US" w:eastAsia="zh-CN"/>
        </w:rPr>
        <w:t>报名单位：</w:t>
      </w:r>
    </w:p>
    <w:p w14:paraId="7C0E67B4">
      <w:pPr>
        <w:spacing w:line="360" w:lineRule="auto"/>
        <w:ind w:firstLine="2400" w:firstLineChars="1000"/>
        <w:jc w:val="both"/>
        <w:outlineLvl w:val="1"/>
        <w:rPr>
          <w:rStyle w:val="10"/>
          <w:rFonts w:hint="eastAsia"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联系人：</w:t>
      </w:r>
    </w:p>
    <w:p w14:paraId="35E49516">
      <w:pPr>
        <w:spacing w:line="360" w:lineRule="auto"/>
        <w:ind w:firstLine="2400" w:firstLineChars="1000"/>
        <w:jc w:val="both"/>
        <w:outlineLvl w:val="1"/>
        <w:rPr>
          <w:rStyle w:val="10"/>
          <w:rFonts w:hint="eastAsia"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联系电话：</w:t>
      </w:r>
    </w:p>
    <w:p w14:paraId="7EE50031">
      <w:pPr>
        <w:spacing w:line="360" w:lineRule="auto"/>
        <w:ind w:firstLine="2400" w:firstLineChars="1000"/>
        <w:jc w:val="both"/>
        <w:outlineLvl w:val="1"/>
        <w:rPr>
          <w:rStyle w:val="10"/>
          <w:rFonts w:hint="default" w:ascii="宋体" w:hAnsi="宋体" w:eastAsia="宋体" w:cs="宋体"/>
          <w:b w:val="0"/>
          <w:bCs w:val="0"/>
          <w:sz w:val="24"/>
          <w:szCs w:val="24"/>
          <w:lang w:val="en-US" w:eastAsia="zh-CN"/>
        </w:rPr>
      </w:pPr>
      <w:r>
        <w:rPr>
          <w:rStyle w:val="10"/>
          <w:rFonts w:hint="eastAsia" w:ascii="宋体" w:hAnsi="宋体" w:eastAsia="宋体" w:cs="宋体"/>
          <w:b w:val="0"/>
          <w:bCs w:val="0"/>
          <w:sz w:val="24"/>
          <w:szCs w:val="24"/>
          <w:lang w:val="en-US" w:eastAsia="zh-CN"/>
        </w:rPr>
        <w:t>邮箱：</w:t>
      </w:r>
    </w:p>
    <w:p w14:paraId="65DCF27C">
      <w:pPr>
        <w:jc w:val="both"/>
        <w:rPr>
          <w:rFonts w:hint="eastAsia"/>
          <w:b/>
          <w:bCs/>
          <w:sz w:val="44"/>
          <w:szCs w:val="44"/>
          <w:lang w:eastAsia="zh-CN"/>
        </w:rPr>
      </w:pPr>
    </w:p>
    <w:p w14:paraId="4B5F879B">
      <w:pPr>
        <w:jc w:val="center"/>
        <w:rPr>
          <w:rFonts w:hint="eastAsia"/>
          <w:b/>
          <w:bCs/>
          <w:sz w:val="44"/>
          <w:szCs w:val="44"/>
          <w:lang w:eastAsia="zh-CN"/>
        </w:rPr>
      </w:pPr>
    </w:p>
    <w:p w14:paraId="3C569F07">
      <w:pPr>
        <w:jc w:val="center"/>
        <w:rPr>
          <w:rFonts w:hint="eastAsia"/>
          <w:b/>
          <w:bCs/>
          <w:sz w:val="44"/>
          <w:szCs w:val="44"/>
          <w:lang w:eastAsia="zh-CN"/>
        </w:rPr>
      </w:pPr>
    </w:p>
    <w:p w14:paraId="2128EDA2">
      <w:pPr>
        <w:jc w:val="center"/>
        <w:rPr>
          <w:rFonts w:hint="eastAsia"/>
          <w:b/>
          <w:bCs/>
          <w:sz w:val="44"/>
          <w:szCs w:val="44"/>
          <w:lang w:eastAsia="zh-CN"/>
        </w:rPr>
      </w:pPr>
    </w:p>
    <w:p w14:paraId="7462199D">
      <w:pPr>
        <w:jc w:val="center"/>
        <w:rPr>
          <w:rFonts w:hint="eastAsia" w:eastAsiaTheme="minorEastAsia"/>
          <w:b/>
          <w:bCs/>
          <w:sz w:val="44"/>
          <w:szCs w:val="44"/>
          <w:lang w:val="en-US" w:eastAsia="zh-CN"/>
        </w:rPr>
      </w:pPr>
      <w:r>
        <w:rPr>
          <w:rFonts w:hint="eastAsia"/>
          <w:b/>
          <w:bCs/>
          <w:sz w:val="44"/>
          <w:szCs w:val="44"/>
          <w:lang w:eastAsia="zh-CN"/>
        </w:rPr>
        <w:t>中山市东升医院家电类协议供货项目调研响应表</w:t>
      </w:r>
    </w:p>
    <w:tbl>
      <w:tblPr>
        <w:tblStyle w:val="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75"/>
        <w:gridCol w:w="1727"/>
        <w:gridCol w:w="2579"/>
        <w:gridCol w:w="3934"/>
        <w:gridCol w:w="676"/>
        <w:gridCol w:w="1980"/>
        <w:gridCol w:w="1004"/>
        <w:gridCol w:w="2305"/>
      </w:tblGrid>
      <w:tr w14:paraId="15BD6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22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9474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19F6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物品名称</w:t>
            </w:r>
          </w:p>
        </w:tc>
        <w:tc>
          <w:tcPr>
            <w:tcW w:w="86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3054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参考品牌</w:t>
            </w:r>
          </w:p>
        </w:tc>
        <w:tc>
          <w:tcPr>
            <w:tcW w:w="13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30F8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规格、技术参数等</w:t>
            </w:r>
          </w:p>
        </w:tc>
        <w:tc>
          <w:tcPr>
            <w:tcW w:w="22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5F2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6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4B2A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调研报价品牌</w:t>
            </w:r>
          </w:p>
        </w:tc>
        <w:tc>
          <w:tcPr>
            <w:tcW w:w="3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214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保修期</w:t>
            </w:r>
          </w:p>
        </w:tc>
        <w:tc>
          <w:tcPr>
            <w:tcW w:w="774"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9FC8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调研报价（元）</w:t>
            </w:r>
          </w:p>
        </w:tc>
      </w:tr>
      <w:tr w14:paraId="221E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049C4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C6984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开水器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E7D4F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荣事达或志高或裕豪</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78DD4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380V 1800KW以下 120L/H</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9C97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A6D89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2EDF42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3458624">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33CB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CBD2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223DD4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开水器底座</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291E4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荣事达或志高或裕豪</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9B18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配套120L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5945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0EBED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308E42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EF512E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E2AD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1B55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65B27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微波炉</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9782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格力或美的或松下</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E727E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容积：20L 旋钮控制</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26617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A65B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1215B9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3DCFC9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1FC5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732A4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B5E14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4C6D4A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EC8CE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220V </w:t>
            </w:r>
            <w:r>
              <w:rPr>
                <w:rStyle w:val="11"/>
                <w:rFonts w:ascii="宋体" w:eastAsia="宋体"/>
                <w:sz w:val="21"/>
                <w:lang w:val="en-US" w:eastAsia="zh-CN" w:bidi="ar"/>
              </w:rPr>
              <w:t xml:space="preserve"> 除湿量25L/D</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7E3B4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884399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C2E1CD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BD80AD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ECA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670B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50452B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除湿机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DC144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8C877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220V </w:t>
            </w:r>
            <w:r>
              <w:rPr>
                <w:rStyle w:val="11"/>
                <w:rFonts w:ascii="宋体" w:eastAsia="宋体"/>
                <w:sz w:val="21"/>
                <w:lang w:val="en-US" w:eastAsia="zh-CN" w:bidi="ar"/>
              </w:rPr>
              <w:t xml:space="preserve"> 除湿量50L/D</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35787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0AD8C3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9A871D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79C68F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F0C2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4028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4F8D76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加湿机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EC70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格力或美的或海尔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27B39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加湿量700ml/h </w:t>
            </w:r>
            <w:r>
              <w:rPr>
                <w:rStyle w:val="11"/>
                <w:rFonts w:ascii="宋体" w:eastAsia="宋体"/>
                <w:sz w:val="21"/>
                <w:lang w:val="en-US" w:eastAsia="zh-CN" w:bidi="ar"/>
              </w:rPr>
              <w:t xml:space="preserve"> 无雾</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26CB4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710D0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C188BF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5DB31B5">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253B8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2C99A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6EF9B3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空气净化器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55BC64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美的或海尔或小米</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68877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适用50㎡</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5E04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205FA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450BE3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582E83A">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AD75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92D7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32CF99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洗衣机</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6CE5D8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海尔或美的或松下</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6115D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 波轮</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33141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9E665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0DFCBE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8385C5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1EFC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0579C7F">
            <w:pPr>
              <w:keepNext w:val="0"/>
              <w:keepLines w:val="0"/>
              <w:widowControl/>
              <w:suppressLineNumbers w:val="0"/>
              <w:snapToGrid w:val="0"/>
              <w:ind w:left="0" w:leftChars="0" w:right="0" w:rightChars="0" w:firstLine="0" w:firstLineChars="0"/>
              <w:jc w:val="center"/>
              <w:textAlignment w:val="center"/>
              <w:rPr>
                <w:rFonts w:ascii="宋体" w:hAnsi="Calibri" w:eastAsia="宋体" w:cs="Calibri"/>
                <w:i w:val="0"/>
                <w:iCs w:val="0"/>
                <w:color w:val="000000"/>
                <w:sz w:val="21"/>
                <w:szCs w:val="21"/>
                <w:u w:val="none"/>
              </w:rPr>
            </w:pPr>
            <w:r>
              <w:rPr>
                <w:rFonts w:hint="default" w:ascii="宋体" w:hAnsi="Calibri" w:eastAsia="宋体" w:cs="Calibri"/>
                <w:i w:val="0"/>
                <w:iCs w:val="0"/>
                <w:color w:val="000000"/>
                <w:kern w:val="0"/>
                <w:sz w:val="21"/>
                <w:szCs w:val="21"/>
                <w:u w:val="none"/>
                <w:lang w:val="en-US" w:eastAsia="zh-CN" w:bidi="ar"/>
              </w:rPr>
              <w:t>9</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F88279E">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7956DC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67480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 滚筒</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ADDFAF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1B2AE8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8DADD9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9FF38C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170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90D4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4A9F6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验钞机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73F713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康艺或得力或维融</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AEDAD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点钞速度：1000张/分钟</w:t>
            </w:r>
          </w:p>
          <w:p w14:paraId="2B5241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计数显示窗范围：1-9999</w:t>
            </w:r>
          </w:p>
          <w:p w14:paraId="4CF4B0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预置显示窗范围：1-999</w:t>
            </w:r>
          </w:p>
          <w:p w14:paraId="54C45B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支持混点合计</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F733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DA73C1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E827CD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90DAB6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D67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A86B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EED57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多功能粉碎机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A501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房太太或拜杰或百信</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26FBE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w:t>
            </w:r>
          </w:p>
          <w:p w14:paraId="32A5FD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容量：2500g</w:t>
            </w:r>
          </w:p>
          <w:p w14:paraId="0D5BB9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粉碎细度：50-300目</w:t>
            </w:r>
          </w:p>
          <w:p w14:paraId="17876E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电压：220V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FE1CE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4C2379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49E0FD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1253590">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B837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97DB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1978C5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多功能料理机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1A35C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美的或九阳或苏泊尔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43B53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1.0L 一机三杯</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D5C7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9DD2AC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2B10BD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C6DDB3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3CB7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CCE66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07D9C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养生壶</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18A6F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苏泊尔或美的或小熊</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E6165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1.8L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D939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55A6BA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C5BD1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B1E3844">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A0B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C1C2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6DAEB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绞肉机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413B1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美的或小熊或苏泊尔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CCEAC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 5L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F05D6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95D5B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231ABA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2295808">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5C5D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F733C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9779F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电吹风机</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702FE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美的或松下或飞科</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B58F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800W</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B1C6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0B1EF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3DBC4F9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30F7CE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FAF3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282F3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25A56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电动理发器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54B0D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小米或飞利浦或飞科</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5EE6D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D1AD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E42613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EE2E57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007236A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2DE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223C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80" w:type="pct"/>
            <w:tcBorders>
              <w:top w:val="nil"/>
              <w:left w:val="single" w:color="000000" w:sz="8" w:space="0"/>
              <w:bottom w:val="single" w:color="000000" w:sz="8" w:space="0"/>
              <w:right w:val="single" w:color="000000" w:sz="8" w:space="0"/>
            </w:tcBorders>
            <w:shd w:val="clear" w:color="auto" w:fill="auto"/>
            <w:vAlign w:val="center"/>
          </w:tcPr>
          <w:p w14:paraId="4EC26C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落地扇</w:t>
            </w:r>
          </w:p>
        </w:tc>
        <w:tc>
          <w:tcPr>
            <w:tcW w:w="866" w:type="pct"/>
            <w:tcBorders>
              <w:top w:val="nil"/>
              <w:left w:val="single" w:color="000000" w:sz="8" w:space="0"/>
              <w:bottom w:val="single" w:color="000000" w:sz="8" w:space="0"/>
              <w:right w:val="single" w:color="000000" w:sz="8" w:space="0"/>
            </w:tcBorders>
            <w:shd w:val="clear" w:color="auto" w:fill="auto"/>
            <w:vAlign w:val="center"/>
          </w:tcPr>
          <w:p w14:paraId="21594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306EE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60149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E93D1D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04FD0B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842C7E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B972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6AE66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0B6B469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电风扇</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61512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B6247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2D26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376E4A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BC3A43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4C61BDD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508B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6E893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39A257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壁扇</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25D1C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7B939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400mm 220V</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3B391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4BA7D3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1146BD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9698F28">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28A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76A0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7BE4DE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取暖器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14897A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美的或格力或海尔</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62B4D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 落地式 适用面积20-25m³</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AD16E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AA1936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E63CF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794FEA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B3E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0C728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71D0B2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点艾仪</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0F5A5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艾宜或米厨或艾世家</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46AED8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 发热直径14厘米</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9CE1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4DAF5A1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9FD398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AC9078A">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B3DC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1071C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80" w:type="pct"/>
            <w:tcBorders>
              <w:top w:val="nil"/>
              <w:left w:val="single" w:color="000000" w:sz="8" w:space="0"/>
              <w:bottom w:val="single" w:color="000000" w:sz="8" w:space="0"/>
              <w:right w:val="single" w:color="000000" w:sz="8" w:space="0"/>
            </w:tcBorders>
            <w:shd w:val="clear" w:color="auto" w:fill="auto"/>
            <w:noWrap/>
            <w:vAlign w:val="center"/>
          </w:tcPr>
          <w:p w14:paraId="2B9636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电热水器</w:t>
            </w:r>
          </w:p>
        </w:tc>
        <w:tc>
          <w:tcPr>
            <w:tcW w:w="866" w:type="pct"/>
            <w:tcBorders>
              <w:top w:val="nil"/>
              <w:left w:val="single" w:color="000000" w:sz="8" w:space="0"/>
              <w:bottom w:val="single" w:color="000000" w:sz="8" w:space="0"/>
              <w:right w:val="single" w:color="000000" w:sz="8" w:space="0"/>
            </w:tcBorders>
            <w:shd w:val="clear" w:color="auto" w:fill="auto"/>
            <w:noWrap/>
            <w:vAlign w:val="center"/>
          </w:tcPr>
          <w:p w14:paraId="35C6C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海尔或美的或万和</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035AE6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60L</w:t>
            </w:r>
          </w:p>
        </w:tc>
        <w:tc>
          <w:tcPr>
            <w:tcW w:w="227" w:type="pct"/>
            <w:tcBorders>
              <w:top w:val="nil"/>
              <w:left w:val="single" w:color="000000" w:sz="8" w:space="0"/>
              <w:bottom w:val="single" w:color="000000" w:sz="8" w:space="0"/>
              <w:right w:val="single" w:color="000000" w:sz="8" w:space="0"/>
            </w:tcBorders>
            <w:shd w:val="clear" w:color="auto" w:fill="auto"/>
            <w:noWrap/>
            <w:vAlign w:val="center"/>
          </w:tcPr>
          <w:p w14:paraId="5465B5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3F1A29A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305573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E354C72">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C709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9445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7F8A5E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05C00F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创维或海信或小米</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65E328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42英寸</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003B9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4E5D42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67FE46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17A811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819C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DE50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2C19A93">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14B624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85A14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C9977E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CF788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259EEC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12E8DEF">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ACF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E30F5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631E2F5">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7B9180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D6BF3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894A20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0EBE9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4A1E2E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8785FC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0D9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CB05D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232A111">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E0130D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3731BC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E6C39C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B6E908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3CE7B3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C2A4F1E">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73B67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1570A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CB636CD">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16925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8142A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290423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92CFA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566CF53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D85CE8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4B8D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E7A2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6168E48">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35C061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1805E7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303F2A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05A66C7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775C61D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92BC3A5">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362EA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73C5E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32F0EF1">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EDC96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2D8297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F578A3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108086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35CEA40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F273463">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24CC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1866C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C4A8D65">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422583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4A67B6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100英寸</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F607A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760A46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4815F09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04C6C10B">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1FB52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4AAEFC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80" w:type="pct"/>
            <w:vMerge w:val="restart"/>
            <w:tcBorders>
              <w:top w:val="nil"/>
              <w:left w:val="single" w:color="000000" w:sz="8" w:space="0"/>
              <w:bottom w:val="single" w:color="000000" w:sz="8" w:space="0"/>
              <w:right w:val="single" w:color="000000" w:sz="8" w:space="0"/>
            </w:tcBorders>
            <w:shd w:val="clear" w:color="auto" w:fill="auto"/>
            <w:noWrap/>
            <w:vAlign w:val="center"/>
          </w:tcPr>
          <w:p w14:paraId="3A1392D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电饭煲</w:t>
            </w:r>
          </w:p>
        </w:tc>
        <w:tc>
          <w:tcPr>
            <w:tcW w:w="866" w:type="pct"/>
            <w:vMerge w:val="restart"/>
            <w:tcBorders>
              <w:top w:val="nil"/>
              <w:left w:val="single" w:color="000000" w:sz="8" w:space="0"/>
              <w:bottom w:val="single" w:color="000000" w:sz="8" w:space="0"/>
              <w:right w:val="single" w:color="000000" w:sz="8" w:space="0"/>
            </w:tcBorders>
            <w:shd w:val="clear" w:color="auto" w:fill="auto"/>
            <w:noWrap/>
            <w:vAlign w:val="center"/>
          </w:tcPr>
          <w:p w14:paraId="434BDE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三角或美的或半球</w:t>
            </w: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2B5BE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4L</w:t>
            </w:r>
          </w:p>
        </w:tc>
        <w:tc>
          <w:tcPr>
            <w:tcW w:w="227" w:type="pct"/>
            <w:vMerge w:val="restart"/>
            <w:tcBorders>
              <w:top w:val="nil"/>
              <w:left w:val="single" w:color="000000" w:sz="8" w:space="0"/>
              <w:bottom w:val="single" w:color="000000" w:sz="8" w:space="0"/>
              <w:right w:val="single" w:color="000000" w:sz="8" w:space="0"/>
            </w:tcBorders>
            <w:shd w:val="clear" w:color="auto" w:fill="auto"/>
            <w:noWrap/>
            <w:vAlign w:val="center"/>
          </w:tcPr>
          <w:p w14:paraId="07ABA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7316373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1CF37FC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59A51FB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0A60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0B0884AC">
            <w:pPr>
              <w:keepNext w:val="0"/>
              <w:keepLines w:val="0"/>
              <w:widowControl/>
              <w:suppressLineNumbers w:val="0"/>
              <w:snapToGrid w:val="0"/>
              <w:ind w:left="0" w:leftChars="0" w:right="0" w:rightChars="0" w:firstLine="0" w:firstLineChars="0"/>
              <w:jc w:val="center"/>
              <w:textAlignment w:val="center"/>
              <w:rPr>
                <w:rFonts w:hint="default" w:ascii="宋体" w:hAnsi="Calibri" w:eastAsia="宋体" w:cs="Calibri"/>
                <w:i w:val="0"/>
                <w:iCs w:val="0"/>
                <w:color w:val="000000"/>
                <w:sz w:val="21"/>
                <w:szCs w:val="21"/>
                <w:u w:val="none"/>
              </w:rPr>
            </w:pPr>
            <w:r>
              <w:rPr>
                <w:rFonts w:hint="default" w:ascii="宋体" w:hAnsi="Calibri" w:eastAsia="宋体" w:cs="Calibri"/>
                <w:i w:val="0"/>
                <w:iCs w:val="0"/>
                <w:color w:val="000000"/>
                <w:kern w:val="0"/>
                <w:sz w:val="21"/>
                <w:szCs w:val="21"/>
                <w:u w:val="none"/>
                <w:lang w:val="en-US" w:eastAsia="zh-CN" w:bidi="ar"/>
              </w:rPr>
              <w:t>32</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1B59E07">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2E0804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4A4DD53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CF47EE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249E7A0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F80924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6A8FB11C">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7B70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6BF919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6C1B9EEF">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6854D6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7163D0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716228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558C1F3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023CA5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760082B2">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085F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5EEAD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3E3338F">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FABBD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5A8461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B8982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6DB263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6B5EFF7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3023EEB6">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r w14:paraId="648B3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227" w:type="pct"/>
            <w:tcBorders>
              <w:top w:val="nil"/>
              <w:left w:val="single" w:color="000000" w:sz="8" w:space="0"/>
              <w:bottom w:val="single" w:color="000000" w:sz="8" w:space="0"/>
              <w:right w:val="single" w:color="000000" w:sz="8" w:space="0"/>
            </w:tcBorders>
            <w:shd w:val="clear" w:color="auto" w:fill="auto"/>
            <w:noWrap/>
            <w:vAlign w:val="center"/>
          </w:tcPr>
          <w:p w14:paraId="22006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580"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1B1EE8A">
            <w:pPr>
              <w:snapToGrid w:val="0"/>
              <w:ind w:left="0" w:leftChars="0" w:right="0" w:rightChars="0" w:firstLine="0" w:firstLineChars="0"/>
              <w:jc w:val="left"/>
              <w:rPr>
                <w:rFonts w:hint="eastAsia" w:ascii="宋体" w:hAnsi="宋体" w:eastAsia="宋体" w:cs="宋体"/>
                <w:i w:val="0"/>
                <w:iCs w:val="0"/>
                <w:color w:val="000000"/>
                <w:sz w:val="21"/>
                <w:szCs w:val="21"/>
                <w:u w:val="none"/>
              </w:rPr>
            </w:pPr>
          </w:p>
        </w:tc>
        <w:tc>
          <w:tcPr>
            <w:tcW w:w="866"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B3D8B2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321" w:type="pct"/>
            <w:tcBorders>
              <w:top w:val="nil"/>
              <w:left w:val="single" w:color="000000" w:sz="8" w:space="0"/>
              <w:bottom w:val="single" w:color="000000" w:sz="8" w:space="0"/>
              <w:right w:val="single" w:color="000000" w:sz="8" w:space="0"/>
            </w:tcBorders>
            <w:shd w:val="clear" w:color="auto" w:fill="auto"/>
            <w:vAlign w:val="center"/>
          </w:tcPr>
          <w:p w14:paraId="2D98DE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13L</w:t>
            </w:r>
          </w:p>
        </w:tc>
        <w:tc>
          <w:tcPr>
            <w:tcW w:w="22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578FF07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65" w:type="pct"/>
            <w:tcBorders>
              <w:top w:val="nil"/>
              <w:left w:val="single" w:color="000000" w:sz="8" w:space="0"/>
              <w:bottom w:val="single" w:color="000000" w:sz="8" w:space="0"/>
              <w:right w:val="single" w:color="000000" w:sz="8" w:space="0"/>
            </w:tcBorders>
            <w:shd w:val="clear" w:color="auto" w:fill="auto"/>
            <w:noWrap/>
            <w:vAlign w:val="center"/>
          </w:tcPr>
          <w:p w14:paraId="13D78F7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337" w:type="pct"/>
            <w:tcBorders>
              <w:top w:val="nil"/>
              <w:left w:val="single" w:color="000000" w:sz="8" w:space="0"/>
              <w:bottom w:val="single" w:color="000000" w:sz="8" w:space="0"/>
              <w:right w:val="single" w:color="000000" w:sz="8" w:space="0"/>
            </w:tcBorders>
            <w:shd w:val="clear" w:color="auto" w:fill="auto"/>
            <w:noWrap/>
            <w:vAlign w:val="center"/>
          </w:tcPr>
          <w:p w14:paraId="056F96B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774" w:type="pct"/>
            <w:tcBorders>
              <w:top w:val="nil"/>
              <w:left w:val="single" w:color="000000" w:sz="8" w:space="0"/>
              <w:bottom w:val="single" w:color="000000" w:sz="8" w:space="0"/>
              <w:right w:val="single" w:color="000000" w:sz="8" w:space="0"/>
            </w:tcBorders>
            <w:shd w:val="clear" w:color="auto" w:fill="auto"/>
            <w:noWrap/>
            <w:vAlign w:val="center"/>
          </w:tcPr>
          <w:p w14:paraId="2387D2CD">
            <w:pPr>
              <w:snapToGrid w:val="0"/>
              <w:ind w:left="0" w:leftChars="0" w:right="0" w:rightChars="0" w:firstLine="0" w:firstLineChars="0"/>
              <w:jc w:val="right"/>
              <w:rPr>
                <w:rFonts w:hint="eastAsia" w:ascii="宋体" w:hAnsi="宋体" w:eastAsia="宋体" w:cs="宋体"/>
                <w:i w:val="0"/>
                <w:iCs w:val="0"/>
                <w:color w:val="000000"/>
                <w:sz w:val="21"/>
                <w:szCs w:val="21"/>
                <w:u w:val="none"/>
              </w:rPr>
            </w:pP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中山市东升医院家电类协议供货项目用户需</w:t>
      </w:r>
      <w:r>
        <w:rPr>
          <w:rFonts w:hint="eastAsia"/>
          <w:b/>
          <w:bCs/>
          <w:sz w:val="28"/>
          <w:szCs w:val="28"/>
          <w:lang w:val="en-US" w:eastAsia="zh-CN"/>
        </w:rPr>
        <w:t>求书》的服务条款填报</w:t>
      </w:r>
    </w:p>
    <w:p w14:paraId="5E8161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1.</w:t>
      </w:r>
      <w:r>
        <w:rPr>
          <w:rFonts w:hint="eastAsia" w:ascii="宋体" w:hAnsi="宋体" w:eastAsia="宋体" w:cs="宋体"/>
          <w:color w:val="000000"/>
          <w:kern w:val="2"/>
          <w:sz w:val="28"/>
          <w:szCs w:val="28"/>
          <w:lang w:val="en-US" w:eastAsia="zh-CN" w:bidi="ar-SA"/>
        </w:rPr>
        <w:t>本项目根据采购人需求按需供货，成交单价即为合同单价，报价为</w:t>
      </w:r>
      <w:r>
        <w:rPr>
          <w:rFonts w:hint="eastAsia" w:ascii="宋体" w:hAnsi="宋体" w:eastAsia="宋体" w:cs="宋体"/>
          <w:sz w:val="28"/>
          <w:szCs w:val="28"/>
        </w:rPr>
        <w:t>含税全包价，含货物、包装费、运杂费、保险费、卸车费、配合费、检测费、配送费、税金及供应商认为需要的所有费用，采购人不再单独支付其他费用。</w:t>
      </w:r>
    </w:p>
    <w:p w14:paraId="6E1B6C58">
      <w:pPr>
        <w:pStyle w:val="4"/>
        <w:widowControl w:val="0"/>
        <w:numPr>
          <w:ilvl w:val="0"/>
          <w:numId w:val="0"/>
        </w:numPr>
        <w:jc w:val="both"/>
        <w:rPr>
          <w:rFonts w:hint="eastAsia"/>
          <w:lang w:val="en-US" w:eastAsia="zh-CN"/>
        </w:rPr>
      </w:pPr>
    </w:p>
    <w:p w14:paraId="0588888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374D2B97">
      <w:pPr>
        <w:rPr>
          <w:rFonts w:hint="eastAsia" w:eastAsiaTheme="minorEastAsia"/>
          <w:b/>
          <w:bCs/>
          <w:lang w:eastAsia="zh-CN"/>
        </w:rPr>
      </w:pPr>
    </w:p>
    <w:p w14:paraId="71EA9183">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5AAC602B">
      <w:pPr>
        <w:pStyle w:val="2"/>
        <w:rPr>
          <w:rFonts w:hint="eastAsia" w:eastAsiaTheme="minorEastAsia"/>
          <w:b/>
          <w:bCs/>
          <w:lang w:eastAsia="zh-CN"/>
        </w:rPr>
      </w:pPr>
    </w:p>
    <w:p w14:paraId="08A4C3B4">
      <w:pPr>
        <w:pStyle w:val="2"/>
        <w:rPr>
          <w:rFonts w:hint="eastAsia" w:eastAsiaTheme="minorEastAsia"/>
          <w:b/>
          <w:bCs/>
          <w:lang w:eastAsia="zh-CN"/>
        </w:rPr>
      </w:pPr>
    </w:p>
    <w:p w14:paraId="6DB38C21">
      <w:pPr>
        <w:pStyle w:val="2"/>
        <w:rPr>
          <w:rFonts w:hint="eastAsia" w:eastAsiaTheme="minorEastAsia"/>
          <w:b/>
          <w:bCs/>
          <w:lang w:eastAsia="zh-CN"/>
        </w:rPr>
      </w:pPr>
    </w:p>
    <w:p w14:paraId="4CC0FE69">
      <w:pPr>
        <w:pStyle w:val="2"/>
        <w:rPr>
          <w:rFonts w:hint="eastAsia" w:eastAsiaTheme="minorEastAsia"/>
          <w:b/>
          <w:bCs/>
          <w:lang w:eastAsia="zh-CN"/>
        </w:rPr>
      </w:pPr>
    </w:p>
    <w:p w14:paraId="3667920B">
      <w:pPr>
        <w:pStyle w:val="2"/>
        <w:rPr>
          <w:rFonts w:hint="eastAsia" w:eastAsiaTheme="minorEastAsia"/>
          <w:b/>
          <w:bCs/>
          <w:lang w:eastAsia="zh-CN"/>
        </w:rPr>
      </w:pPr>
    </w:p>
    <w:p w14:paraId="0F728637">
      <w:pPr>
        <w:pStyle w:val="2"/>
        <w:rPr>
          <w:rFonts w:hint="eastAsia" w:eastAsiaTheme="minorEastAsia"/>
          <w:b/>
          <w:bCs/>
          <w:lang w:eastAsia="zh-CN"/>
        </w:rPr>
      </w:pPr>
    </w:p>
    <w:p w14:paraId="729570DA">
      <w:pPr>
        <w:pStyle w:val="2"/>
        <w:rPr>
          <w:rFonts w:hint="eastAsia" w:eastAsiaTheme="minorEastAsia"/>
          <w:b/>
          <w:bCs/>
          <w:lang w:eastAsia="zh-CN"/>
        </w:rPr>
      </w:pPr>
    </w:p>
    <w:p w14:paraId="5A08D5DB">
      <w:pPr>
        <w:pStyle w:val="2"/>
        <w:rPr>
          <w:rFonts w:hint="eastAsia" w:eastAsiaTheme="minorEastAsia"/>
          <w:b/>
          <w:bCs/>
          <w:lang w:eastAsia="zh-CN"/>
        </w:rPr>
      </w:pPr>
    </w:p>
    <w:p w14:paraId="3097BF1D">
      <w:pPr>
        <w:pStyle w:val="2"/>
        <w:rPr>
          <w:rFonts w:hint="eastAsia" w:eastAsiaTheme="minorEastAsia"/>
          <w:b/>
          <w:bCs/>
          <w:lang w:eastAsia="zh-CN"/>
        </w:rPr>
      </w:pPr>
    </w:p>
    <w:p w14:paraId="35CEEE27">
      <w:pPr>
        <w:pStyle w:val="2"/>
        <w:rPr>
          <w:rFonts w:hint="eastAsia" w:eastAsiaTheme="minorEastAsia"/>
          <w:b/>
          <w:bCs/>
          <w:lang w:eastAsia="zh-CN"/>
        </w:rPr>
      </w:pPr>
    </w:p>
    <w:p w14:paraId="1C9ED057">
      <w:pPr>
        <w:pStyle w:val="2"/>
        <w:rPr>
          <w:rFonts w:hint="eastAsia" w:eastAsiaTheme="minorEastAsia"/>
          <w:b/>
          <w:bCs/>
          <w:lang w:eastAsia="zh-CN"/>
        </w:rPr>
      </w:pPr>
    </w:p>
    <w:p w14:paraId="523E8223">
      <w:pPr>
        <w:pStyle w:val="2"/>
        <w:rPr>
          <w:rFonts w:hint="eastAsia" w:eastAsiaTheme="minorEastAsia"/>
          <w:b/>
          <w:bCs/>
          <w:lang w:eastAsia="zh-CN"/>
        </w:rPr>
      </w:pPr>
    </w:p>
    <w:p w14:paraId="1BDBECF5">
      <w:pPr>
        <w:pStyle w:val="2"/>
        <w:rPr>
          <w:rFonts w:hint="eastAsia" w:eastAsiaTheme="minorEastAsia"/>
          <w:b/>
          <w:bCs/>
          <w:lang w:eastAsia="zh-CN"/>
        </w:rPr>
      </w:pPr>
    </w:p>
    <w:p w14:paraId="1A56E53C">
      <w:pPr>
        <w:pStyle w:val="2"/>
        <w:rPr>
          <w:rFonts w:hint="eastAsia" w:eastAsiaTheme="minorEastAsia"/>
          <w:b/>
          <w:bCs/>
          <w:lang w:eastAsia="zh-CN"/>
        </w:rPr>
      </w:pPr>
    </w:p>
    <w:p w14:paraId="01D32063">
      <w:pPr>
        <w:pStyle w:val="2"/>
        <w:rPr>
          <w:rFonts w:hint="eastAsia" w:eastAsiaTheme="minorEastAsia"/>
          <w:b/>
          <w:bCs/>
          <w:lang w:eastAsia="zh-CN"/>
        </w:rPr>
      </w:pPr>
    </w:p>
    <w:p w14:paraId="2F15AC78">
      <w:pPr>
        <w:pStyle w:val="2"/>
        <w:rPr>
          <w:rFonts w:hint="eastAsia" w:eastAsiaTheme="minorEastAsia"/>
          <w:b/>
          <w:bCs/>
          <w:lang w:eastAsia="zh-CN"/>
        </w:rPr>
      </w:pPr>
    </w:p>
    <w:p w14:paraId="42225F99">
      <w:pPr>
        <w:pStyle w:val="2"/>
        <w:rPr>
          <w:rFonts w:hint="eastAsia" w:eastAsiaTheme="minorEastAsia"/>
          <w:b/>
          <w:bCs/>
          <w:lang w:eastAsia="zh-CN"/>
        </w:rPr>
      </w:pPr>
    </w:p>
    <w:p w14:paraId="205E0D96">
      <w:pPr>
        <w:pStyle w:val="2"/>
        <w:rPr>
          <w:rFonts w:hint="eastAsia" w:eastAsiaTheme="minorEastAsia"/>
          <w:b/>
          <w:bCs/>
          <w:lang w:eastAsia="zh-CN"/>
        </w:rPr>
      </w:pPr>
    </w:p>
    <w:p w14:paraId="39B4B6F8">
      <w:pPr>
        <w:pStyle w:val="2"/>
        <w:rPr>
          <w:rFonts w:hint="eastAsia" w:eastAsiaTheme="minorEastAsia"/>
          <w:b/>
          <w:bCs/>
          <w:lang w:eastAsia="zh-CN"/>
        </w:rPr>
      </w:pPr>
    </w:p>
    <w:p w14:paraId="2B603786">
      <w:pPr>
        <w:pStyle w:val="2"/>
        <w:rPr>
          <w:rFonts w:hint="eastAsia" w:eastAsiaTheme="minorEastAsia"/>
          <w:b/>
          <w:bCs/>
          <w:lang w:eastAsia="zh-CN"/>
        </w:rPr>
      </w:pPr>
    </w:p>
    <w:p w14:paraId="097B271A">
      <w:pPr>
        <w:pStyle w:val="2"/>
        <w:rPr>
          <w:rFonts w:hint="eastAsia" w:eastAsiaTheme="minorEastAsia"/>
          <w:b/>
          <w:bCs/>
          <w:lang w:eastAsia="zh-CN"/>
        </w:rPr>
      </w:pPr>
    </w:p>
    <w:p w14:paraId="77E26613">
      <w:pPr>
        <w:pStyle w:val="2"/>
        <w:rPr>
          <w:rFonts w:hint="eastAsia" w:eastAsiaTheme="minorEastAsia"/>
          <w:b/>
          <w:bCs/>
          <w:lang w:eastAsia="zh-CN"/>
        </w:rPr>
      </w:pPr>
    </w:p>
    <w:p w14:paraId="551B75B4">
      <w:pPr>
        <w:pStyle w:val="2"/>
        <w:rPr>
          <w:rFonts w:hint="eastAsia" w:eastAsiaTheme="minorEastAsia"/>
          <w:b/>
          <w:bCs/>
          <w:lang w:eastAsia="zh-CN"/>
        </w:rPr>
      </w:pPr>
    </w:p>
    <w:p w14:paraId="5F6AC6C2">
      <w:pPr>
        <w:pStyle w:val="2"/>
        <w:rPr>
          <w:rFonts w:hint="eastAsia" w:eastAsiaTheme="minorEastAsia"/>
          <w:b/>
          <w:bCs/>
          <w:lang w:eastAsia="zh-CN"/>
        </w:rPr>
      </w:pPr>
    </w:p>
    <w:p w14:paraId="42DA6274">
      <w:pPr>
        <w:pStyle w:val="2"/>
        <w:rPr>
          <w:rFonts w:hint="eastAsia" w:eastAsiaTheme="minorEastAsia"/>
          <w:b/>
          <w:bCs/>
          <w:lang w:eastAsia="zh-CN"/>
        </w:rPr>
      </w:pPr>
    </w:p>
    <w:p w14:paraId="6135106C">
      <w:pPr>
        <w:pStyle w:val="2"/>
        <w:rPr>
          <w:rFonts w:hint="eastAsia" w:eastAsiaTheme="minorEastAsia"/>
          <w:b/>
          <w:bCs/>
          <w:lang w:eastAsia="zh-CN"/>
        </w:rPr>
      </w:pPr>
    </w:p>
    <w:p w14:paraId="1398111F">
      <w:pPr>
        <w:pStyle w:val="2"/>
        <w:rPr>
          <w:rFonts w:hint="eastAsia" w:eastAsiaTheme="minorEastAsia"/>
          <w:b/>
          <w:bCs/>
          <w:lang w:eastAsia="zh-CN"/>
        </w:rPr>
      </w:pPr>
    </w:p>
    <w:p w14:paraId="3FE33B63">
      <w:pPr>
        <w:pStyle w:val="2"/>
        <w:rPr>
          <w:rFonts w:hint="eastAsia" w:eastAsiaTheme="minorEastAsia"/>
          <w:b/>
          <w:bCs/>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20722D9B">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tbl>
      <w:tblPr>
        <w:tblStyle w:val="12"/>
        <w:tblW w:w="501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42"/>
        <w:gridCol w:w="8783"/>
        <w:gridCol w:w="2514"/>
        <w:gridCol w:w="2466"/>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14F28E8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5" w:type="pct"/>
            <w:vAlign w:val="center"/>
          </w:tcPr>
          <w:p w14:paraId="491D25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bidi w:val="0"/>
              <w:adjustRightInd/>
              <w:snapToGrid/>
              <w:spacing w:before="180" w:line="240" w:lineRule="atLeas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4BAAEB1A">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5" w:type="pct"/>
            <w:vAlign w:val="center"/>
          </w:tcPr>
          <w:p w14:paraId="7EF21BD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项目概况</w:t>
            </w:r>
          </w:p>
          <w:p w14:paraId="1B443B6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1.项目名称：中山市东升医院家电类协议供货项目</w:t>
            </w:r>
          </w:p>
          <w:p w14:paraId="77AD316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2.项目预算：元</w:t>
            </w:r>
          </w:p>
          <w:p w14:paraId="41384B01">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3.未经采购人同意，成交供应商不得以任何方式转包或分包本项目。</w:t>
            </w:r>
          </w:p>
          <w:p w14:paraId="3B6E6224">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4.如果在供货、安装、调试、培训等工作中出现的任何遗漏，均由成交供应商负责，采购人将不再支付任何费用。</w:t>
            </w:r>
          </w:p>
          <w:p w14:paraId="59D9481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5.本项目自合同签订之日起，协议供货时间为1年。本次采购为协议供货资格的取得，并不代表货物已售出，采购人无法预计也无法保证向成交供应商的品种及数量。采购人按照本单位使用情况分批次下单所需物品数量，成交供应商不得对采购人所采购物品数量作要求或质疑。项目以协议供货期限到期或采购累计金额达到项目预算金额为结束时间点（按先达到的为准）。</w:t>
            </w:r>
          </w:p>
          <w:p w14:paraId="35D22452">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6.在供货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采购人使用，不得断供，否则视为成交供应商违约。（如遇紧急情况，供货时间由成交供应商与采购人双方协商确定）</w:t>
            </w:r>
          </w:p>
          <w:p w14:paraId="11599AE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7.具有独立承担民事责任的能力：在中华人民共和国境内注册的法人或其他组织或自然人， 投标（响应）时提交有效的营业执照（或事业法人登记证或身份证等相关证明） 副本复印件。分公司投标的，须提供总公司和分公司营业执照副本复印件，总公司出具给分公司的授权书。</w:t>
            </w:r>
          </w:p>
        </w:tc>
        <w:tc>
          <w:tcPr>
            <w:tcW w:w="843" w:type="pct"/>
            <w:vAlign w:val="center"/>
          </w:tcPr>
          <w:p w14:paraId="0D59DF74">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414828D7">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4098D3DC">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5" w:type="pct"/>
            <w:vAlign w:val="center"/>
          </w:tcPr>
          <w:p w14:paraId="43566D3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货物产地及标准</w:t>
            </w:r>
          </w:p>
          <w:p w14:paraId="02B9516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1.成交供应商应提供已注册品牌制造商原装、全新、符合国家及采购人提出的有关质量标准的产品。</w:t>
            </w:r>
          </w:p>
          <w:p w14:paraId="1AA151A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2.所有货物在开箱检验时必须完好，无破损，配置与装箱单相符。</w:t>
            </w:r>
          </w:p>
          <w:p w14:paraId="5A79BE89">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3.成交供应商提供的产品须具有合格证等质量证明文件。</w:t>
            </w:r>
          </w:p>
          <w:p w14:paraId="0BF6638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sz w:val="21"/>
                <w:szCs w:val="21"/>
              </w:rPr>
            </w:pPr>
            <w:r>
              <w:rPr>
                <w:rFonts w:hint="eastAsia" w:ascii="宋体" w:hAnsi="宋体" w:eastAsia="宋体" w:cs="宋体"/>
                <w:sz w:val="21"/>
                <w:szCs w:val="21"/>
              </w:rPr>
              <w:t>★4.成交供应商所提供产品的性能、配置参数等不能低于用户需求书所提出的要求。</w:t>
            </w:r>
          </w:p>
        </w:tc>
        <w:tc>
          <w:tcPr>
            <w:tcW w:w="843" w:type="pct"/>
            <w:vAlign w:val="center"/>
          </w:tcPr>
          <w:p w14:paraId="27900034">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7326CAC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29017F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5" w:type="pct"/>
            <w:vAlign w:val="center"/>
          </w:tcPr>
          <w:p w14:paraId="7D90619E">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包装、装卸、运输、保管及保险</w:t>
            </w:r>
          </w:p>
          <w:p w14:paraId="04073FCD">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1.成交供应商所供货物包装质量必须符合国家相关标准，货物的包装均应有良好的防锈、防腐的措施，货物要求有包装保护运至现场。凡由于包装不良造成的损失和由此产生的费用均由成交供应商承担。</w:t>
            </w:r>
          </w:p>
          <w:p w14:paraId="1A8D4AC0">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2.成交供应商负责根据用户指定的地点，将货物送到现场过程中的全部运输，包括装卸车、货物现场的搬运，由此产生的费用均由成交供应商承担。</w:t>
            </w:r>
          </w:p>
          <w:p w14:paraId="6930790F">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3.如货物运输过程中因事故造成货物短缺、损坏，成交供应商应及时安排换货，以保证合同货物及时交付，换货的相关费用由成交供应商承担。</w:t>
            </w:r>
          </w:p>
          <w:p w14:paraId="569A0578">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tLeas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4.货物的质量保险由成交供应商负责，成交供应商负责其派出的现场服务人员人身意外保险。</w:t>
            </w:r>
          </w:p>
        </w:tc>
        <w:tc>
          <w:tcPr>
            <w:tcW w:w="843" w:type="pct"/>
            <w:vAlign w:val="center"/>
          </w:tcPr>
          <w:p w14:paraId="41626F8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3D77C60">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5F60DF14">
            <w:pPr>
              <w:keepNext w:val="0"/>
              <w:keepLines w:val="0"/>
              <w:pageBreakBefore w:val="0"/>
              <w:kinsoku/>
              <w:wordWrap/>
              <w:overflowPunct/>
              <w:topLinePunct w:val="0"/>
              <w:bidi w:val="0"/>
              <w:adjustRightInd/>
              <w:snapToGrid/>
              <w:spacing w:before="65" w:line="240" w:lineRule="atLeas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5" w:type="pct"/>
            <w:vAlign w:val="center"/>
          </w:tcPr>
          <w:p w14:paraId="6FDE09C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验收</w:t>
            </w:r>
          </w:p>
          <w:p w14:paraId="465136D9">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1.成交供应商将货物送货至采购人指定地点后，由采购人按照采购合同、采购文件要求和响应文件承诺进行核对，根据国家相关法律法规，对货物的规格参数和质量标准进行检查验收。</w:t>
            </w:r>
          </w:p>
          <w:p w14:paraId="488F56B4">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2.货物在验收过程中发现所交付的货物有短缺、次品、损坏或其他不符合用户需求书、合同规定之情形者，采购人有权拒付该批物品的费用，并由成交供应商承担由此发生的一切费用和损失。</w:t>
            </w:r>
          </w:p>
          <w:p w14:paraId="115966AB">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3.所有货物在使用过程中发现以次充好或使用假冒伪劣产品的，成交供应商除无条件更换货物外，采购人还需按成交货物价格*更换货物数量之总值的5倍金额扣除成交供应商的履约保证金。此种情况超过2次或以上的，履约保证金不予以退还，采购人有权单方终止合同。</w:t>
            </w:r>
          </w:p>
        </w:tc>
        <w:tc>
          <w:tcPr>
            <w:tcW w:w="843" w:type="pct"/>
            <w:vAlign w:val="center"/>
          </w:tcPr>
          <w:p w14:paraId="0A74B89D">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21DB8CF">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8B6B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F1D16C1">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5" w:type="pct"/>
            <w:vAlign w:val="center"/>
          </w:tcPr>
          <w:p w14:paraId="4E8E1C6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投标报价要求</w:t>
            </w:r>
          </w:p>
          <w:p w14:paraId="65FA106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★1.供应商对采购物品的单价报出统一的投标下浮率，下浮率在0%（含本数）-50%（含本数）范围内取值，若报价超出此范围则投标无效。</w:t>
            </w:r>
          </w:p>
          <w:p w14:paraId="0E72CA01">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2.供应商报价应为人民币含税全包价，包含货物、包装费、运杂费、保险费、卸车费、配合费、检测费、配送费、税金及供应商认为需要的所有费用，采购人不再单独支付其他费用。</w:t>
            </w:r>
          </w:p>
          <w:p w14:paraId="47CD04F6">
            <w:pPr>
              <w:keepNext w:val="0"/>
              <w:keepLines w:val="0"/>
              <w:pageBreakBefore w:val="0"/>
              <w:numPr>
                <w:ilvl w:val="0"/>
                <w:numId w:val="0"/>
              </w:numPr>
              <w:kinsoku/>
              <w:wordWrap/>
              <w:overflowPunct/>
              <w:topLinePunct w:val="0"/>
              <w:bidi w:val="0"/>
              <w:adjustRightInd/>
              <w:snapToGrid/>
              <w:spacing w:line="240" w:lineRule="atLeast"/>
              <w:ind w:left="0" w:leftChars="0" w:firstLine="0" w:firstLineChars="0"/>
              <w:jc w:val="left"/>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★3.协议供货期间的价格：各类货物实际供货价=单价上限值×（1-下浮率）。在合同期内，供货价不再随着市场同类商品市场价格的调整而进行调整。</w:t>
            </w:r>
          </w:p>
        </w:tc>
        <w:tc>
          <w:tcPr>
            <w:tcW w:w="843" w:type="pct"/>
            <w:vAlign w:val="center"/>
          </w:tcPr>
          <w:p w14:paraId="08A6EFAB">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E6EFE32">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4F2ED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673588FE">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5" w:type="pct"/>
            <w:vAlign w:val="center"/>
          </w:tcPr>
          <w:p w14:paraId="6CD883CE">
            <w:pPr>
              <w:pStyle w:val="4"/>
              <w:rPr>
                <w:rFonts w:hint="eastAsia"/>
                <w:b w:val="0"/>
                <w:bCs w:val="0"/>
                <w:sz w:val="21"/>
                <w:szCs w:val="21"/>
                <w:lang w:val="en-US" w:eastAsia="zh-CN"/>
              </w:rPr>
            </w:pPr>
            <w:r>
              <w:rPr>
                <w:rFonts w:hint="eastAsia"/>
                <w:b w:val="0"/>
                <w:bCs w:val="0"/>
                <w:sz w:val="21"/>
                <w:szCs w:val="21"/>
                <w:lang w:val="en-US" w:eastAsia="zh-CN"/>
              </w:rPr>
              <w:t>交货方式及交货地点</w:t>
            </w:r>
          </w:p>
          <w:p w14:paraId="0CB93D5A">
            <w:pPr>
              <w:pStyle w:val="4"/>
              <w:rPr>
                <w:rFonts w:hint="eastAsia"/>
                <w:b w:val="0"/>
                <w:bCs w:val="0"/>
                <w:sz w:val="21"/>
                <w:szCs w:val="21"/>
                <w:lang w:val="en-US" w:eastAsia="zh-CN"/>
              </w:rPr>
            </w:pPr>
            <w:r>
              <w:rPr>
                <w:rFonts w:hint="eastAsia"/>
                <w:b w:val="0"/>
                <w:bCs w:val="0"/>
                <w:sz w:val="21"/>
                <w:szCs w:val="21"/>
                <w:lang w:val="en-US" w:eastAsia="zh-CN"/>
              </w:rPr>
              <w:t>1.交货方式：一年内分批交货，非紧急货物在接到采购人通知后3个工作日内将所需货物送至交货地点，紧急货物在接到采购人通知后24小时内将所需货物送至交货地点。</w:t>
            </w:r>
          </w:p>
          <w:p w14:paraId="566E88BB">
            <w:pPr>
              <w:pStyle w:val="4"/>
              <w:rPr>
                <w:rFonts w:hint="eastAsia"/>
                <w:lang w:val="en-US" w:eastAsia="zh-CN"/>
              </w:rPr>
            </w:pPr>
            <w:r>
              <w:rPr>
                <w:rFonts w:hint="eastAsia"/>
                <w:b w:val="0"/>
                <w:bCs w:val="0"/>
                <w:sz w:val="21"/>
                <w:szCs w:val="21"/>
                <w:lang w:val="en-US" w:eastAsia="zh-CN"/>
              </w:rPr>
              <w:t>2.交货地点：按采购人指定地点。</w:t>
            </w:r>
          </w:p>
        </w:tc>
        <w:tc>
          <w:tcPr>
            <w:tcW w:w="843" w:type="pct"/>
            <w:vAlign w:val="center"/>
          </w:tcPr>
          <w:p w14:paraId="021184E3">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0EDBFCA">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3C4D6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3CEEEF74">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7</w:t>
            </w:r>
          </w:p>
        </w:tc>
        <w:tc>
          <w:tcPr>
            <w:tcW w:w="2945" w:type="pct"/>
            <w:vAlign w:val="center"/>
          </w:tcPr>
          <w:p w14:paraId="084C4D38">
            <w:pPr>
              <w:pStyle w:val="4"/>
              <w:rPr>
                <w:rFonts w:hint="eastAsia"/>
                <w:b w:val="0"/>
                <w:bCs w:val="0"/>
                <w:sz w:val="21"/>
                <w:szCs w:val="21"/>
                <w:lang w:val="en-US" w:eastAsia="zh-CN"/>
              </w:rPr>
            </w:pPr>
            <w:r>
              <w:rPr>
                <w:rFonts w:hint="eastAsia"/>
                <w:b w:val="0"/>
                <w:bCs w:val="0"/>
                <w:sz w:val="21"/>
                <w:szCs w:val="21"/>
                <w:lang w:val="en-US" w:eastAsia="zh-CN"/>
              </w:rPr>
              <w:t>质保期及售后服务要求</w:t>
            </w:r>
          </w:p>
          <w:p w14:paraId="1DBED5E3">
            <w:pPr>
              <w:pStyle w:val="4"/>
              <w:rPr>
                <w:rFonts w:hint="eastAsia"/>
                <w:b w:val="0"/>
                <w:bCs w:val="0"/>
                <w:sz w:val="21"/>
                <w:szCs w:val="21"/>
                <w:lang w:val="en-US" w:eastAsia="zh-CN"/>
              </w:rPr>
            </w:pPr>
            <w:r>
              <w:rPr>
                <w:rFonts w:hint="eastAsia"/>
                <w:b w:val="0"/>
                <w:bCs w:val="0"/>
                <w:sz w:val="21"/>
                <w:szCs w:val="21"/>
                <w:lang w:val="en-US" w:eastAsia="zh-CN"/>
              </w:rPr>
              <w:t>1.成交供应商所提供的货物应是全新正品，其质量、规格满足用户需求，且必须符合国家行业生产及经营标准，货真价实，均能提供相应的合格证明资料。</w:t>
            </w:r>
          </w:p>
          <w:p w14:paraId="0FF0D5E0">
            <w:pPr>
              <w:pStyle w:val="4"/>
              <w:rPr>
                <w:rFonts w:hint="eastAsia"/>
                <w:b w:val="0"/>
                <w:bCs w:val="0"/>
                <w:sz w:val="21"/>
                <w:szCs w:val="21"/>
                <w:lang w:val="en-US" w:eastAsia="zh-CN"/>
              </w:rPr>
            </w:pPr>
            <w:r>
              <w:rPr>
                <w:rFonts w:hint="eastAsia"/>
                <w:b w:val="0"/>
                <w:bCs w:val="0"/>
                <w:sz w:val="21"/>
                <w:szCs w:val="21"/>
                <w:lang w:val="en-US" w:eastAsia="zh-CN"/>
              </w:rPr>
              <w:t>2.因成交供应商所供应的货物质量问题造成采购人设备故障或出现严重事故的，由成交供应商负责维修，所造成的一切损失及责任由成交供应承担。</w:t>
            </w:r>
          </w:p>
          <w:p w14:paraId="467AD337">
            <w:pPr>
              <w:pStyle w:val="4"/>
              <w:rPr>
                <w:rFonts w:hint="eastAsia"/>
                <w:b w:val="0"/>
                <w:bCs w:val="0"/>
                <w:sz w:val="21"/>
                <w:szCs w:val="21"/>
                <w:lang w:val="en-US" w:eastAsia="zh-CN"/>
              </w:rPr>
            </w:pPr>
            <w:r>
              <w:rPr>
                <w:rFonts w:hint="eastAsia"/>
                <w:b w:val="0"/>
                <w:bCs w:val="0"/>
                <w:sz w:val="21"/>
                <w:szCs w:val="21"/>
                <w:lang w:val="en-US" w:eastAsia="zh-CN"/>
              </w:rPr>
              <w:t>3.货物在质保期内如有质量问题时，成交供应商必须对采购人提出的质量异议在1小时内予以响应并更换货物，更换货物须24小时内完成更换。如更换的货物仍未能解决问题，成交供应商应另行提供等同或优于原参数的产品供采购人使用。未能及时完成修理或更换的，采购人有权自行购买更换，所支付费用从履约保证金中扣除。</w:t>
            </w:r>
          </w:p>
          <w:p w14:paraId="79830107">
            <w:pPr>
              <w:pStyle w:val="4"/>
              <w:rPr>
                <w:rFonts w:hint="eastAsia"/>
                <w:b w:val="0"/>
                <w:bCs w:val="0"/>
                <w:sz w:val="21"/>
                <w:szCs w:val="21"/>
                <w:lang w:val="en-US" w:eastAsia="zh-CN"/>
              </w:rPr>
            </w:pPr>
            <w:r>
              <w:rPr>
                <w:rFonts w:hint="eastAsia"/>
                <w:b w:val="0"/>
                <w:bCs w:val="0"/>
                <w:sz w:val="21"/>
                <w:szCs w:val="21"/>
                <w:lang w:val="en-US" w:eastAsia="zh-CN"/>
              </w:rPr>
              <w:t>4.质保期内，成交供应商提供24小时响应服务。成交供应商需指定一名人员为本项目负责人，负责人要保证服务电话24小时保持畅通。</w:t>
            </w:r>
          </w:p>
          <w:p w14:paraId="79C5C539">
            <w:pPr>
              <w:pStyle w:val="4"/>
              <w:rPr>
                <w:rFonts w:hint="eastAsia"/>
                <w:b w:val="0"/>
                <w:bCs w:val="0"/>
                <w:sz w:val="21"/>
                <w:szCs w:val="21"/>
                <w:lang w:val="en-US" w:eastAsia="zh-CN"/>
              </w:rPr>
            </w:pPr>
            <w:r>
              <w:rPr>
                <w:rFonts w:hint="eastAsia"/>
                <w:b w:val="0"/>
                <w:bCs w:val="0"/>
                <w:sz w:val="21"/>
                <w:szCs w:val="21"/>
                <w:lang w:val="en-US" w:eastAsia="zh-CN"/>
              </w:rPr>
              <w:t>★5.质保期：当次所送货物质保期为验收合格之日起壹年，质保期内成交供应商须提供“包退、包换、包修”的质量“三包”服务。货物如不符合国家的有关质量标准、用户需求书参数要求的，采购人有权拒收，成交供应商应无条件退换货物，退换期限为5个自然日内，由此产生的一切费用由成交供应商承担，如造成采购人经济损失的，采购人有权进行索赔。</w:t>
            </w:r>
          </w:p>
        </w:tc>
        <w:tc>
          <w:tcPr>
            <w:tcW w:w="843" w:type="pct"/>
            <w:vAlign w:val="center"/>
          </w:tcPr>
          <w:p w14:paraId="73A46518">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291090CE">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67581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74B0DD1B">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8</w:t>
            </w:r>
          </w:p>
        </w:tc>
        <w:tc>
          <w:tcPr>
            <w:tcW w:w="2945" w:type="pct"/>
            <w:vAlign w:val="center"/>
          </w:tcPr>
          <w:p w14:paraId="5C893898">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付款方式</w:t>
            </w:r>
          </w:p>
          <w:p w14:paraId="3BFCCC7B">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1、签订合同后 5 个工作日内成交供应商需向采购人交合同总金额的 5%作为履约保证金。保证金的退还为最后一批送货验收合格后一个月内一次性退还。如有违约事项，采购人根据约定条款扣款，剩余款项予以无息退还。 </w:t>
            </w:r>
          </w:p>
          <w:p w14:paraId="365A2519">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2.合同签订后，供货期内采购人可按照实际使用需要分批次要求成交供应商供货。合同无预付款，每批次订货无预付款。 </w:t>
            </w:r>
          </w:p>
          <w:p w14:paraId="1C2B5B3A">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按批次结算。成交供应商接到采购人的下单通知后，按采购人要求的品种及数量提供货物，经双方确认验收合格后，成交供应商开具该批次所供货物的有效全额普通发票（含税），采购人在收到发票并审核无误后6个月内付款给成交供应商。 </w:t>
            </w:r>
          </w:p>
          <w:p w14:paraId="1957579E">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4.成交供应商须开具与响应文件中报价人名称、响应报价一致的普通发票。</w:t>
            </w:r>
          </w:p>
          <w:p w14:paraId="2C7BFE1A">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5.特别说明：合同约定的付款期限，遵守《保障中小企业款项支付条例》的规定。如成交供应商为中小企业，付款期限最长不超过60日。</w:t>
            </w:r>
          </w:p>
        </w:tc>
        <w:tc>
          <w:tcPr>
            <w:tcW w:w="843" w:type="pct"/>
            <w:vAlign w:val="center"/>
          </w:tcPr>
          <w:p w14:paraId="5E402240">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5C1638BC">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r w14:paraId="204DF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3" w:type="pct"/>
            <w:vAlign w:val="center"/>
          </w:tcPr>
          <w:p w14:paraId="6E8F55CD">
            <w:pPr>
              <w:keepNext w:val="0"/>
              <w:keepLines w:val="0"/>
              <w:pageBreakBefore w:val="0"/>
              <w:kinsoku/>
              <w:wordWrap/>
              <w:overflowPunct/>
              <w:topLinePunct w:val="0"/>
              <w:bidi w:val="0"/>
              <w:adjustRightInd/>
              <w:snapToGrid/>
              <w:spacing w:before="65" w:line="240" w:lineRule="atLeast"/>
              <w:jc w:val="center"/>
              <w:rPr>
                <w:rFonts w:hint="default" w:ascii="宋体" w:hAnsi="宋体" w:eastAsia="宋体" w:cs="宋体"/>
                <w:b w:val="0"/>
                <w:bCs w:val="0"/>
                <w:position w:val="1"/>
                <w:sz w:val="21"/>
                <w:szCs w:val="21"/>
                <w:lang w:val="en-US" w:eastAsia="zh-CN"/>
              </w:rPr>
            </w:pPr>
            <w:r>
              <w:rPr>
                <w:rFonts w:hint="eastAsia" w:ascii="宋体" w:hAnsi="宋体" w:eastAsia="宋体" w:cs="宋体"/>
                <w:b w:val="0"/>
                <w:bCs w:val="0"/>
                <w:position w:val="1"/>
                <w:sz w:val="21"/>
                <w:szCs w:val="21"/>
                <w:lang w:val="en-US" w:eastAsia="zh-CN"/>
              </w:rPr>
              <w:t>9</w:t>
            </w:r>
          </w:p>
        </w:tc>
        <w:tc>
          <w:tcPr>
            <w:tcW w:w="2945" w:type="pct"/>
            <w:vAlign w:val="center"/>
          </w:tcPr>
          <w:p w14:paraId="31694553">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违约</w:t>
            </w:r>
          </w:p>
          <w:p w14:paraId="13559A3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1.采购人应在合同规定时间内，按合同执行进度向成交供应商支付货款，每拖延一天 </w:t>
            </w:r>
          </w:p>
          <w:p w14:paraId="28FD4ED7">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成交供应商可向采购人加收当次送货批次金额金额的5‰的违约金。 </w:t>
            </w:r>
          </w:p>
          <w:p w14:paraId="709BA61B">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2.成交供应商未能按时交货，或未能在交货之日起 30 天内提供该项目验收相关所必须的合法有效的文件，每拖延一天，须向采购人支付合同金额金额的 5‰的违约金。如拖延15个自然日成交供应商仍未履行的，则视为成交供应商不能交货，则按合同总价20%支付违约金给采购人。同时，采购人有权单方面解除合同且履约保证金不再退还。如上述违约金及履约保证金的金额仍不足以补偿采购人因成交供应商违约造成的损失，采购人有权进一步向成交供应商提出索赔。 </w:t>
            </w:r>
          </w:p>
          <w:p w14:paraId="07EFBE6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3.成交供应商交付的货物不符合合同规定的，采购人有权拒收，成交供应商向采购人支付合同金额的20％的违约金。 </w:t>
            </w:r>
          </w:p>
          <w:p w14:paraId="6893D49D">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4.采购人无正当理由拒收货物的，采购人向成交供应商支付当次送货批次金额金额的 5‰的违约金。 </w:t>
            </w:r>
          </w:p>
          <w:p w14:paraId="734DC662">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所有货物在使用过程中发现以次充好或使用假冒伪劣产品的，成交供应商除无条件更换货物外，采购人还需按成交货物价格*更换货物数量之总值的5倍金额扣除成交供应商的履约保证金。此种情况超过2次或以上的，履约保证金不予以退还，采购人有权单方终止合同。</w:t>
            </w:r>
          </w:p>
          <w:p w14:paraId="1E76246C">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因质量问题发生争议时，由地级市或以上的质检部门进行相关鉴定，鉴定费用先由成交供应商垫付，鉴定结果符合质量技术要求，发生的所有鉴定费用由采购人承担；鉴定结果不符合质量技术要求，发生的所有鉴定费由成交供应商承担。</w:t>
            </w:r>
          </w:p>
          <w:p w14:paraId="7AB33256">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7.因成交供应商原因造成采购人货物无法按时正常使用，成交供应商承担合同标的金额20%的违约金，违约金不足以赔偿采购人损失的，应另行补足采购人损失。</w:t>
            </w:r>
          </w:p>
          <w:p w14:paraId="7562E381">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8.成交供应商保证因执行本项目向采购人提供的所有货物、材料、工序工艺等产品不侵犯第三方知识产权、商业秘密等权利。若发生侵犯第三方权利的情况,成交供应商应负责与第三方交涉, 并承担由此而产生的一切法律责任,采购人不承担与之相关的任何经济和法 律责任。 如采购人因此而遭受损失，成交供应商应承担全部的赔偿责任。</w:t>
            </w:r>
          </w:p>
          <w:p w14:paraId="0489922E">
            <w:pPr>
              <w:pStyle w:val="4"/>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9.其他违约责任按《中华人民共和国民法典》处理。</w:t>
            </w:r>
          </w:p>
        </w:tc>
        <w:tc>
          <w:tcPr>
            <w:tcW w:w="843" w:type="pct"/>
            <w:vAlign w:val="center"/>
          </w:tcPr>
          <w:p w14:paraId="11AF9F45">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c>
          <w:tcPr>
            <w:tcW w:w="827" w:type="pct"/>
            <w:vAlign w:val="center"/>
          </w:tcPr>
          <w:p w14:paraId="0B0E9A65">
            <w:pPr>
              <w:pStyle w:val="13"/>
              <w:keepNext w:val="0"/>
              <w:keepLines w:val="0"/>
              <w:pageBreakBefore w:val="0"/>
              <w:kinsoku/>
              <w:wordWrap/>
              <w:overflowPunct/>
              <w:topLinePunct w:val="0"/>
              <w:bidi w:val="0"/>
              <w:adjustRightInd/>
              <w:snapToGrid/>
              <w:spacing w:line="240" w:lineRule="atLeast"/>
              <w:jc w:val="center"/>
              <w:rPr>
                <w:rFonts w:hint="eastAsia" w:ascii="宋体" w:hAnsi="宋体" w:eastAsia="宋体" w:cs="宋体"/>
                <w:sz w:val="21"/>
                <w:szCs w:val="21"/>
              </w:rPr>
            </w:pPr>
          </w:p>
        </w:tc>
      </w:tr>
    </w:tbl>
    <w:p w14:paraId="59B12DE9">
      <w:pPr>
        <w:pStyle w:val="2"/>
        <w:rPr>
          <w:rFonts w:hint="eastAsia" w:eastAsiaTheme="minorEastAsia"/>
          <w:b/>
          <w:bCs/>
          <w:lang w:eastAsia="zh-CN"/>
        </w:rPr>
      </w:pPr>
    </w:p>
    <w:p w14:paraId="347074B6">
      <w:pPr>
        <w:keepNext w:val="0"/>
        <w:keepLines w:val="0"/>
        <w:pageBreakBefore w:val="0"/>
        <w:numPr>
          <w:ilvl w:val="0"/>
          <w:numId w:val="0"/>
        </w:numPr>
        <w:kinsoku/>
        <w:wordWrap/>
        <w:overflowPunct/>
        <w:topLinePunct w:val="0"/>
        <w:bidi w:val="0"/>
        <w:adjustRightInd/>
        <w:snapToGrid/>
        <w:spacing w:line="240" w:lineRule="atLeast"/>
        <w:jc w:val="left"/>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3...</w:t>
      </w:r>
    </w:p>
    <w:p w14:paraId="5795D07D">
      <w:pPr>
        <w:pStyle w:val="2"/>
        <w:rPr>
          <w:rFonts w:hint="eastAsia" w:eastAsiaTheme="minorEastAsia"/>
          <w:b/>
          <w:bCs/>
          <w:lang w:eastAsia="zh-CN"/>
        </w:rPr>
      </w:pPr>
    </w:p>
    <w:p w14:paraId="69A62A3E">
      <w:pPr>
        <w:pStyle w:val="2"/>
        <w:rPr>
          <w:rFonts w:hint="eastAsia" w:eastAsiaTheme="minorEastAsia"/>
          <w:b/>
          <w:bCs/>
          <w:lang w:eastAsia="zh-CN"/>
        </w:rPr>
      </w:pPr>
    </w:p>
    <w:p w14:paraId="46A9056A">
      <w:pPr>
        <w:pStyle w:val="2"/>
        <w:rPr>
          <w:rFonts w:hint="eastAsia" w:eastAsiaTheme="minorEastAsia"/>
          <w:b/>
          <w:bCs/>
          <w:lang w:eastAsia="zh-CN"/>
        </w:rPr>
      </w:pPr>
    </w:p>
    <w:p w14:paraId="4EF617E3">
      <w:pPr>
        <w:pStyle w:val="2"/>
        <w:rPr>
          <w:rFonts w:hint="eastAsia" w:eastAsiaTheme="minorEastAsia"/>
          <w:b/>
          <w:bCs/>
          <w:lang w:eastAsia="zh-CN"/>
        </w:rPr>
      </w:pPr>
    </w:p>
    <w:sectPr>
      <w:pgSz w:w="16838" w:h="11906" w:orient="landscape"/>
      <w:pgMar w:top="1179" w:right="986" w:bottom="1179" w:left="986"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3C50FE"/>
    <w:rsid w:val="009776EE"/>
    <w:rsid w:val="1D3C095D"/>
    <w:rsid w:val="1F75782B"/>
    <w:rsid w:val="22520A20"/>
    <w:rsid w:val="22B625D8"/>
    <w:rsid w:val="23707703"/>
    <w:rsid w:val="283913B9"/>
    <w:rsid w:val="2F213D19"/>
    <w:rsid w:val="43226605"/>
    <w:rsid w:val="6CAE491B"/>
    <w:rsid w:val="72690F2C"/>
    <w:rsid w:val="7DFA071E"/>
    <w:rsid w:val="7F3C5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unhideWhenUsed/>
    <w:qFormat/>
    <w:uiPriority w:val="0"/>
    <w:rPr>
      <w:rFonts w:ascii="宋体" w:hAnsi="宋体" w:eastAsia="宋体" w:cs="宋体"/>
      <w:b/>
      <w:bCs/>
      <w:sz w:val="24"/>
      <w:szCs w:val="24"/>
      <w:lang w:val="zh-CN" w:eastAsia="zh-CN" w:bidi="zh-CN"/>
    </w:rPr>
  </w:style>
  <w:style w:type="paragraph" w:styleId="5">
    <w:name w:val="Body Text Indent 2"/>
    <w:basedOn w:val="1"/>
    <w:link w:val="10"/>
    <w:qFormat/>
    <w:uiPriority w:val="0"/>
    <w:pPr>
      <w:spacing w:after="120" w:line="480" w:lineRule="auto"/>
      <w:ind w:left="420" w:leftChars="200"/>
    </w:pPr>
    <w:rPr>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缩进 2 Char"/>
    <w:link w:val="5"/>
    <w:autoRedefine/>
    <w:qFormat/>
    <w:uiPriority w:val="0"/>
    <w:rPr>
      <w:szCs w:val="20"/>
    </w:rPr>
  </w:style>
  <w:style w:type="character" w:customStyle="1" w:styleId="11">
    <w:name w:val="font21"/>
    <w:basedOn w:val="9"/>
    <w:qFormat/>
    <w:uiPriority w:val="0"/>
    <w:rPr>
      <w:rFonts w:hint="eastAsia" w:ascii="宋体" w:hAnsi="宋体" w:eastAsia="宋体" w:cs="宋体"/>
      <w:color w:val="000000"/>
      <w:sz w:val="21"/>
      <w:szCs w:val="21"/>
      <w:u w:val="none"/>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769</Words>
  <Characters>947</Characters>
  <Lines>0</Lines>
  <Paragraphs>0</Paragraphs>
  <TotalTime>0</TotalTime>
  <ScaleCrop>false</ScaleCrop>
  <LinksUpToDate>false</LinksUpToDate>
  <CharactersWithSpaces>970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2026-09-09T00:30:00Z</dcterms:created>
  <dc:creator>18924981193</dc:creator>
  <cp:lastModifiedBy>18924981193</cp:lastModifiedBy>
  <dcterms:modified xsi:type="dcterms:W3CDTF">2026-10-23T00:39:41Z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55400FFBAA0145EC948145744E41A798_11</vt:lpwstr>
  </property>
  <property fmtid="{D5CDD505-2E9C-101B-9397-08002B2CF9AE}" pid="4" name="KSOTemplateDocerSaveRecord">
    <vt:lpwstr>eyJoZGlkIjoiMDI1YTQ0MGQ2NDc4NmQ3MjU4NTFkMzZmNDA5NDM5ODgiLCJ1c2VySWQiOiI3MDcxOTEyNjEifQ==</vt:lpwstr>
  </property>
</Properties>
</file>