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center"/>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4DAC626D">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r>
        <w:rPr>
          <w:rFonts w:hint="eastAsia" w:ascii="黑体" w:hAnsi="黑体" w:eastAsia="黑体" w:cs="黑体"/>
          <w:b/>
          <w:color w:val="auto"/>
          <w:sz w:val="52"/>
          <w:szCs w:val="52"/>
          <w:u w:val="none"/>
          <w:lang w:val="en-US" w:eastAsia="zh-CN"/>
        </w:rPr>
        <w:t>化州市妇幼保健院日志审计服务项目</w:t>
      </w:r>
    </w:p>
    <w:p w14:paraId="146761F7">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HZFY-202609</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采购</w:t>
      </w:r>
      <w:r>
        <w:rPr>
          <w:rFonts w:hint="eastAsia" w:ascii="黑体" w:hAnsi="黑体" w:eastAsia="黑体" w:cs="黑体"/>
          <w:b/>
          <w:sz w:val="72"/>
          <w:szCs w:val="72"/>
        </w:rPr>
        <w:t>文件</w:t>
      </w:r>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6"/>
        <w:rPr>
          <w:rFonts w:hint="eastAsia" w:ascii="新宋体" w:hAnsi="新宋体" w:eastAsia="新宋体"/>
          <w:b/>
          <w:bCs/>
          <w:szCs w:val="21"/>
        </w:rPr>
      </w:pPr>
    </w:p>
    <w:p w14:paraId="4AC691F6">
      <w:pPr>
        <w:pStyle w:val="6"/>
        <w:rPr>
          <w:rFonts w:hint="eastAsia" w:ascii="新宋体" w:hAnsi="新宋体" w:eastAsia="新宋体"/>
          <w:b/>
          <w:bCs/>
          <w:szCs w:val="21"/>
        </w:rPr>
      </w:pPr>
    </w:p>
    <w:p w14:paraId="081BE28C">
      <w:pPr>
        <w:pStyle w:val="6"/>
        <w:rPr>
          <w:rFonts w:hint="eastAsia" w:ascii="新宋体" w:hAnsi="新宋体" w:eastAsia="新宋体"/>
          <w:b/>
          <w:bCs/>
          <w:szCs w:val="21"/>
        </w:rPr>
      </w:pPr>
    </w:p>
    <w:p w14:paraId="46E67AC5">
      <w:pPr>
        <w:pStyle w:val="6"/>
        <w:rPr>
          <w:rFonts w:hint="eastAsia" w:ascii="新宋体" w:hAnsi="新宋体" w:eastAsia="新宋体"/>
          <w:b/>
          <w:bCs/>
          <w:szCs w:val="21"/>
        </w:rPr>
      </w:pPr>
    </w:p>
    <w:p w14:paraId="096D715A">
      <w:pPr>
        <w:pStyle w:val="6"/>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4</w:t>
      </w:r>
      <w:r>
        <w:rPr>
          <w:rFonts w:hint="eastAsia" w:ascii="新宋体" w:hAnsi="新宋体" w:eastAsia="新宋体"/>
          <w:b/>
          <w:bCs/>
          <w:sz w:val="32"/>
          <w:szCs w:val="32"/>
        </w:rPr>
        <w:t>月</w:t>
      </w:r>
    </w:p>
    <w:p w14:paraId="75C4EE02">
      <w:pPr>
        <w:snapToGrid w:val="0"/>
        <w:spacing w:line="360" w:lineRule="auto"/>
        <w:jc w:val="both"/>
        <w:textAlignment w:val="baseline"/>
        <w:rPr>
          <w:rStyle w:val="17"/>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271A9657">
      <w:p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b/>
          <w:color w:val="auto"/>
          <w:kern w:val="0"/>
          <w:sz w:val="44"/>
          <w:szCs w:val="44"/>
          <w:shd w:val="clear" w:color="auto" w:fill="auto"/>
        </w:rPr>
        <w:t>第一部分　邀请函</w:t>
      </w:r>
    </w:p>
    <w:p w14:paraId="3F076D7E">
      <w:pPr>
        <w:rPr>
          <w:rFonts w:hint="eastAsia" w:ascii="宋体" w:hAnsi="宋体"/>
          <w:b/>
          <w:color w:val="auto"/>
          <w:sz w:val="36"/>
          <w:szCs w:val="36"/>
          <w:u w:val="none"/>
          <w:lang w:val="en-US" w:eastAsia="zh-CN"/>
        </w:rPr>
      </w:pP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Style w:val="17"/>
          <w:rFonts w:ascii="Arial" w:hAnsi="Arial" w:eastAsia="宋体"/>
          <w:color w:val="auto"/>
          <w:sz w:val="21"/>
          <w:szCs w:val="21"/>
          <w:lang w:val="en-US" w:eastAsia="zh-CN" w:bidi="ar-SA"/>
        </w:rPr>
      </w:pPr>
      <w:bookmarkStart w:id="41" w:name="_GoBack"/>
      <w:r>
        <w:rPr>
          <w:rFonts w:hint="eastAsia" w:ascii="宋体" w:hAnsi="宋体"/>
          <w:b/>
          <w:color w:val="auto"/>
          <w:sz w:val="36"/>
          <w:szCs w:val="36"/>
          <w:u w:val="none"/>
          <w:lang w:val="en-US" w:eastAsia="zh-CN"/>
        </w:rPr>
        <w:t>化州市妇幼保健院日志审计服务项目</w:t>
      </w:r>
      <w:r>
        <w:rPr>
          <w:rStyle w:val="17"/>
          <w:rFonts w:hint="eastAsia" w:cs="Times New Roman"/>
          <w:b/>
          <w:bCs/>
          <w:color w:val="auto"/>
          <w:sz w:val="36"/>
          <w:szCs w:val="36"/>
          <w:lang w:val="en-US" w:eastAsia="zh-CN" w:bidi="ar-SA"/>
        </w:rPr>
        <w:t>采购</w:t>
      </w:r>
      <w:r>
        <w:rPr>
          <w:rStyle w:val="17"/>
          <w:rFonts w:ascii="Calibri" w:hAnsi="Calibri" w:cs="Times New Roman"/>
          <w:b/>
          <w:bCs/>
          <w:color w:val="auto"/>
          <w:sz w:val="36"/>
          <w:szCs w:val="36"/>
          <w:lang w:val="en-US" w:eastAsia="zh-CN" w:bidi="ar-SA"/>
        </w:rPr>
        <w:t>公告</w:t>
      </w:r>
    </w:p>
    <w:p w14:paraId="03A620CE">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7"/>
          <w:rFonts w:hint="eastAsia" w:ascii="宋体" w:hAnsi="宋体"/>
          <w:color w:val="auto"/>
          <w:sz w:val="22"/>
          <w:szCs w:val="22"/>
          <w:lang w:val="en-US" w:eastAsia="zh-CN" w:bidi="ar-SA"/>
        </w:rPr>
      </w:pPr>
      <w:r>
        <w:rPr>
          <w:rStyle w:val="17"/>
          <w:rFonts w:hint="eastAsia" w:ascii="宋体" w:hAnsi="宋体"/>
          <w:color w:val="auto"/>
          <w:sz w:val="22"/>
          <w:szCs w:val="22"/>
          <w:lang w:val="en-US" w:eastAsia="zh-CN" w:bidi="ar-SA"/>
        </w:rPr>
        <w:t xml:space="preserve">    </w:t>
      </w:r>
    </w:p>
    <w:p w14:paraId="718013A8">
      <w:pPr>
        <w:keepNext w:val="0"/>
        <w:keepLines w:val="0"/>
        <w:pageBreakBefore w:val="0"/>
        <w:widowControl/>
        <w:kinsoku/>
        <w:wordWrap/>
        <w:overflowPunct/>
        <w:topLinePunct w:val="0"/>
        <w:autoSpaceDE/>
        <w:autoSpaceDN/>
        <w:bidi w:val="0"/>
        <w:adjustRightInd/>
        <w:snapToGrid w:val="0"/>
        <w:spacing w:line="360" w:lineRule="auto"/>
        <w:ind w:left="0" w:leftChars="0" w:right="0" w:firstLine="440" w:firstLineChars="200"/>
        <w:textAlignment w:val="auto"/>
        <w:outlineLvl w:val="9"/>
        <w:rPr>
          <w:rStyle w:val="17"/>
          <w:rFonts w:hint="default" w:ascii="宋体" w:hAnsi="宋体" w:eastAsia="宋体" w:cs="宋体"/>
          <w:b w:val="0"/>
          <w:bCs/>
          <w:color w:val="auto"/>
          <w:sz w:val="22"/>
          <w:szCs w:val="22"/>
          <w:lang w:val="en-US" w:eastAsia="zh-CN" w:bidi="ar-SA"/>
        </w:rPr>
      </w:pPr>
      <w:r>
        <w:rPr>
          <w:rStyle w:val="17"/>
          <w:rFonts w:hint="eastAsia" w:ascii="宋体" w:hAnsi="宋体"/>
          <w:color w:val="auto"/>
          <w:sz w:val="22"/>
          <w:szCs w:val="22"/>
          <w:lang w:val="en-US" w:eastAsia="zh-CN" w:bidi="ar-SA"/>
        </w:rPr>
        <w:t>化州市</w:t>
      </w:r>
      <w:r>
        <w:rPr>
          <w:rStyle w:val="17"/>
          <w:rFonts w:ascii="宋体" w:hAnsi="宋体" w:eastAsia="宋体"/>
          <w:color w:val="auto"/>
          <w:sz w:val="22"/>
          <w:szCs w:val="22"/>
          <w:lang w:val="en-US" w:eastAsia="zh-CN" w:bidi="ar-SA"/>
        </w:rPr>
        <w:t>妇幼保健院</w:t>
      </w:r>
      <w:r>
        <w:rPr>
          <w:rStyle w:val="17"/>
          <w:rFonts w:ascii="宋体" w:hAnsi="宋体" w:eastAsia="宋体" w:cs="宋体"/>
          <w:bCs/>
          <w:color w:val="auto"/>
          <w:sz w:val="22"/>
          <w:szCs w:val="22"/>
          <w:lang w:val="en-US" w:eastAsia="zh-CN" w:bidi="ar-SA"/>
        </w:rPr>
        <w:t>（以下简称“</w:t>
      </w:r>
      <w:r>
        <w:rPr>
          <w:rStyle w:val="17"/>
          <w:rFonts w:hint="eastAsia" w:ascii="宋体" w:hAnsi="宋体" w:cs="宋体"/>
          <w:bCs/>
          <w:color w:val="auto"/>
          <w:sz w:val="22"/>
          <w:szCs w:val="22"/>
          <w:lang w:val="en-US" w:eastAsia="zh-CN" w:bidi="ar-SA"/>
        </w:rPr>
        <w:t>采购人</w:t>
      </w:r>
      <w:r>
        <w:rPr>
          <w:rStyle w:val="17"/>
          <w:rFonts w:ascii="宋体" w:hAnsi="宋体" w:eastAsia="宋体" w:cs="宋体"/>
          <w:bCs/>
          <w:color w:val="auto"/>
          <w:sz w:val="22"/>
          <w:szCs w:val="22"/>
          <w:lang w:val="en-US" w:eastAsia="zh-CN" w:bidi="ar-SA"/>
        </w:rPr>
        <w:t>”）</w:t>
      </w:r>
      <w:r>
        <w:rPr>
          <w:rStyle w:val="17"/>
          <w:rFonts w:ascii="宋体" w:hAnsi="宋体" w:eastAsia="宋体" w:cs="宋体"/>
          <w:bCs/>
          <w:color w:val="auto"/>
          <w:sz w:val="22"/>
          <w:szCs w:val="22"/>
          <w:lang w:val="zh-CN" w:eastAsia="zh-CN" w:bidi="ar-SA"/>
        </w:rPr>
        <w:t>拟</w:t>
      </w:r>
      <w:r>
        <w:rPr>
          <w:rStyle w:val="17"/>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化州市妇幼保健院日志审计服务项目</w:t>
      </w:r>
      <w:r>
        <w:rPr>
          <w:rStyle w:val="17"/>
          <w:rFonts w:ascii="宋体" w:hAnsi="宋体" w:eastAsia="宋体" w:cs="宋体"/>
          <w:b/>
          <w:bCs w:val="0"/>
          <w:color w:val="auto"/>
          <w:sz w:val="22"/>
          <w:szCs w:val="22"/>
          <w:u w:val="single"/>
          <w:lang w:val="en-US" w:eastAsia="zh-CN" w:bidi="ar-SA"/>
        </w:rPr>
        <w:t>（项目编号：</w:t>
      </w:r>
      <w:r>
        <w:rPr>
          <w:rStyle w:val="17"/>
          <w:rFonts w:hint="eastAsia" w:ascii="宋体" w:hAnsi="宋体" w:cs="宋体"/>
          <w:b/>
          <w:bCs w:val="0"/>
          <w:color w:val="auto"/>
          <w:sz w:val="22"/>
          <w:szCs w:val="22"/>
          <w:u w:val="single"/>
          <w:lang w:val="en-US" w:eastAsia="zh-CN" w:bidi="ar-SA"/>
        </w:rPr>
        <w:t>HZFY-202609）</w:t>
      </w:r>
      <w:r>
        <w:rPr>
          <w:rStyle w:val="17"/>
          <w:rFonts w:ascii="宋体" w:hAnsi="宋体" w:eastAsia="宋体" w:cs="宋体"/>
          <w:b w:val="0"/>
          <w:bCs/>
          <w:color w:val="auto"/>
          <w:sz w:val="22"/>
          <w:szCs w:val="22"/>
          <w:lang w:val="en-US" w:eastAsia="zh-CN" w:bidi="ar-SA"/>
        </w:rPr>
        <w:t>）进行</w:t>
      </w:r>
      <w:r>
        <w:rPr>
          <w:rStyle w:val="17"/>
          <w:rFonts w:hint="eastAsia" w:ascii="宋体" w:hAnsi="宋体" w:cs="宋体"/>
          <w:b w:val="0"/>
          <w:bCs/>
          <w:color w:val="auto"/>
          <w:sz w:val="22"/>
          <w:szCs w:val="22"/>
          <w:lang w:val="en-US" w:eastAsia="zh-CN" w:bidi="ar-SA"/>
        </w:rPr>
        <w:t>议价</w:t>
      </w:r>
      <w:r>
        <w:rPr>
          <w:rStyle w:val="17"/>
          <w:rFonts w:ascii="宋体" w:hAnsi="宋体" w:eastAsia="宋体" w:cs="宋体"/>
          <w:b w:val="0"/>
          <w:bCs/>
          <w:color w:val="auto"/>
          <w:sz w:val="22"/>
          <w:szCs w:val="22"/>
          <w:lang w:val="en-US" w:eastAsia="zh-CN" w:bidi="ar-SA"/>
        </w:rPr>
        <w:t>采购，欢迎符合资格条件的供应商按本公告的有关内容进行报价</w:t>
      </w:r>
      <w:r>
        <w:rPr>
          <w:rStyle w:val="17"/>
          <w:rFonts w:hint="eastAsia" w:ascii="宋体" w:hAnsi="宋体" w:cs="宋体"/>
          <w:b w:val="0"/>
          <w:bCs/>
          <w:color w:val="auto"/>
          <w:sz w:val="22"/>
          <w:szCs w:val="22"/>
          <w:lang w:val="en-US" w:eastAsia="zh-CN" w:bidi="ar-SA"/>
        </w:rPr>
        <w:t>。</w:t>
      </w:r>
    </w:p>
    <w:p w14:paraId="62E45212">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7"/>
          <w:rFonts w:hint="eastAsia" w:ascii="宋体" w:hAnsi="宋体" w:eastAsia="宋体" w:cs="宋体"/>
          <w:b/>
          <w:color w:val="auto"/>
          <w:sz w:val="22"/>
          <w:szCs w:val="22"/>
          <w:lang w:val="en-US" w:eastAsia="zh-CN" w:bidi="ar-SA"/>
        </w:rPr>
      </w:pPr>
      <w:r>
        <w:rPr>
          <w:rStyle w:val="17"/>
          <w:rFonts w:hint="eastAsia" w:ascii="宋体" w:hAnsi="宋体" w:cs="宋体"/>
          <w:b/>
          <w:bCs/>
          <w:sz w:val="22"/>
          <w:szCs w:val="22"/>
          <w:lang w:val="en-US" w:eastAsia="zh-CN" w:bidi="ar-SA"/>
        </w:rPr>
        <w:t>一、</w:t>
      </w:r>
      <w:r>
        <w:rPr>
          <w:rStyle w:val="17"/>
          <w:rFonts w:hint="eastAsia" w:ascii="宋体" w:hAnsi="宋体" w:eastAsia="宋体" w:cs="宋体"/>
          <w:b/>
          <w:sz w:val="22"/>
          <w:szCs w:val="22"/>
          <w:lang w:val="en-US" w:eastAsia="zh-CN" w:bidi="ar-SA"/>
        </w:rPr>
        <w:t>响应供应商资格要求</w:t>
      </w:r>
    </w:p>
    <w:p w14:paraId="5DC1B03B">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1.供应商应具备《政府采购法》第二十二条规定的条件。</w:t>
      </w:r>
    </w:p>
    <w:p w14:paraId="407FF887">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（1）具有独立承担民事责任能力的在中华人民共和国境内注册的法人或其他组织，投标时提交有效的营业执照（或事业法人登记证等相关证明）副本复印件并加盖公章；</w:t>
      </w:r>
    </w:p>
    <w:p w14:paraId="1F7A9DD5">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（2）具有良好的商业信誉和健全的财务会计制度（提供2025年度财务状况报告或2026年任意1个月的财务状况报告复印件，或提供银行出具的资信证明材料复印件）；</w:t>
      </w:r>
    </w:p>
    <w:p w14:paraId="15B79F99">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（3）具有履行合同所必需的设备和专业技术能力（提供声明函，格式自拟）；</w:t>
      </w:r>
    </w:p>
    <w:p w14:paraId="3475F634">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（4）有依法缴纳税收和社会保障资金的良好记录（提供2025年或2026年任意1个月缴纳税收和社会保险的凭据证明材料复印件；如依法免税或不需要缴纳社会保障资金的，应提供相应文件证明）；</w:t>
      </w:r>
    </w:p>
    <w:p w14:paraId="0DC5F98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（5）参加政府采购活动前三年内，在经营活动中没有重大违法记录（提供声明函，格式自拟）；</w:t>
      </w:r>
    </w:p>
    <w:p w14:paraId="68C0C97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（6）法律、行政法规规定的其他条件；</w:t>
      </w:r>
    </w:p>
    <w:p w14:paraId="13F24076">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2.响应投标人在投标截止前没有失信及违法处罚记录，投标时须提供“信用中国”及“中国政府采购网”网站查询结果截图，对列入失信及违法处罚有效记录的，将被拒绝投标。</w:t>
      </w:r>
    </w:p>
    <w:p w14:paraId="50D092AC">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3.单位负责人为同一人或者存在直接控股、管理关系的不同供应商，不得参加同一合同项下的采购活动提供</w:t>
      </w:r>
      <w:r>
        <w:rPr>
          <w:rStyle w:val="17"/>
          <w:rFonts w:hint="eastAsia" w:ascii="宋体" w:hAnsi="宋体" w:cs="宋体"/>
          <w:color w:val="auto"/>
          <w:kern w:val="0"/>
          <w:sz w:val="22"/>
          <w:szCs w:val="22"/>
          <w:lang w:val="en-US" w:eastAsia="zh-CN" w:bidi="ar-SA"/>
        </w:rPr>
        <w:t>《</w:t>
      </w:r>
      <w:r>
        <w:rPr>
          <w:rStyle w:val="17"/>
          <w:rFonts w:hint="eastAsia" w:ascii="宋体" w:hAnsi="宋体" w:eastAsia="宋体" w:cs="宋体"/>
          <w:color w:val="auto"/>
          <w:kern w:val="0"/>
          <w:sz w:val="22"/>
          <w:szCs w:val="22"/>
          <w:lang w:val="en-US" w:eastAsia="zh-CN" w:bidi="ar-SA"/>
        </w:rPr>
        <w:t>响应供应商资格信用承诺函</w:t>
      </w:r>
      <w:r>
        <w:rPr>
          <w:rStyle w:val="17"/>
          <w:rFonts w:hint="eastAsia" w:ascii="宋体" w:hAnsi="宋体" w:cs="宋体"/>
          <w:color w:val="auto"/>
          <w:kern w:val="0"/>
          <w:sz w:val="22"/>
          <w:szCs w:val="22"/>
          <w:lang w:val="en-US" w:eastAsia="zh-CN" w:bidi="ar-SA"/>
        </w:rPr>
        <w:t>》</w:t>
      </w:r>
      <w:r>
        <w:rPr>
          <w:rStyle w:val="17"/>
          <w:rFonts w:hint="eastAsia" w:ascii="宋体" w:hAnsi="宋体" w:eastAsia="宋体" w:cs="宋体"/>
          <w:color w:val="auto"/>
          <w:kern w:val="0"/>
          <w:sz w:val="22"/>
          <w:szCs w:val="22"/>
          <w:lang w:val="en-US" w:eastAsia="zh-CN" w:bidi="ar-SA"/>
        </w:rPr>
        <w:t>。</w:t>
      </w:r>
    </w:p>
    <w:p w14:paraId="7E9DB9F8">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4.本项目不接受联合体投标。</w:t>
      </w:r>
    </w:p>
    <w:p w14:paraId="7A879810">
      <w:pPr>
        <w:keepNext w:val="0"/>
        <w:keepLines w:val="0"/>
        <w:pageBreakBefore w:val="0"/>
        <w:widowControl/>
        <w:numPr>
          <w:ilvl w:val="0"/>
          <w:numId w:val="0"/>
        </w:numPr>
        <w:kinsoku/>
        <w:wordWrap/>
        <w:overflowPunct/>
        <w:topLinePunct w:val="0"/>
        <w:autoSpaceDE/>
        <w:autoSpaceDN/>
        <w:bidi w:val="0"/>
        <w:adjustRightInd/>
        <w:spacing w:line="360" w:lineRule="auto"/>
        <w:ind w:right="0" w:rightChars="0" w:firstLine="420" w:firstLineChars="0"/>
        <w:textAlignment w:val="auto"/>
        <w:outlineLvl w:val="9"/>
        <w:rPr>
          <w:rStyle w:val="17"/>
          <w:rFonts w:hint="eastAsia" w:ascii="宋体" w:hAnsi="宋体" w:cs="宋体"/>
          <w:b/>
          <w:color w:val="auto"/>
          <w:sz w:val="22"/>
          <w:szCs w:val="22"/>
          <w:lang w:val="en-US" w:eastAsia="zh-CN" w:bidi="ar-SA"/>
        </w:rPr>
      </w:pPr>
      <w:r>
        <w:rPr>
          <w:rStyle w:val="17"/>
          <w:rFonts w:hint="eastAsia" w:ascii="宋体" w:hAnsi="宋体" w:cs="宋体"/>
          <w:b/>
          <w:color w:val="auto"/>
          <w:sz w:val="22"/>
          <w:szCs w:val="22"/>
          <w:lang w:val="en-US" w:eastAsia="zh-CN" w:bidi="ar-SA"/>
        </w:rPr>
        <w:t>二、</w:t>
      </w:r>
      <w:r>
        <w:rPr>
          <w:rStyle w:val="17"/>
          <w:rFonts w:hint="eastAsia" w:ascii="宋体" w:hAnsi="宋体" w:eastAsia="宋体" w:cs="宋体"/>
          <w:b/>
          <w:color w:val="auto"/>
          <w:sz w:val="22"/>
          <w:szCs w:val="22"/>
          <w:lang w:val="en-US" w:eastAsia="zh-CN" w:bidi="ar-SA"/>
        </w:rPr>
        <w:t>项目</w:t>
      </w:r>
      <w:r>
        <w:rPr>
          <w:rStyle w:val="17"/>
          <w:rFonts w:hint="eastAsia" w:ascii="宋体" w:hAnsi="宋体" w:cs="宋体"/>
          <w:b/>
          <w:color w:val="auto"/>
          <w:sz w:val="22"/>
          <w:szCs w:val="22"/>
          <w:lang w:val="en-US" w:eastAsia="zh-CN" w:bidi="ar-SA"/>
        </w:rPr>
        <w:t>基本情况</w:t>
      </w:r>
    </w:p>
    <w:p w14:paraId="2E3243C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7"/>
          <w:rFonts w:hint="default"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1、项目编号：HZFY-202</w:t>
      </w:r>
      <w:r>
        <w:rPr>
          <w:rStyle w:val="17"/>
          <w:rFonts w:hint="eastAsia" w:ascii="宋体" w:hAnsi="宋体" w:cs="宋体"/>
          <w:color w:val="auto"/>
          <w:kern w:val="0"/>
          <w:sz w:val="22"/>
          <w:szCs w:val="22"/>
          <w:lang w:val="en-US" w:eastAsia="zh-CN" w:bidi="ar-SA"/>
        </w:rPr>
        <w:t>609</w:t>
      </w:r>
    </w:p>
    <w:p w14:paraId="498F1DD1">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2、项目名称：化州市妇幼保健院日志审计服务项目</w:t>
      </w:r>
    </w:p>
    <w:p w14:paraId="07DA33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3、预算金额：</w:t>
      </w:r>
      <w:r>
        <w:rPr>
          <w:rStyle w:val="17"/>
          <w:rFonts w:hint="eastAsia" w:ascii="宋体" w:hAnsi="宋体" w:cs="宋体"/>
          <w:color w:val="auto"/>
          <w:kern w:val="0"/>
          <w:sz w:val="22"/>
          <w:szCs w:val="22"/>
          <w:lang w:val="en-US" w:eastAsia="zh-CN" w:bidi="ar-SA"/>
        </w:rPr>
        <w:t>5.5350</w:t>
      </w:r>
      <w:r>
        <w:rPr>
          <w:rStyle w:val="17"/>
          <w:rFonts w:hint="eastAsia" w:ascii="宋体" w:hAnsi="宋体" w:eastAsia="宋体" w:cs="宋体"/>
          <w:color w:val="auto"/>
          <w:kern w:val="0"/>
          <w:sz w:val="22"/>
          <w:szCs w:val="22"/>
          <w:lang w:val="en-US" w:eastAsia="zh-CN" w:bidi="ar-SA"/>
        </w:rPr>
        <w:t xml:space="preserve"> 万元</w:t>
      </w:r>
    </w:p>
    <w:p w14:paraId="273288EF">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4、最高限价：</w:t>
      </w:r>
      <w:r>
        <w:rPr>
          <w:rStyle w:val="17"/>
          <w:rFonts w:hint="eastAsia" w:ascii="宋体" w:hAnsi="宋体" w:cs="宋体"/>
          <w:color w:val="auto"/>
          <w:kern w:val="0"/>
          <w:sz w:val="22"/>
          <w:szCs w:val="22"/>
          <w:lang w:val="en-US" w:eastAsia="zh-CN" w:bidi="ar-SA"/>
        </w:rPr>
        <w:t>5.5350 万元</w:t>
      </w:r>
    </w:p>
    <w:p w14:paraId="4F9DB40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cs="宋体"/>
          <w:color w:val="auto"/>
          <w:kern w:val="0"/>
          <w:sz w:val="22"/>
          <w:szCs w:val="22"/>
          <w:lang w:val="en-US" w:eastAsia="zh-CN" w:bidi="ar-SA"/>
        </w:rPr>
        <w:t>5</w:t>
      </w:r>
      <w:r>
        <w:rPr>
          <w:rStyle w:val="17"/>
          <w:rFonts w:hint="eastAsia" w:ascii="宋体" w:hAnsi="宋体" w:eastAsia="宋体" w:cs="宋体"/>
          <w:color w:val="auto"/>
          <w:kern w:val="0"/>
          <w:sz w:val="22"/>
          <w:szCs w:val="22"/>
          <w:lang w:val="en-US" w:eastAsia="zh-CN" w:bidi="ar-SA"/>
        </w:rPr>
        <w:t>、服务地点：化州市妇幼保健院。</w:t>
      </w:r>
    </w:p>
    <w:p w14:paraId="05042D68">
      <w:pPr>
        <w:pStyle w:val="5"/>
        <w:keepNext w:val="0"/>
        <w:keepLines w:val="0"/>
        <w:pageBreakBefore w:val="0"/>
        <w:kinsoku/>
        <w:wordWrap/>
        <w:overflowPunct/>
        <w:topLinePunct w:val="0"/>
        <w:bidi w:val="0"/>
        <w:spacing w:line="360" w:lineRule="auto"/>
        <w:rPr>
          <w:rStyle w:val="17"/>
          <w:rFonts w:hint="eastAsia" w:ascii="宋体" w:hAnsi="宋体" w:cs="宋体"/>
          <w:b/>
          <w:bCs/>
          <w:color w:val="auto"/>
          <w:sz w:val="22"/>
          <w:szCs w:val="22"/>
          <w:highlight w:val="none"/>
          <w:lang w:val="en-US" w:eastAsia="zh-CN" w:bidi="ar-SA"/>
        </w:rPr>
      </w:pPr>
      <w:r>
        <w:rPr>
          <w:rStyle w:val="17"/>
          <w:rFonts w:hint="eastAsia" w:ascii="宋体" w:hAnsi="宋体" w:cs="宋体"/>
          <w:b/>
          <w:bCs/>
          <w:color w:val="auto"/>
          <w:sz w:val="22"/>
          <w:szCs w:val="22"/>
          <w:highlight w:val="none"/>
          <w:lang w:val="en-US" w:eastAsia="zh-CN" w:bidi="ar-SA"/>
        </w:rPr>
        <w:t>三、报名须知</w:t>
      </w:r>
    </w:p>
    <w:p w14:paraId="18074BF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1.递交材料须密封，封面应当写明项目名称、供应商名称、联系人及联系电话(若材料使用快递方式递交，须先用文件袋装好材料密封，再放进快递文件袋）。</w:t>
      </w:r>
    </w:p>
    <w:p w14:paraId="3A97AE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2.递交报价文件时间:202</w:t>
      </w:r>
      <w:r>
        <w:rPr>
          <w:rStyle w:val="17"/>
          <w:rFonts w:hint="eastAsia" w:ascii="宋体" w:hAnsi="宋体" w:cs="宋体"/>
          <w:color w:val="auto"/>
          <w:kern w:val="0"/>
          <w:sz w:val="22"/>
          <w:szCs w:val="22"/>
          <w:lang w:val="en-US" w:eastAsia="zh-CN" w:bidi="ar-SA"/>
        </w:rPr>
        <w:t>6</w:t>
      </w:r>
      <w:r>
        <w:rPr>
          <w:rStyle w:val="17"/>
          <w:rFonts w:hint="eastAsia" w:ascii="宋体" w:hAnsi="宋体" w:eastAsia="宋体" w:cs="宋体"/>
          <w:color w:val="auto"/>
          <w:kern w:val="0"/>
          <w:sz w:val="22"/>
          <w:szCs w:val="22"/>
          <w:lang w:val="en-US" w:eastAsia="zh-CN" w:bidi="ar-SA"/>
        </w:rPr>
        <w:t>年</w:t>
      </w:r>
      <w:r>
        <w:rPr>
          <w:rStyle w:val="17"/>
          <w:rFonts w:hint="eastAsia" w:ascii="宋体" w:hAnsi="宋体" w:cs="宋体"/>
          <w:color w:val="auto"/>
          <w:kern w:val="0"/>
          <w:sz w:val="22"/>
          <w:szCs w:val="22"/>
          <w:lang w:val="en-US" w:eastAsia="zh-CN" w:bidi="ar-SA"/>
        </w:rPr>
        <w:t>4</w:t>
      </w:r>
      <w:r>
        <w:rPr>
          <w:rStyle w:val="17"/>
          <w:rFonts w:hint="eastAsia" w:ascii="宋体" w:hAnsi="宋体" w:eastAsia="宋体" w:cs="宋体"/>
          <w:color w:val="auto"/>
          <w:kern w:val="0"/>
          <w:sz w:val="22"/>
          <w:szCs w:val="22"/>
          <w:lang w:val="en-US" w:eastAsia="zh-CN" w:bidi="ar-SA"/>
        </w:rPr>
        <w:t>月</w:t>
      </w:r>
      <w:r>
        <w:rPr>
          <w:rStyle w:val="17"/>
          <w:rFonts w:hint="eastAsia" w:ascii="宋体" w:hAnsi="宋体" w:cs="宋体"/>
          <w:color w:val="auto"/>
          <w:kern w:val="0"/>
          <w:sz w:val="22"/>
          <w:szCs w:val="22"/>
          <w:lang w:val="en-US" w:eastAsia="zh-CN" w:bidi="ar-SA"/>
        </w:rPr>
        <w:t>13</w:t>
      </w:r>
      <w:r>
        <w:rPr>
          <w:rStyle w:val="17"/>
          <w:rFonts w:hint="eastAsia" w:ascii="宋体" w:hAnsi="宋体" w:eastAsia="宋体" w:cs="宋体"/>
          <w:color w:val="auto"/>
          <w:kern w:val="0"/>
          <w:sz w:val="22"/>
          <w:szCs w:val="22"/>
          <w:lang w:val="en-US" w:eastAsia="zh-CN" w:bidi="ar-SA"/>
        </w:rPr>
        <w:t>日至202</w:t>
      </w:r>
      <w:r>
        <w:rPr>
          <w:rStyle w:val="17"/>
          <w:rFonts w:hint="eastAsia" w:ascii="宋体" w:hAnsi="宋体" w:cs="宋体"/>
          <w:color w:val="auto"/>
          <w:kern w:val="0"/>
          <w:sz w:val="22"/>
          <w:szCs w:val="22"/>
          <w:lang w:val="en-US" w:eastAsia="zh-CN" w:bidi="ar-SA"/>
        </w:rPr>
        <w:t>6</w:t>
      </w:r>
      <w:r>
        <w:rPr>
          <w:rStyle w:val="17"/>
          <w:rFonts w:hint="eastAsia" w:ascii="宋体" w:hAnsi="宋体" w:eastAsia="宋体" w:cs="宋体"/>
          <w:color w:val="auto"/>
          <w:kern w:val="0"/>
          <w:sz w:val="22"/>
          <w:szCs w:val="22"/>
          <w:lang w:val="en-US" w:eastAsia="zh-CN" w:bidi="ar-SA"/>
        </w:rPr>
        <w:t>年</w:t>
      </w:r>
      <w:r>
        <w:rPr>
          <w:rStyle w:val="17"/>
          <w:rFonts w:hint="eastAsia" w:ascii="宋体" w:hAnsi="宋体" w:cs="宋体"/>
          <w:color w:val="auto"/>
          <w:kern w:val="0"/>
          <w:sz w:val="22"/>
          <w:szCs w:val="22"/>
          <w:lang w:val="en-US" w:eastAsia="zh-CN" w:bidi="ar-SA"/>
        </w:rPr>
        <w:t>4</w:t>
      </w:r>
      <w:r>
        <w:rPr>
          <w:rStyle w:val="17"/>
          <w:rFonts w:hint="eastAsia" w:ascii="宋体" w:hAnsi="宋体" w:eastAsia="宋体" w:cs="宋体"/>
          <w:color w:val="auto"/>
          <w:kern w:val="0"/>
          <w:sz w:val="22"/>
          <w:szCs w:val="22"/>
          <w:lang w:val="en-US" w:eastAsia="zh-CN" w:bidi="ar-SA"/>
        </w:rPr>
        <w:t>月</w:t>
      </w:r>
      <w:r>
        <w:rPr>
          <w:rStyle w:val="17"/>
          <w:rFonts w:hint="eastAsia" w:ascii="宋体" w:hAnsi="宋体" w:cs="宋体"/>
          <w:color w:val="auto"/>
          <w:kern w:val="0"/>
          <w:sz w:val="22"/>
          <w:szCs w:val="22"/>
          <w:lang w:val="en-US" w:eastAsia="zh-CN" w:bidi="ar-SA"/>
        </w:rPr>
        <w:t>15</w:t>
      </w:r>
      <w:r>
        <w:rPr>
          <w:rStyle w:val="17"/>
          <w:rFonts w:hint="eastAsia" w:ascii="宋体" w:hAnsi="宋体" w:eastAsia="宋体" w:cs="宋体"/>
          <w:color w:val="auto"/>
          <w:kern w:val="0"/>
          <w:sz w:val="22"/>
          <w:szCs w:val="22"/>
          <w:lang w:val="en-US" w:eastAsia="zh-CN" w:bidi="ar-SA"/>
        </w:rPr>
        <w:t>日，上午8:00-11:30，下午2:30-5:30，节假日除外。</w:t>
      </w:r>
    </w:p>
    <w:p w14:paraId="4F1F67B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7"/>
          <w:rFonts w:hint="default"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3.报价文件纸质版加盖公章交至化州市河西街道办北岸安庆路五横巷1号化州市妇幼保健院1号楼7楼招标采购科。</w:t>
      </w:r>
    </w:p>
    <w:p w14:paraId="0258B17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7"/>
          <w:rFonts w:hint="eastAsia" w:ascii="宋体" w:hAnsi="宋体" w:eastAsia="宋体" w:cs="宋体"/>
          <w:color w:val="auto"/>
          <w:kern w:val="0"/>
          <w:sz w:val="22"/>
          <w:szCs w:val="22"/>
          <w:lang w:val="en-US" w:eastAsia="zh-CN" w:bidi="ar-SA"/>
        </w:rPr>
      </w:pPr>
      <w:r>
        <w:rPr>
          <w:rStyle w:val="17"/>
          <w:rFonts w:hint="eastAsia" w:ascii="宋体" w:hAnsi="宋体" w:eastAsia="宋体" w:cs="宋体"/>
          <w:color w:val="auto"/>
          <w:kern w:val="0"/>
          <w:sz w:val="22"/>
          <w:szCs w:val="22"/>
          <w:lang w:val="en-US" w:eastAsia="zh-CN" w:bidi="ar-SA"/>
        </w:rPr>
        <w:t>4.报名需提交资料：响应文件</w:t>
      </w:r>
    </w:p>
    <w:p w14:paraId="2F3EE7BB">
      <w:pPr>
        <w:pStyle w:val="5"/>
        <w:keepNext w:val="0"/>
        <w:keepLines w:val="0"/>
        <w:pageBreakBefore w:val="0"/>
        <w:kinsoku/>
        <w:wordWrap/>
        <w:overflowPunct/>
        <w:topLinePunct w:val="0"/>
        <w:bidi w:val="0"/>
        <w:spacing w:line="360" w:lineRule="auto"/>
        <w:rPr>
          <w:rStyle w:val="17"/>
          <w:rFonts w:hint="eastAsia" w:ascii="宋体" w:hAnsi="宋体" w:cs="宋体"/>
          <w:b w:val="0"/>
          <w:bCs w:val="0"/>
          <w:color w:val="auto"/>
          <w:sz w:val="22"/>
          <w:szCs w:val="22"/>
          <w:highlight w:val="none"/>
          <w:lang w:val="en-US" w:eastAsia="zh-CN" w:bidi="ar-SA"/>
        </w:rPr>
      </w:pPr>
      <w:r>
        <w:rPr>
          <w:rStyle w:val="17"/>
          <w:rFonts w:hint="eastAsia" w:ascii="宋体" w:hAnsi="宋体" w:cs="宋体"/>
          <w:b w:val="0"/>
          <w:bCs w:val="0"/>
          <w:color w:val="auto"/>
          <w:sz w:val="22"/>
          <w:szCs w:val="22"/>
          <w:highlight w:val="none"/>
          <w:lang w:val="en-US" w:eastAsia="zh-CN" w:bidi="ar-SA"/>
        </w:rPr>
        <w:t>5.报名费用：免费</w:t>
      </w:r>
    </w:p>
    <w:p w14:paraId="7820F132">
      <w:pPr>
        <w:pStyle w:val="5"/>
        <w:keepNext w:val="0"/>
        <w:keepLines w:val="0"/>
        <w:pageBreakBefore w:val="0"/>
        <w:kinsoku/>
        <w:wordWrap/>
        <w:overflowPunct/>
        <w:topLinePunct w:val="0"/>
        <w:bidi w:val="0"/>
        <w:spacing w:line="360" w:lineRule="auto"/>
        <w:rPr>
          <w:rStyle w:val="17"/>
          <w:rFonts w:hint="eastAsia" w:ascii="宋体" w:hAnsi="宋体" w:cs="宋体"/>
          <w:b/>
          <w:bCs/>
          <w:color w:val="auto"/>
          <w:sz w:val="22"/>
          <w:szCs w:val="22"/>
          <w:highlight w:val="none"/>
          <w:lang w:val="en-US" w:eastAsia="zh-CN" w:bidi="ar-SA"/>
        </w:rPr>
      </w:pPr>
      <w:r>
        <w:rPr>
          <w:rStyle w:val="17"/>
          <w:rFonts w:hint="eastAsia" w:ascii="宋体" w:hAnsi="宋体" w:cs="宋体"/>
          <w:b/>
          <w:bCs/>
          <w:color w:val="auto"/>
          <w:sz w:val="22"/>
          <w:szCs w:val="22"/>
          <w:highlight w:val="none"/>
          <w:lang w:val="en-US" w:eastAsia="zh-CN" w:bidi="ar-SA"/>
        </w:rPr>
        <w:t>四、我院拒绝接受以下报价资料：</w:t>
      </w:r>
    </w:p>
    <w:p w14:paraId="21DB5006">
      <w:pPr>
        <w:pStyle w:val="5"/>
        <w:keepNext w:val="0"/>
        <w:keepLines w:val="0"/>
        <w:pageBreakBefore w:val="0"/>
        <w:kinsoku/>
        <w:wordWrap/>
        <w:overflowPunct/>
        <w:topLinePunct w:val="0"/>
        <w:bidi w:val="0"/>
        <w:spacing w:line="360" w:lineRule="auto"/>
        <w:rPr>
          <w:rStyle w:val="17"/>
          <w:rFonts w:hint="eastAsia" w:ascii="宋体" w:hAnsi="宋体" w:cs="宋体"/>
          <w:b w:val="0"/>
          <w:bCs w:val="0"/>
          <w:color w:val="auto"/>
          <w:sz w:val="22"/>
          <w:szCs w:val="22"/>
          <w:highlight w:val="none"/>
          <w:lang w:val="en-US" w:eastAsia="zh-CN" w:bidi="ar-SA"/>
        </w:rPr>
      </w:pPr>
      <w:r>
        <w:rPr>
          <w:rStyle w:val="17"/>
          <w:rFonts w:hint="eastAsia" w:ascii="宋体" w:hAnsi="宋体" w:cs="宋体"/>
          <w:b w:val="0"/>
          <w:bCs w:val="0"/>
          <w:color w:val="auto"/>
          <w:sz w:val="22"/>
          <w:szCs w:val="22"/>
          <w:highlight w:val="none"/>
          <w:lang w:val="en-US" w:eastAsia="zh-CN" w:bidi="ar-SA"/>
        </w:rPr>
        <w:t>1.报名截止时间后才递交的报价资料。</w:t>
      </w:r>
    </w:p>
    <w:p w14:paraId="7FD9E248">
      <w:pPr>
        <w:pStyle w:val="5"/>
        <w:keepNext w:val="0"/>
        <w:keepLines w:val="0"/>
        <w:pageBreakBefore w:val="0"/>
        <w:kinsoku/>
        <w:wordWrap/>
        <w:overflowPunct/>
        <w:topLinePunct w:val="0"/>
        <w:bidi w:val="0"/>
        <w:spacing w:line="360" w:lineRule="auto"/>
        <w:rPr>
          <w:rStyle w:val="17"/>
          <w:rFonts w:hint="eastAsia" w:ascii="宋体" w:hAnsi="宋体" w:cs="宋体"/>
          <w:b w:val="0"/>
          <w:bCs w:val="0"/>
          <w:color w:val="auto"/>
          <w:sz w:val="22"/>
          <w:szCs w:val="22"/>
          <w:highlight w:val="none"/>
          <w:lang w:val="en-US" w:eastAsia="zh-CN" w:bidi="ar-SA"/>
        </w:rPr>
      </w:pPr>
      <w:r>
        <w:rPr>
          <w:rStyle w:val="17"/>
          <w:rFonts w:hint="eastAsia" w:ascii="宋体" w:hAnsi="宋体" w:cs="宋体"/>
          <w:b w:val="0"/>
          <w:bCs w:val="0"/>
          <w:color w:val="auto"/>
          <w:sz w:val="22"/>
          <w:szCs w:val="22"/>
          <w:highlight w:val="none"/>
          <w:lang w:val="en-US" w:eastAsia="zh-CN" w:bidi="ar-SA"/>
        </w:rPr>
        <w:t>2.不符合项目相应资质的供应商报价资料。</w:t>
      </w:r>
    </w:p>
    <w:p w14:paraId="09DB2319">
      <w:pPr>
        <w:pStyle w:val="5"/>
        <w:keepNext w:val="0"/>
        <w:keepLines w:val="0"/>
        <w:pageBreakBefore w:val="0"/>
        <w:kinsoku/>
        <w:wordWrap/>
        <w:overflowPunct/>
        <w:topLinePunct w:val="0"/>
        <w:bidi w:val="0"/>
        <w:spacing w:line="360" w:lineRule="auto"/>
        <w:rPr>
          <w:rStyle w:val="17"/>
          <w:rFonts w:hint="eastAsia" w:ascii="宋体" w:hAnsi="宋体" w:cs="宋体"/>
          <w:b w:val="0"/>
          <w:bCs w:val="0"/>
          <w:color w:val="auto"/>
          <w:sz w:val="22"/>
          <w:szCs w:val="22"/>
          <w:highlight w:val="none"/>
          <w:lang w:val="en-US" w:eastAsia="zh-CN" w:bidi="ar-SA"/>
        </w:rPr>
      </w:pPr>
      <w:r>
        <w:rPr>
          <w:rStyle w:val="17"/>
          <w:rFonts w:hint="eastAsia" w:ascii="宋体" w:hAnsi="宋体" w:cs="宋体"/>
          <w:b w:val="0"/>
          <w:bCs w:val="0"/>
          <w:color w:val="auto"/>
          <w:sz w:val="22"/>
          <w:szCs w:val="22"/>
          <w:highlight w:val="none"/>
          <w:lang w:val="en-US" w:eastAsia="zh-CN" w:bidi="ar-SA"/>
        </w:rPr>
        <w:t>3.不满足报名需求提交资料要求的报价资料。</w:t>
      </w:r>
    </w:p>
    <w:p w14:paraId="2439426D">
      <w:pPr>
        <w:pStyle w:val="5"/>
        <w:keepNext w:val="0"/>
        <w:keepLines w:val="0"/>
        <w:pageBreakBefore w:val="0"/>
        <w:kinsoku/>
        <w:wordWrap/>
        <w:overflowPunct/>
        <w:topLinePunct w:val="0"/>
        <w:bidi w:val="0"/>
        <w:spacing w:line="360" w:lineRule="auto"/>
        <w:rPr>
          <w:rStyle w:val="17"/>
          <w:rFonts w:hint="eastAsia" w:ascii="宋体" w:hAnsi="宋体" w:cs="宋体"/>
          <w:b w:val="0"/>
          <w:bCs w:val="0"/>
          <w:color w:val="auto"/>
          <w:sz w:val="22"/>
          <w:szCs w:val="22"/>
          <w:highlight w:val="none"/>
          <w:lang w:val="en-US" w:eastAsia="zh-CN" w:bidi="ar-SA"/>
        </w:rPr>
      </w:pPr>
      <w:r>
        <w:rPr>
          <w:rStyle w:val="17"/>
          <w:rFonts w:hint="eastAsia" w:ascii="宋体" w:hAnsi="宋体" w:cs="宋体"/>
          <w:b w:val="0"/>
          <w:bCs w:val="0"/>
          <w:color w:val="auto"/>
          <w:sz w:val="22"/>
          <w:szCs w:val="22"/>
          <w:highlight w:val="none"/>
          <w:lang w:val="en-US" w:eastAsia="zh-CN" w:bidi="ar-SA"/>
        </w:rPr>
        <w:t>4.同一供应商重复递交的报价资料。</w:t>
      </w:r>
    </w:p>
    <w:p w14:paraId="035D7786">
      <w:pPr>
        <w:pStyle w:val="5"/>
        <w:keepNext w:val="0"/>
        <w:keepLines w:val="0"/>
        <w:pageBreakBefore w:val="0"/>
        <w:kinsoku/>
        <w:wordWrap/>
        <w:overflowPunct/>
        <w:topLinePunct w:val="0"/>
        <w:bidi w:val="0"/>
        <w:spacing w:line="360" w:lineRule="auto"/>
        <w:rPr>
          <w:rStyle w:val="17"/>
          <w:rFonts w:hint="eastAsia" w:ascii="宋体" w:hAnsi="宋体" w:cs="宋体"/>
          <w:b w:val="0"/>
          <w:bCs w:val="0"/>
          <w:color w:val="auto"/>
          <w:sz w:val="22"/>
          <w:szCs w:val="22"/>
          <w:highlight w:val="none"/>
          <w:lang w:val="en-US" w:eastAsia="zh-CN" w:bidi="ar-SA"/>
        </w:rPr>
      </w:pPr>
      <w:r>
        <w:rPr>
          <w:rStyle w:val="17"/>
          <w:rFonts w:hint="eastAsia" w:ascii="宋体" w:hAnsi="宋体" w:cs="宋体"/>
          <w:b w:val="0"/>
          <w:bCs w:val="0"/>
          <w:color w:val="auto"/>
          <w:sz w:val="22"/>
          <w:szCs w:val="22"/>
          <w:highlight w:val="none"/>
          <w:lang w:val="en-US" w:eastAsia="zh-CN" w:bidi="ar-SA"/>
        </w:rPr>
        <w:t>5.虚假的报价资料。</w:t>
      </w:r>
    </w:p>
    <w:p w14:paraId="664A5B8E">
      <w:pPr>
        <w:pStyle w:val="5"/>
        <w:keepNext w:val="0"/>
        <w:keepLines w:val="0"/>
        <w:pageBreakBefore w:val="0"/>
        <w:kinsoku/>
        <w:wordWrap/>
        <w:overflowPunct/>
        <w:topLinePunct w:val="0"/>
        <w:bidi w:val="0"/>
        <w:spacing w:line="360" w:lineRule="auto"/>
        <w:ind w:left="0" w:leftChars="0" w:firstLine="420" w:firstLineChars="0"/>
        <w:rPr>
          <w:rStyle w:val="17"/>
          <w:rFonts w:hint="eastAsia" w:ascii="宋体" w:hAnsi="宋体" w:cs="宋体"/>
          <w:b/>
          <w:bCs/>
          <w:color w:val="auto"/>
          <w:sz w:val="22"/>
          <w:szCs w:val="22"/>
          <w:highlight w:val="none"/>
          <w:lang w:val="en-US" w:eastAsia="zh-CN" w:bidi="ar-SA"/>
        </w:rPr>
      </w:pPr>
      <w:r>
        <w:rPr>
          <w:rStyle w:val="17"/>
          <w:rFonts w:hint="eastAsia" w:ascii="宋体" w:hAnsi="宋体" w:cs="宋体"/>
          <w:b/>
          <w:bCs/>
          <w:color w:val="auto"/>
          <w:sz w:val="22"/>
          <w:szCs w:val="22"/>
          <w:highlight w:val="none"/>
          <w:lang w:val="en-US" w:eastAsia="zh-CN" w:bidi="ar-SA"/>
        </w:rPr>
        <w:t>五、联系事项：</w:t>
      </w:r>
    </w:p>
    <w:p w14:paraId="18F2F9BC">
      <w:pPr>
        <w:pStyle w:val="5"/>
        <w:keepNext w:val="0"/>
        <w:keepLines w:val="0"/>
        <w:pageBreakBefore w:val="0"/>
        <w:kinsoku/>
        <w:wordWrap/>
        <w:overflowPunct/>
        <w:topLinePunct w:val="0"/>
        <w:bidi w:val="0"/>
        <w:spacing w:line="360" w:lineRule="auto"/>
        <w:rPr>
          <w:rStyle w:val="17"/>
          <w:rFonts w:hint="eastAsia" w:ascii="宋体" w:hAnsi="宋体" w:cs="宋体"/>
          <w:b w:val="0"/>
          <w:bCs w:val="0"/>
          <w:color w:val="auto"/>
          <w:sz w:val="22"/>
          <w:szCs w:val="22"/>
          <w:highlight w:val="none"/>
          <w:lang w:val="en-US" w:eastAsia="zh-CN" w:bidi="ar-SA"/>
        </w:rPr>
      </w:pPr>
      <w:r>
        <w:rPr>
          <w:rStyle w:val="17"/>
          <w:rFonts w:hint="eastAsia" w:ascii="宋体" w:hAnsi="宋体" w:cs="宋体"/>
          <w:b w:val="0"/>
          <w:bCs w:val="0"/>
          <w:color w:val="auto"/>
          <w:sz w:val="22"/>
          <w:szCs w:val="22"/>
          <w:highlight w:val="none"/>
          <w:lang w:val="en-US" w:eastAsia="zh-CN" w:bidi="ar-SA"/>
        </w:rPr>
        <w:t>采购人：化州市妇幼保健院</w:t>
      </w:r>
    </w:p>
    <w:p w14:paraId="3139A132">
      <w:pPr>
        <w:pStyle w:val="5"/>
        <w:keepNext w:val="0"/>
        <w:keepLines w:val="0"/>
        <w:pageBreakBefore w:val="0"/>
        <w:kinsoku/>
        <w:wordWrap/>
        <w:overflowPunct/>
        <w:topLinePunct w:val="0"/>
        <w:bidi w:val="0"/>
        <w:spacing w:line="360" w:lineRule="auto"/>
        <w:rPr>
          <w:rStyle w:val="17"/>
          <w:rFonts w:hint="eastAsia" w:ascii="宋体" w:hAnsi="宋体" w:cs="宋体"/>
          <w:b w:val="0"/>
          <w:bCs w:val="0"/>
          <w:color w:val="auto"/>
          <w:sz w:val="22"/>
          <w:szCs w:val="22"/>
          <w:highlight w:val="none"/>
          <w:lang w:val="en-US" w:eastAsia="zh-CN" w:bidi="ar-SA"/>
        </w:rPr>
      </w:pPr>
      <w:r>
        <w:rPr>
          <w:rStyle w:val="17"/>
          <w:rFonts w:hint="eastAsia" w:ascii="宋体" w:hAnsi="宋体" w:cs="宋体"/>
          <w:b w:val="0"/>
          <w:bCs w:val="0"/>
          <w:color w:val="auto"/>
          <w:sz w:val="22"/>
          <w:szCs w:val="22"/>
          <w:highlight w:val="none"/>
          <w:lang w:val="en-US" w:eastAsia="zh-CN" w:bidi="ar-SA"/>
        </w:rPr>
        <w:t>地址：化州市河西街道办北岸安庆路五横巷1号</w:t>
      </w:r>
    </w:p>
    <w:p w14:paraId="5CB13C23">
      <w:pPr>
        <w:pStyle w:val="5"/>
        <w:keepNext w:val="0"/>
        <w:keepLines w:val="0"/>
        <w:pageBreakBefore w:val="0"/>
        <w:kinsoku/>
        <w:wordWrap/>
        <w:overflowPunct/>
        <w:topLinePunct w:val="0"/>
        <w:bidi w:val="0"/>
        <w:spacing w:line="360" w:lineRule="auto"/>
        <w:rPr>
          <w:rStyle w:val="17"/>
          <w:rFonts w:hint="eastAsia" w:ascii="宋体" w:hAnsi="宋体" w:cs="宋体"/>
          <w:b w:val="0"/>
          <w:bCs w:val="0"/>
          <w:color w:val="auto"/>
          <w:sz w:val="22"/>
          <w:szCs w:val="22"/>
          <w:highlight w:val="none"/>
          <w:lang w:val="en-US" w:eastAsia="zh-CN" w:bidi="ar-SA"/>
        </w:rPr>
      </w:pPr>
      <w:r>
        <w:rPr>
          <w:rStyle w:val="17"/>
          <w:rFonts w:hint="eastAsia" w:ascii="宋体" w:hAnsi="宋体" w:cs="宋体"/>
          <w:b w:val="0"/>
          <w:bCs w:val="0"/>
          <w:color w:val="auto"/>
          <w:sz w:val="22"/>
          <w:szCs w:val="22"/>
          <w:highlight w:val="none"/>
          <w:lang w:val="en-US" w:eastAsia="zh-CN" w:bidi="ar-SA"/>
        </w:rPr>
        <w:t>联系人：李先生</w:t>
      </w:r>
    </w:p>
    <w:p w14:paraId="66F4C7DD">
      <w:pPr>
        <w:pStyle w:val="5"/>
        <w:keepNext w:val="0"/>
        <w:keepLines w:val="0"/>
        <w:pageBreakBefore w:val="0"/>
        <w:kinsoku/>
        <w:wordWrap/>
        <w:overflowPunct/>
        <w:topLinePunct w:val="0"/>
        <w:bidi w:val="0"/>
        <w:spacing w:line="360" w:lineRule="auto"/>
        <w:rPr>
          <w:rStyle w:val="17"/>
          <w:rFonts w:hint="eastAsia" w:ascii="宋体" w:hAnsi="宋体" w:cs="宋体"/>
          <w:b w:val="0"/>
          <w:bCs w:val="0"/>
          <w:color w:val="auto"/>
          <w:sz w:val="22"/>
          <w:szCs w:val="22"/>
          <w:highlight w:val="none"/>
          <w:lang w:val="en-US" w:eastAsia="zh-CN" w:bidi="ar-SA"/>
        </w:rPr>
      </w:pPr>
      <w:r>
        <w:rPr>
          <w:rStyle w:val="17"/>
          <w:rFonts w:hint="eastAsia" w:ascii="宋体" w:hAnsi="宋体" w:cs="宋体"/>
          <w:b w:val="0"/>
          <w:bCs w:val="0"/>
          <w:color w:val="auto"/>
          <w:sz w:val="22"/>
          <w:szCs w:val="22"/>
          <w:highlight w:val="none"/>
          <w:lang w:val="en-US" w:eastAsia="zh-CN" w:bidi="ar-SA"/>
        </w:rPr>
        <w:t>联系电话：0668-7222968</w:t>
      </w:r>
    </w:p>
    <w:bookmarkEnd w:id="41"/>
    <w:p w14:paraId="0EC62A35">
      <w:pPr>
        <w:pStyle w:val="5"/>
        <w:keepNext w:val="0"/>
        <w:keepLines w:val="0"/>
        <w:pageBreakBefore w:val="0"/>
        <w:kinsoku/>
        <w:wordWrap/>
        <w:overflowPunct/>
        <w:topLinePunct w:val="0"/>
        <w:bidi w:val="0"/>
        <w:spacing w:line="360" w:lineRule="auto"/>
        <w:jc w:val="both"/>
        <w:rPr>
          <w:rStyle w:val="17"/>
          <w:rFonts w:hint="eastAsia" w:ascii="宋体" w:hAnsi="宋体" w:cs="宋体"/>
          <w:b w:val="0"/>
          <w:bCs w:val="0"/>
          <w:color w:val="auto"/>
          <w:sz w:val="22"/>
          <w:szCs w:val="22"/>
          <w:highlight w:val="none"/>
          <w:lang w:val="en-US" w:eastAsia="zh-CN" w:bidi="ar-SA"/>
        </w:rPr>
      </w:pPr>
    </w:p>
    <w:p w14:paraId="28270BB7">
      <w:pPr>
        <w:pStyle w:val="5"/>
        <w:keepNext w:val="0"/>
        <w:keepLines w:val="0"/>
        <w:pageBreakBefore w:val="0"/>
        <w:kinsoku/>
        <w:wordWrap/>
        <w:overflowPunct/>
        <w:topLinePunct w:val="0"/>
        <w:bidi w:val="0"/>
        <w:spacing w:line="360" w:lineRule="auto"/>
        <w:jc w:val="both"/>
        <w:rPr>
          <w:rStyle w:val="17"/>
          <w:rFonts w:hint="eastAsia" w:ascii="宋体" w:hAnsi="宋体" w:cs="宋体"/>
          <w:b w:val="0"/>
          <w:bCs w:val="0"/>
          <w:color w:val="auto"/>
          <w:sz w:val="22"/>
          <w:szCs w:val="22"/>
          <w:highlight w:val="none"/>
          <w:lang w:val="en-US" w:eastAsia="zh-CN" w:bidi="ar-SA"/>
        </w:rPr>
      </w:pPr>
    </w:p>
    <w:p w14:paraId="059742BB">
      <w:pPr>
        <w:pStyle w:val="5"/>
        <w:keepNext w:val="0"/>
        <w:keepLines w:val="0"/>
        <w:pageBreakBefore w:val="0"/>
        <w:kinsoku/>
        <w:wordWrap/>
        <w:overflowPunct/>
        <w:topLinePunct w:val="0"/>
        <w:bidi w:val="0"/>
        <w:spacing w:line="360" w:lineRule="auto"/>
        <w:jc w:val="both"/>
        <w:rPr>
          <w:rStyle w:val="17"/>
          <w:rFonts w:hint="default" w:ascii="宋体" w:hAnsi="宋体" w:cs="宋体"/>
          <w:b w:val="0"/>
          <w:bCs w:val="0"/>
          <w:color w:val="auto"/>
          <w:sz w:val="22"/>
          <w:szCs w:val="22"/>
          <w:highlight w:val="none"/>
          <w:lang w:val="en-US" w:eastAsia="zh-CN" w:bidi="ar-SA"/>
        </w:rPr>
      </w:pPr>
    </w:p>
    <w:p w14:paraId="1A34DA07">
      <w:pPr>
        <w:pStyle w:val="5"/>
        <w:keepNext w:val="0"/>
        <w:keepLines w:val="0"/>
        <w:pageBreakBefore w:val="0"/>
        <w:kinsoku/>
        <w:wordWrap/>
        <w:overflowPunct/>
        <w:topLinePunct w:val="0"/>
        <w:bidi w:val="0"/>
        <w:spacing w:line="360" w:lineRule="auto"/>
        <w:jc w:val="right"/>
        <w:rPr>
          <w:rStyle w:val="17"/>
          <w:rFonts w:hint="eastAsia" w:ascii="宋体" w:hAnsi="宋体" w:cs="宋体"/>
          <w:b/>
          <w:bCs/>
          <w:color w:val="auto"/>
          <w:sz w:val="22"/>
          <w:szCs w:val="22"/>
          <w:highlight w:val="none"/>
          <w:lang w:val="en-US" w:eastAsia="zh-CN" w:bidi="ar-SA"/>
        </w:rPr>
      </w:pPr>
      <w:r>
        <w:rPr>
          <w:rStyle w:val="17"/>
          <w:rFonts w:hint="eastAsia" w:ascii="宋体" w:hAnsi="宋体" w:cs="宋体"/>
          <w:b/>
          <w:bCs/>
          <w:color w:val="auto"/>
          <w:sz w:val="22"/>
          <w:szCs w:val="22"/>
          <w:highlight w:val="none"/>
          <w:lang w:val="en-US" w:eastAsia="zh-CN" w:bidi="ar-SA"/>
        </w:rPr>
        <w:t>化州市妇幼保健院</w:t>
      </w:r>
    </w:p>
    <w:p w14:paraId="233D3A65">
      <w:pPr>
        <w:pStyle w:val="5"/>
        <w:keepNext w:val="0"/>
        <w:keepLines w:val="0"/>
        <w:pageBreakBefore w:val="0"/>
        <w:kinsoku/>
        <w:wordWrap/>
        <w:overflowPunct/>
        <w:topLinePunct w:val="0"/>
        <w:bidi w:val="0"/>
        <w:spacing w:line="360" w:lineRule="auto"/>
        <w:jc w:val="right"/>
        <w:rPr>
          <w:rStyle w:val="17"/>
          <w:rFonts w:hint="eastAsia" w:ascii="宋体" w:hAnsi="宋体" w:eastAsia="宋体" w:cs="宋体"/>
          <w:b/>
          <w:bCs/>
          <w:color w:val="auto"/>
          <w:sz w:val="22"/>
          <w:szCs w:val="22"/>
          <w:lang w:val="en-US" w:eastAsia="zh-CN" w:bidi="ar-SA"/>
        </w:rPr>
      </w:pPr>
      <w:r>
        <w:rPr>
          <w:rStyle w:val="17"/>
          <w:rFonts w:hint="eastAsia" w:ascii="宋体" w:hAnsi="宋体" w:cs="宋体"/>
          <w:b/>
          <w:bCs/>
          <w:color w:val="auto"/>
          <w:sz w:val="22"/>
          <w:szCs w:val="22"/>
          <w:highlight w:val="none"/>
          <w:lang w:val="en-US" w:eastAsia="zh-CN" w:bidi="ar-SA"/>
        </w:rPr>
        <w:t> 2026年4月</w:t>
      </w:r>
    </w:p>
    <w:p w14:paraId="79B82F55">
      <w:pPr>
        <w:pStyle w:val="5"/>
        <w:jc w:val="right"/>
        <w:rPr>
          <w:rStyle w:val="17"/>
          <w:rFonts w:hint="eastAsia" w:ascii="宋体" w:hAnsi="宋体" w:eastAsia="宋体" w:cs="宋体"/>
          <w:b/>
          <w:color w:val="auto"/>
          <w:sz w:val="21"/>
          <w:szCs w:val="21"/>
          <w:lang w:val="en-US" w:eastAsia="zh-CN" w:bidi="ar-SA"/>
        </w:rPr>
      </w:pPr>
    </w:p>
    <w:p w14:paraId="15F06EE4">
      <w:pPr>
        <w:keepNext w:val="0"/>
        <w:keepLines w:val="0"/>
        <w:pageBreakBefore w:val="0"/>
        <w:widowControl w:val="0"/>
        <w:kinsoku/>
        <w:wordWrap/>
        <w:overflowPunct/>
        <w:topLinePunct w:val="0"/>
        <w:bidi w:val="0"/>
        <w:spacing w:line="440" w:lineRule="exact"/>
        <w:ind w:firstLine="420" w:firstLineChars="200"/>
        <w:textAlignment w:val="auto"/>
      </w:pPr>
      <w:r>
        <w:br w:type="page"/>
      </w:r>
    </w:p>
    <w:p w14:paraId="3ED3BD83">
      <w:pPr>
        <w:numPr>
          <w:ilvl w:val="0"/>
          <w:numId w:val="2"/>
        </w:numPr>
        <w:jc w:val="center"/>
        <w:rPr>
          <w:rFonts w:hint="eastAsia" w:ascii="方正小标宋简体" w:hAnsi="新宋体" w:eastAsia="方正小标宋简体"/>
          <w:b/>
          <w:color w:val="auto"/>
          <w:kern w:val="0"/>
          <w:sz w:val="44"/>
          <w:szCs w:val="44"/>
          <w:highlight w:val="none"/>
          <w:shd w:val="clear" w:color="auto" w:fill="auto"/>
          <w:lang w:val="en-US" w:eastAsia="zh-CN"/>
        </w:rPr>
      </w:pPr>
      <w:r>
        <w:rPr>
          <w:rFonts w:hint="eastAsia" w:ascii="方正小标宋简体" w:hAnsi="新宋体" w:eastAsia="方正小标宋简体"/>
          <w:b/>
          <w:color w:val="auto"/>
          <w:kern w:val="0"/>
          <w:sz w:val="44"/>
          <w:szCs w:val="44"/>
          <w:highlight w:val="none"/>
          <w:shd w:val="clear" w:color="auto" w:fill="auto"/>
          <w:lang w:val="en-US" w:eastAsia="zh-CN"/>
        </w:rPr>
        <w:t>采购需求</w:t>
      </w:r>
      <w:bookmarkStart w:id="0" w:name="_Toc53389938"/>
      <w:bookmarkStart w:id="1" w:name="_Toc519168975"/>
      <w:bookmarkStart w:id="2" w:name="_Toc52180016"/>
      <w:bookmarkStart w:id="3" w:name="_Toc53389905"/>
      <w:bookmarkStart w:id="4" w:name="_Ref426386018"/>
    </w:p>
    <w:p w14:paraId="2B7BB52E">
      <w:pPr>
        <w:pStyle w:val="2"/>
        <w:keepNext w:val="0"/>
        <w:keepLines w:val="0"/>
        <w:pageBreakBefore w:val="0"/>
        <w:numPr>
          <w:ilvl w:val="0"/>
          <w:numId w:val="0"/>
        </w:numPr>
        <w:tabs>
          <w:tab w:val="clear" w:pos="432"/>
        </w:tabs>
        <w:kinsoku/>
        <w:wordWrap/>
        <w:overflowPunct/>
        <w:topLinePunct w:val="0"/>
        <w:autoSpaceDE/>
        <w:autoSpaceDN/>
        <w:bidi w:val="0"/>
        <w:adjustRightInd/>
        <w:snapToGrid/>
        <w:spacing w:before="312" w:after="312" w:line="360" w:lineRule="exact"/>
        <w:ind w:left="432" w:leftChars="0" w:hanging="432" w:firstLineChars="0"/>
        <w:textAlignment w:val="baseline"/>
        <w:rPr>
          <w:rFonts w:hint="eastAsia" w:ascii="仿宋" w:hAnsi="仿宋" w:eastAsia="仿宋" w:cs="Times New Roman"/>
          <w:b/>
          <w:bCs/>
          <w:kern w:val="44"/>
          <w:sz w:val="36"/>
          <w:szCs w:val="44"/>
          <w:lang w:val="en-US" w:eastAsia="zh-CN" w:bidi="ar-SA"/>
        </w:rPr>
      </w:pPr>
      <w:r>
        <w:rPr>
          <w:rFonts w:hint="eastAsia" w:ascii="仿宋" w:hAnsi="仿宋" w:eastAsia="仿宋" w:cs="Times New Roman"/>
          <w:b/>
          <w:bCs/>
          <w:kern w:val="44"/>
          <w:sz w:val="36"/>
          <w:szCs w:val="44"/>
          <w:lang w:val="en-US" w:eastAsia="zh-CN" w:bidi="ar-SA"/>
        </w:rPr>
        <w:t>1.需求范围说明</w:t>
      </w:r>
      <w:bookmarkEnd w:id="0"/>
      <w:bookmarkEnd w:id="1"/>
      <w:bookmarkEnd w:id="2"/>
      <w:bookmarkEnd w:id="3"/>
      <w:bookmarkEnd w:id="4"/>
    </w:p>
    <w:p w14:paraId="1D37204D">
      <w:pPr>
        <w:pStyle w:val="3"/>
        <w:keepNext w:val="0"/>
        <w:keepLines w:val="0"/>
        <w:pageBreakBefore w:val="0"/>
        <w:tabs>
          <w:tab w:val="left" w:pos="432"/>
          <w:tab w:val="left" w:pos="576"/>
        </w:tabs>
        <w:kinsoku/>
        <w:wordWrap/>
        <w:overflowPunct/>
        <w:topLinePunct w:val="0"/>
        <w:autoSpaceDE/>
        <w:autoSpaceDN/>
        <w:bidi w:val="0"/>
        <w:adjustRightInd/>
        <w:snapToGrid/>
        <w:spacing w:before="312" w:after="156" w:line="360" w:lineRule="exact"/>
        <w:textAlignment w:val="baseline"/>
        <w:rPr>
          <w:rFonts w:ascii="仿宋" w:hAnsi="仿宋" w:eastAsia="仿宋"/>
          <w:sz w:val="28"/>
          <w:szCs w:val="28"/>
        </w:rPr>
      </w:pPr>
      <w:bookmarkStart w:id="5" w:name="_Toc519168976"/>
      <w:bookmarkStart w:id="6" w:name="_Toc53389939"/>
      <w:bookmarkStart w:id="7" w:name="_Toc53389906"/>
      <w:r>
        <w:rPr>
          <w:rFonts w:hint="eastAsia" w:ascii="仿宋" w:hAnsi="仿宋" w:eastAsia="仿宋"/>
          <w:sz w:val="28"/>
          <w:szCs w:val="28"/>
          <w:lang w:val="en-US" w:eastAsia="zh-CN"/>
        </w:rPr>
        <w:t>1.1</w:t>
      </w:r>
      <w:r>
        <w:rPr>
          <w:rFonts w:hint="eastAsia" w:ascii="仿宋" w:hAnsi="仿宋" w:eastAsia="仿宋"/>
          <w:sz w:val="28"/>
          <w:szCs w:val="28"/>
        </w:rPr>
        <w:t>项目</w:t>
      </w:r>
      <w:bookmarkEnd w:id="5"/>
      <w:r>
        <w:rPr>
          <w:rFonts w:hint="eastAsia" w:ascii="仿宋" w:hAnsi="仿宋" w:eastAsia="仿宋"/>
          <w:sz w:val="28"/>
          <w:szCs w:val="28"/>
        </w:rPr>
        <w:t>概述</w:t>
      </w:r>
      <w:bookmarkEnd w:id="6"/>
      <w:bookmarkEnd w:id="7"/>
    </w:p>
    <w:p w14:paraId="28816D1B">
      <w:pPr>
        <w:keepNext w:val="0"/>
        <w:keepLines w:val="0"/>
        <w:pageBreakBefore w:val="0"/>
        <w:widowControl/>
        <w:kinsoku/>
        <w:wordWrap/>
        <w:overflowPunct/>
        <w:topLinePunct w:val="0"/>
        <w:autoSpaceDE/>
        <w:autoSpaceDN/>
        <w:bidi w:val="0"/>
        <w:adjustRightInd/>
        <w:snapToGrid/>
        <w:spacing w:line="360" w:lineRule="exact"/>
        <w:ind w:firstLine="560" w:firstLineChars="200"/>
        <w:jc w:val="left"/>
        <w:textAlignment w:val="baseline"/>
        <w:rPr>
          <w:rFonts w:ascii="仿宋" w:hAnsi="仿宋" w:eastAsia="仿宋" w:cs="仿宋"/>
        </w:rPr>
      </w:pPr>
      <w:bookmarkStart w:id="8" w:name="_Toc53389907"/>
      <w:bookmarkStart w:id="9" w:name="_Toc53389940"/>
      <w:r>
        <w:rPr>
          <w:rFonts w:hint="eastAsia" w:ascii="仿宋" w:hAnsi="仿宋" w:eastAsia="仿宋" w:cs="仿宋"/>
          <w:sz w:val="28"/>
          <w:szCs w:val="28"/>
        </w:rPr>
        <w:t>为了贯彻落实《网络安全法》《医疗卫生机构网络安全管理办法》等法律法规的要求，强化重要信息系统（HIS，PACS,银医通系统）的全流程日志审计能力。重要信息系统（HIS，PACS,银医通系统）已成为支撑业务连续运行的关键。这些系统承载着敏感的业务数据，一旦遭受网络攻击或发生数据泄露，将直接导致业务中断、经济损失和声誉受损。日志审计作为信息安全管理的重要组成部分，能够对系统操作、用户行为和安全事件进行有效记录和分析，从而提升我院对安全事件的响应能力和管理水平。</w:t>
      </w:r>
    </w:p>
    <w:p w14:paraId="7CE60398">
      <w:pPr>
        <w:pStyle w:val="3"/>
        <w:keepNext w:val="0"/>
        <w:keepLines w:val="0"/>
        <w:pageBreakBefore w:val="0"/>
        <w:tabs>
          <w:tab w:val="left" w:pos="432"/>
          <w:tab w:val="left" w:pos="576"/>
        </w:tabs>
        <w:kinsoku/>
        <w:wordWrap/>
        <w:overflowPunct/>
        <w:topLinePunct w:val="0"/>
        <w:autoSpaceDE/>
        <w:autoSpaceDN/>
        <w:bidi w:val="0"/>
        <w:adjustRightInd/>
        <w:snapToGrid/>
        <w:spacing w:before="312" w:after="156" w:line="360" w:lineRule="exact"/>
        <w:textAlignment w:val="baseline"/>
        <w:rPr>
          <w:rFonts w:ascii="仿宋" w:hAnsi="仿宋" w:eastAsia="仿宋"/>
          <w:sz w:val="28"/>
          <w:szCs w:val="28"/>
        </w:rPr>
      </w:pPr>
      <w:r>
        <w:rPr>
          <w:rFonts w:hint="eastAsia" w:ascii="仿宋" w:hAnsi="仿宋" w:eastAsia="仿宋"/>
          <w:sz w:val="28"/>
          <w:szCs w:val="28"/>
          <w:lang w:val="en-US" w:eastAsia="zh-CN"/>
        </w:rPr>
        <w:t>1.2</w:t>
      </w:r>
      <w:r>
        <w:rPr>
          <w:rFonts w:hint="eastAsia" w:ascii="仿宋" w:hAnsi="仿宋" w:eastAsia="仿宋"/>
          <w:sz w:val="28"/>
          <w:szCs w:val="28"/>
        </w:rPr>
        <w:t>项目目</w:t>
      </w:r>
      <w:r>
        <w:rPr>
          <w:rFonts w:ascii="仿宋" w:hAnsi="仿宋" w:eastAsia="仿宋"/>
          <w:sz w:val="28"/>
          <w:szCs w:val="28"/>
        </w:rPr>
        <w:t>标</w:t>
      </w:r>
      <w:bookmarkEnd w:id="8"/>
      <w:bookmarkEnd w:id="9"/>
    </w:p>
    <w:p w14:paraId="316249FC">
      <w:pPr>
        <w:keepNext w:val="0"/>
        <w:keepLines w:val="0"/>
        <w:pageBreakBefore w:val="0"/>
        <w:widowControl/>
        <w:kinsoku/>
        <w:wordWrap/>
        <w:overflowPunct/>
        <w:topLinePunct w:val="0"/>
        <w:autoSpaceDE/>
        <w:autoSpaceDN/>
        <w:bidi w:val="0"/>
        <w:adjustRightInd/>
        <w:snapToGrid/>
        <w:spacing w:line="360" w:lineRule="exact"/>
        <w:ind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旨在建立一套集中化、智能化、合规化的日志审计体系，实现：</w:t>
      </w:r>
    </w:p>
    <w:p w14:paraId="7FA0F9E0">
      <w:pPr>
        <w:keepNext w:val="0"/>
        <w:keepLines w:val="0"/>
        <w:pageBreakBefore w:val="0"/>
        <w:widowControl/>
        <w:kinsoku/>
        <w:wordWrap/>
        <w:overflowPunct/>
        <w:topLinePunct w:val="0"/>
        <w:autoSpaceDE/>
        <w:autoSpaceDN/>
        <w:bidi w:val="0"/>
        <w:adjustRightInd/>
        <w:snapToGrid/>
        <w:spacing w:line="360" w:lineRule="exact"/>
        <w:ind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1.集中归集：统一收集、存储各类设备与系统的日志，打破信息孤岛。</w:t>
      </w:r>
    </w:p>
    <w:p w14:paraId="3064E5C1">
      <w:pPr>
        <w:keepNext w:val="0"/>
        <w:keepLines w:val="0"/>
        <w:pageBreakBefore w:val="0"/>
        <w:widowControl/>
        <w:kinsoku/>
        <w:wordWrap/>
        <w:overflowPunct/>
        <w:topLinePunct w:val="0"/>
        <w:autoSpaceDE/>
        <w:autoSpaceDN/>
        <w:bidi w:val="0"/>
        <w:adjustRightInd/>
        <w:snapToGrid/>
        <w:spacing w:line="360" w:lineRule="exact"/>
        <w:ind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2.实时监控：对日志进行实时分析，快速发现异常行为与安全威胁。</w:t>
      </w:r>
    </w:p>
    <w:p w14:paraId="7B30E7A3">
      <w:pPr>
        <w:keepNext w:val="0"/>
        <w:keepLines w:val="0"/>
        <w:pageBreakBefore w:val="0"/>
        <w:widowControl/>
        <w:kinsoku/>
        <w:wordWrap/>
        <w:overflowPunct/>
        <w:topLinePunct w:val="0"/>
        <w:autoSpaceDE/>
        <w:autoSpaceDN/>
        <w:bidi w:val="0"/>
        <w:adjustRightInd/>
        <w:snapToGrid/>
        <w:spacing w:line="360" w:lineRule="exact"/>
        <w:ind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3.智能分析：通过规则引擎与机器学习，提升威胁检测的准确性与效率。</w:t>
      </w:r>
    </w:p>
    <w:p w14:paraId="3D545F73">
      <w:pPr>
        <w:keepNext w:val="0"/>
        <w:keepLines w:val="0"/>
        <w:pageBreakBefore w:val="0"/>
        <w:widowControl/>
        <w:kinsoku/>
        <w:wordWrap/>
        <w:overflowPunct/>
        <w:topLinePunct w:val="0"/>
        <w:autoSpaceDE/>
        <w:autoSpaceDN/>
        <w:bidi w:val="0"/>
        <w:adjustRightInd/>
        <w:snapToGrid/>
        <w:spacing w:line="360" w:lineRule="exact"/>
        <w:ind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4.合规保障：满足等保、行业监管对日志留存与审计的合规要求。</w:t>
      </w:r>
    </w:p>
    <w:p w14:paraId="32BE31D3">
      <w:pPr>
        <w:keepNext w:val="0"/>
        <w:keepLines w:val="0"/>
        <w:pageBreakBefore w:val="0"/>
        <w:widowControl/>
        <w:kinsoku/>
        <w:wordWrap/>
        <w:overflowPunct/>
        <w:topLinePunct w:val="0"/>
        <w:autoSpaceDE/>
        <w:autoSpaceDN/>
        <w:bidi w:val="0"/>
        <w:adjustRightInd/>
        <w:snapToGrid/>
        <w:spacing w:line="360" w:lineRule="exact"/>
        <w:ind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5.快速溯源：支持多维度查询与关联分析，实现安全事件的快速定位与回溯。</w:t>
      </w:r>
    </w:p>
    <w:p w14:paraId="3475FA4F">
      <w:pPr>
        <w:pStyle w:val="2"/>
        <w:keepNext w:val="0"/>
        <w:keepLines w:val="0"/>
        <w:pageBreakBefore w:val="0"/>
        <w:numPr>
          <w:ilvl w:val="0"/>
          <w:numId w:val="0"/>
        </w:numPr>
        <w:tabs>
          <w:tab w:val="clear" w:pos="432"/>
        </w:tabs>
        <w:kinsoku/>
        <w:wordWrap/>
        <w:overflowPunct/>
        <w:topLinePunct w:val="0"/>
        <w:autoSpaceDE/>
        <w:autoSpaceDN/>
        <w:bidi w:val="0"/>
        <w:adjustRightInd/>
        <w:snapToGrid/>
        <w:spacing w:before="312" w:after="312" w:line="360" w:lineRule="exact"/>
        <w:ind w:left="432" w:leftChars="0" w:hanging="432" w:firstLineChars="0"/>
        <w:textAlignment w:val="baseline"/>
        <w:rPr>
          <w:rFonts w:ascii="仿宋" w:hAnsi="仿宋" w:eastAsia="仿宋"/>
        </w:rPr>
      </w:pPr>
      <w:bookmarkStart w:id="10" w:name="_Toc53389916"/>
      <w:bookmarkStart w:id="11" w:name="_Toc53389949"/>
      <w:r>
        <w:rPr>
          <w:rFonts w:hint="eastAsia" w:ascii="仿宋" w:hAnsi="仿宋" w:eastAsia="仿宋" w:cs="Times New Roman"/>
          <w:b/>
          <w:bCs/>
          <w:kern w:val="44"/>
          <w:sz w:val="36"/>
          <w:szCs w:val="44"/>
          <w:lang w:val="en-US" w:eastAsia="zh-CN" w:bidi="ar-SA"/>
        </w:rPr>
        <w:t>2.</w:t>
      </w:r>
      <w:r>
        <w:rPr>
          <w:rFonts w:hint="eastAsia" w:ascii="仿宋" w:hAnsi="仿宋" w:eastAsia="仿宋"/>
        </w:rPr>
        <w:t>服务内容与实施要求</w:t>
      </w:r>
      <w:bookmarkEnd w:id="10"/>
      <w:bookmarkEnd w:id="11"/>
    </w:p>
    <w:p w14:paraId="7754870E">
      <w:pPr>
        <w:pStyle w:val="3"/>
        <w:keepNext w:val="0"/>
        <w:keepLines w:val="0"/>
        <w:pageBreakBefore w:val="0"/>
        <w:tabs>
          <w:tab w:val="left" w:pos="432"/>
          <w:tab w:val="left" w:pos="576"/>
        </w:tabs>
        <w:kinsoku/>
        <w:wordWrap/>
        <w:overflowPunct/>
        <w:topLinePunct w:val="0"/>
        <w:autoSpaceDE/>
        <w:autoSpaceDN/>
        <w:bidi w:val="0"/>
        <w:adjustRightInd/>
        <w:snapToGrid/>
        <w:spacing w:before="312" w:after="156" w:line="360" w:lineRule="exact"/>
        <w:textAlignment w:val="baseline"/>
        <w:rPr>
          <w:rFonts w:ascii="仿宋" w:hAnsi="仿宋" w:eastAsia="仿宋"/>
          <w:sz w:val="28"/>
          <w:szCs w:val="28"/>
        </w:rPr>
      </w:pPr>
      <w:r>
        <w:rPr>
          <w:rFonts w:hint="eastAsia" w:ascii="仿宋" w:hAnsi="仿宋" w:eastAsia="仿宋"/>
          <w:sz w:val="28"/>
          <w:szCs w:val="28"/>
          <w:lang w:val="en-US" w:eastAsia="zh-CN"/>
        </w:rPr>
        <w:t>2.1</w:t>
      </w:r>
      <w:r>
        <w:rPr>
          <w:rFonts w:hint="eastAsia" w:ascii="仿宋" w:hAnsi="仿宋" w:eastAsia="仿宋"/>
          <w:sz w:val="28"/>
          <w:szCs w:val="28"/>
        </w:rPr>
        <w:t>服务标准规范</w:t>
      </w:r>
    </w:p>
    <w:p w14:paraId="01792179">
      <w:pPr>
        <w:keepNext w:val="0"/>
        <w:keepLines w:val="0"/>
        <w:pageBreakBefore w:val="0"/>
        <w:kinsoku/>
        <w:wordWrap/>
        <w:overflowPunct/>
        <w:topLinePunct w:val="0"/>
        <w:autoSpaceDE/>
        <w:autoSpaceDN/>
        <w:bidi w:val="0"/>
        <w:adjustRightInd/>
        <w:snapToGrid/>
        <w:spacing w:line="360" w:lineRule="exact"/>
        <w:ind w:left="420" w:leftChars="200"/>
        <w:textAlignment w:val="baseline"/>
        <w:rPr>
          <w:rFonts w:ascii="GWZT-EN" w:hAnsi="仿宋" w:eastAsia="仿宋" w:cs="仿宋"/>
          <w:sz w:val="28"/>
          <w:szCs w:val="28"/>
        </w:rPr>
      </w:pPr>
      <w:r>
        <w:rPr>
          <w:rFonts w:hint="eastAsia" w:ascii="GWZT-EN" w:hAnsi="仿宋" w:eastAsia="仿宋" w:cs="仿宋"/>
          <w:sz w:val="28"/>
          <w:szCs w:val="28"/>
        </w:rPr>
        <w:t>按照国家颁布的</w:t>
      </w:r>
      <w:r>
        <w:rPr>
          <w:rFonts w:ascii="仿宋" w:hAnsi="仿宋" w:eastAsia="仿宋" w:cs="仿宋"/>
          <w:sz w:val="28"/>
          <w:szCs w:val="28"/>
        </w:rPr>
        <w:t xml:space="preserve">《中华人民共和国网络安全法》 </w:t>
      </w:r>
      <w:r>
        <w:rPr>
          <w:rFonts w:hint="eastAsia" w:ascii="仿宋" w:hAnsi="仿宋" w:eastAsia="仿宋" w:cs="仿宋"/>
          <w:sz w:val="28"/>
          <w:szCs w:val="28"/>
        </w:rPr>
        <w:t>、</w:t>
      </w:r>
      <w:r>
        <w:rPr>
          <w:rFonts w:ascii="仿宋" w:hAnsi="仿宋" w:eastAsia="仿宋" w:cs="仿宋"/>
          <w:sz w:val="28"/>
          <w:szCs w:val="28"/>
        </w:rPr>
        <w:t>《中华人民共和国</w:t>
      </w:r>
      <w:r>
        <w:rPr>
          <w:rFonts w:hint="eastAsia" w:ascii="仿宋" w:hAnsi="仿宋" w:eastAsia="仿宋" w:cs="仿宋"/>
          <w:sz w:val="28"/>
          <w:szCs w:val="28"/>
        </w:rPr>
        <w:t>个人信息保护</w:t>
      </w:r>
      <w:r>
        <w:rPr>
          <w:rFonts w:ascii="仿宋" w:hAnsi="仿宋" w:eastAsia="仿宋" w:cs="仿宋"/>
          <w:sz w:val="28"/>
          <w:szCs w:val="28"/>
        </w:rPr>
        <w:t xml:space="preserve">法》 </w:t>
      </w:r>
      <w:r>
        <w:rPr>
          <w:rFonts w:hint="eastAsia" w:ascii="GWZT-EN" w:hAnsi="仿宋" w:eastAsia="仿宋" w:cs="仿宋"/>
          <w:sz w:val="28"/>
          <w:szCs w:val="28"/>
        </w:rPr>
        <w:t>等相关文件和办法的要求予以实施，具体包含但不限于标准如下：</w:t>
      </w:r>
    </w:p>
    <w:p w14:paraId="26A2563B">
      <w:pPr>
        <w:keepNext w:val="0"/>
        <w:keepLines w:val="0"/>
        <w:pageBreakBefore w:val="0"/>
        <w:kinsoku/>
        <w:wordWrap/>
        <w:overflowPunct/>
        <w:topLinePunct w:val="0"/>
        <w:autoSpaceDE/>
        <w:autoSpaceDN/>
        <w:bidi w:val="0"/>
        <w:adjustRightInd/>
        <w:snapToGrid/>
        <w:spacing w:line="360" w:lineRule="exact"/>
        <w:ind w:firstLine="420"/>
        <w:jc w:val="left"/>
        <w:textAlignment w:val="baseline"/>
        <w:rPr>
          <w:rFonts w:ascii="仿宋" w:hAnsi="仿宋" w:eastAsia="仿宋"/>
          <w:sz w:val="28"/>
          <w:szCs w:val="28"/>
        </w:rPr>
      </w:pPr>
      <w:r>
        <w:rPr>
          <w:rFonts w:hint="eastAsia" w:ascii="仿宋" w:hAnsi="仿宋" w:eastAsia="仿宋" w:cs="仿宋"/>
          <w:sz w:val="28"/>
          <w:szCs w:val="28"/>
        </w:rPr>
        <w:t>（</w:t>
      </w:r>
      <w:r>
        <w:rPr>
          <w:rFonts w:ascii="仿宋" w:hAnsi="仿宋" w:eastAsia="仿宋" w:cs="仿宋"/>
          <w:sz w:val="28"/>
          <w:szCs w:val="28"/>
        </w:rPr>
        <w:t>1</w:t>
      </w:r>
      <w:r>
        <w:rPr>
          <w:rFonts w:hint="eastAsia" w:ascii="仿宋" w:hAnsi="仿宋" w:eastAsia="仿宋" w:cs="仿宋"/>
          <w:sz w:val="28"/>
          <w:szCs w:val="28"/>
        </w:rPr>
        <w:t>）《信息安全技术</w:t>
      </w:r>
      <w:r>
        <w:rPr>
          <w:rFonts w:ascii="仿宋" w:hAnsi="仿宋" w:eastAsia="仿宋" w:cs="仿宋"/>
          <w:sz w:val="28"/>
          <w:szCs w:val="28"/>
        </w:rPr>
        <w:t xml:space="preserve"> </w:t>
      </w:r>
      <w:r>
        <w:rPr>
          <w:rFonts w:hint="eastAsia" w:ascii="仿宋" w:hAnsi="仿宋" w:eastAsia="仿宋" w:cs="仿宋"/>
          <w:sz w:val="28"/>
          <w:szCs w:val="28"/>
        </w:rPr>
        <w:t>网络安全等级保护基本要求》</w:t>
      </w:r>
      <w:r>
        <w:rPr>
          <w:rFonts w:ascii="仿宋" w:hAnsi="仿宋" w:eastAsia="仿宋" w:cs="仿宋"/>
          <w:sz w:val="28"/>
          <w:szCs w:val="28"/>
        </w:rPr>
        <w:t xml:space="preserve"> </w:t>
      </w:r>
      <w:r>
        <w:rPr>
          <w:rFonts w:hint="eastAsia" w:ascii="仿宋" w:hAnsi="仿宋" w:eastAsia="仿宋" w:cs="仿宋"/>
          <w:sz w:val="28"/>
          <w:szCs w:val="28"/>
        </w:rPr>
        <w:t>（</w:t>
      </w:r>
      <w:r>
        <w:rPr>
          <w:rFonts w:ascii="仿宋" w:hAnsi="仿宋" w:eastAsia="仿宋" w:cs="仿宋"/>
          <w:sz w:val="28"/>
          <w:szCs w:val="28"/>
        </w:rPr>
        <w:t>GBT22239-2019</w:t>
      </w:r>
      <w:r>
        <w:rPr>
          <w:rFonts w:hint="eastAsia" w:ascii="仿宋" w:hAnsi="仿宋" w:eastAsia="仿宋" w:cs="仿宋"/>
          <w:sz w:val="28"/>
          <w:szCs w:val="28"/>
        </w:rPr>
        <w:t>）</w:t>
      </w:r>
    </w:p>
    <w:p w14:paraId="0CD76F78">
      <w:pPr>
        <w:keepNext w:val="0"/>
        <w:keepLines w:val="0"/>
        <w:pageBreakBefore w:val="0"/>
        <w:kinsoku/>
        <w:wordWrap/>
        <w:overflowPunct/>
        <w:topLinePunct w:val="0"/>
        <w:autoSpaceDE/>
        <w:autoSpaceDN/>
        <w:bidi w:val="0"/>
        <w:adjustRightInd/>
        <w:snapToGrid/>
        <w:spacing w:line="360" w:lineRule="exact"/>
        <w:ind w:firstLine="420"/>
        <w:jc w:val="left"/>
        <w:textAlignment w:val="baseline"/>
        <w:rPr>
          <w:rFonts w:ascii="仿宋" w:hAnsi="仿宋" w:eastAsia="仿宋"/>
          <w:sz w:val="28"/>
          <w:szCs w:val="28"/>
        </w:rPr>
      </w:pPr>
      <w:r>
        <w:rPr>
          <w:rFonts w:hint="eastAsia" w:ascii="仿宋" w:hAnsi="仿宋" w:eastAsia="仿宋" w:cs="仿宋"/>
          <w:sz w:val="28"/>
          <w:szCs w:val="28"/>
        </w:rPr>
        <w:t>（</w:t>
      </w:r>
      <w:r>
        <w:rPr>
          <w:rFonts w:ascii="仿宋" w:hAnsi="仿宋" w:eastAsia="仿宋" w:cs="仿宋"/>
          <w:sz w:val="28"/>
          <w:szCs w:val="28"/>
        </w:rPr>
        <w:t>2</w:t>
      </w:r>
      <w:r>
        <w:rPr>
          <w:rFonts w:hint="eastAsia" w:ascii="仿宋" w:hAnsi="仿宋" w:eastAsia="仿宋" w:cs="仿宋"/>
          <w:sz w:val="28"/>
          <w:szCs w:val="28"/>
        </w:rPr>
        <w:t>）《信息安全技术</w:t>
      </w:r>
      <w:r>
        <w:rPr>
          <w:rFonts w:ascii="仿宋" w:hAnsi="仿宋" w:eastAsia="仿宋" w:cs="仿宋"/>
          <w:sz w:val="28"/>
          <w:szCs w:val="28"/>
        </w:rPr>
        <w:t xml:space="preserve"> </w:t>
      </w:r>
      <w:r>
        <w:rPr>
          <w:rFonts w:hint="eastAsia" w:ascii="仿宋" w:hAnsi="仿宋" w:eastAsia="仿宋" w:cs="仿宋"/>
          <w:sz w:val="28"/>
          <w:szCs w:val="28"/>
        </w:rPr>
        <w:t>网络安全等级保护安全设计技术要求》</w:t>
      </w:r>
      <w:r>
        <w:rPr>
          <w:rFonts w:ascii="仿宋" w:hAnsi="仿宋" w:eastAsia="仿宋" w:cs="仿宋"/>
          <w:sz w:val="28"/>
          <w:szCs w:val="28"/>
        </w:rPr>
        <w:t xml:space="preserve"> </w:t>
      </w:r>
      <w:r>
        <w:rPr>
          <w:rFonts w:hint="eastAsia" w:ascii="仿宋" w:hAnsi="仿宋" w:eastAsia="仿宋" w:cs="仿宋"/>
          <w:sz w:val="28"/>
          <w:szCs w:val="28"/>
        </w:rPr>
        <w:t>（</w:t>
      </w:r>
      <w:r>
        <w:rPr>
          <w:rFonts w:ascii="仿宋" w:hAnsi="仿宋" w:eastAsia="仿宋" w:cs="仿宋"/>
          <w:sz w:val="28"/>
          <w:szCs w:val="28"/>
        </w:rPr>
        <w:t>GBT25070-2019</w:t>
      </w:r>
      <w:r>
        <w:rPr>
          <w:rFonts w:hint="eastAsia" w:ascii="仿宋" w:hAnsi="仿宋" w:eastAsia="仿宋" w:cs="仿宋"/>
          <w:sz w:val="28"/>
          <w:szCs w:val="28"/>
        </w:rPr>
        <w:t>）</w:t>
      </w:r>
    </w:p>
    <w:p w14:paraId="6188BDA6">
      <w:pPr>
        <w:keepNext w:val="0"/>
        <w:keepLines w:val="0"/>
        <w:pageBreakBefore w:val="0"/>
        <w:kinsoku/>
        <w:wordWrap/>
        <w:overflowPunct/>
        <w:topLinePunct w:val="0"/>
        <w:autoSpaceDE/>
        <w:autoSpaceDN/>
        <w:bidi w:val="0"/>
        <w:adjustRightInd/>
        <w:snapToGrid/>
        <w:spacing w:line="360" w:lineRule="exact"/>
        <w:ind w:firstLine="420"/>
        <w:jc w:val="left"/>
        <w:textAlignment w:val="baseline"/>
        <w:rPr>
          <w:rFonts w:ascii="仿宋" w:hAnsi="仿宋" w:eastAsia="仿宋" w:cs="仿宋"/>
          <w:sz w:val="28"/>
          <w:szCs w:val="28"/>
        </w:rPr>
      </w:pPr>
      <w:r>
        <w:rPr>
          <w:rFonts w:hint="eastAsia" w:ascii="仿宋" w:hAnsi="仿宋" w:eastAsia="仿宋" w:cs="仿宋"/>
          <w:sz w:val="28"/>
          <w:szCs w:val="28"/>
        </w:rPr>
        <w:t>（</w:t>
      </w:r>
      <w:r>
        <w:rPr>
          <w:rFonts w:ascii="仿宋" w:hAnsi="仿宋" w:eastAsia="仿宋" w:cs="仿宋"/>
          <w:sz w:val="28"/>
          <w:szCs w:val="28"/>
        </w:rPr>
        <w:t>3</w:t>
      </w:r>
      <w:r>
        <w:rPr>
          <w:rFonts w:hint="eastAsia" w:ascii="仿宋" w:hAnsi="仿宋" w:eastAsia="仿宋" w:cs="仿宋"/>
          <w:sz w:val="28"/>
          <w:szCs w:val="28"/>
        </w:rPr>
        <w:t>）《网络安全等级保护测评要求》</w:t>
      </w:r>
      <w:r>
        <w:rPr>
          <w:rFonts w:ascii="仿宋" w:hAnsi="仿宋" w:eastAsia="仿宋" w:cs="仿宋"/>
          <w:sz w:val="28"/>
          <w:szCs w:val="28"/>
        </w:rPr>
        <w:t xml:space="preserve"> </w:t>
      </w:r>
      <w:r>
        <w:rPr>
          <w:rFonts w:hint="eastAsia" w:ascii="仿宋" w:hAnsi="仿宋" w:eastAsia="仿宋" w:cs="仿宋"/>
          <w:sz w:val="28"/>
          <w:szCs w:val="28"/>
        </w:rPr>
        <w:t>（</w:t>
      </w:r>
      <w:r>
        <w:rPr>
          <w:rFonts w:ascii="仿宋" w:hAnsi="仿宋" w:eastAsia="仿宋" w:cs="仿宋"/>
          <w:sz w:val="28"/>
          <w:szCs w:val="28"/>
        </w:rPr>
        <w:t>GB/T 28448-2019</w:t>
      </w:r>
      <w:r>
        <w:rPr>
          <w:rFonts w:hint="eastAsia" w:ascii="仿宋" w:hAnsi="仿宋" w:eastAsia="仿宋" w:cs="仿宋"/>
          <w:sz w:val="28"/>
          <w:szCs w:val="28"/>
        </w:rPr>
        <w:t>）</w:t>
      </w:r>
    </w:p>
    <w:p w14:paraId="070F8CA0">
      <w:pPr>
        <w:keepNext w:val="0"/>
        <w:keepLines w:val="0"/>
        <w:pageBreakBefore w:val="0"/>
        <w:kinsoku/>
        <w:wordWrap/>
        <w:overflowPunct/>
        <w:topLinePunct w:val="0"/>
        <w:autoSpaceDE/>
        <w:autoSpaceDN/>
        <w:bidi w:val="0"/>
        <w:adjustRightInd/>
        <w:snapToGrid/>
        <w:spacing w:line="360" w:lineRule="exact"/>
        <w:ind w:firstLine="420"/>
        <w:jc w:val="left"/>
        <w:textAlignment w:val="baseline"/>
        <w:rPr>
          <w:rFonts w:ascii="仿宋" w:hAnsi="仿宋" w:eastAsia="仿宋" w:cs="仿宋"/>
          <w:sz w:val="28"/>
          <w:szCs w:val="28"/>
        </w:rPr>
      </w:pPr>
      <w:r>
        <w:rPr>
          <w:rFonts w:hint="eastAsia" w:ascii="仿宋" w:hAnsi="仿宋" w:eastAsia="仿宋" w:cs="仿宋"/>
          <w:sz w:val="28"/>
          <w:szCs w:val="28"/>
        </w:rPr>
        <w:t>（4）</w:t>
      </w:r>
      <w:r>
        <w:rPr>
          <w:rFonts w:ascii="仿宋" w:hAnsi="仿宋" w:eastAsia="仿宋" w:cs="仿宋"/>
          <w:sz w:val="28"/>
          <w:szCs w:val="28"/>
        </w:rPr>
        <w:t xml:space="preserve">《中华人民共和国网络安全法》 </w:t>
      </w:r>
    </w:p>
    <w:p w14:paraId="6584ECA5">
      <w:pPr>
        <w:keepNext w:val="0"/>
        <w:keepLines w:val="0"/>
        <w:pageBreakBefore w:val="0"/>
        <w:kinsoku/>
        <w:wordWrap/>
        <w:overflowPunct/>
        <w:topLinePunct w:val="0"/>
        <w:autoSpaceDE/>
        <w:autoSpaceDN/>
        <w:bidi w:val="0"/>
        <w:adjustRightInd/>
        <w:snapToGrid/>
        <w:spacing w:line="360" w:lineRule="exact"/>
        <w:ind w:firstLine="420"/>
        <w:jc w:val="left"/>
        <w:textAlignment w:val="baseline"/>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《中华人民共和国</w:t>
      </w:r>
      <w:r>
        <w:rPr>
          <w:rFonts w:hint="eastAsia" w:ascii="仿宋" w:hAnsi="仿宋" w:eastAsia="仿宋" w:cs="仿宋"/>
          <w:sz w:val="28"/>
          <w:szCs w:val="28"/>
        </w:rPr>
        <w:t>个人信息保护</w:t>
      </w:r>
      <w:r>
        <w:rPr>
          <w:rFonts w:ascii="仿宋" w:hAnsi="仿宋" w:eastAsia="仿宋" w:cs="仿宋"/>
          <w:sz w:val="28"/>
          <w:szCs w:val="28"/>
        </w:rPr>
        <w:t>法》</w:t>
      </w:r>
    </w:p>
    <w:p w14:paraId="7666CA92">
      <w:pPr>
        <w:pStyle w:val="3"/>
        <w:keepNext w:val="0"/>
        <w:keepLines w:val="0"/>
        <w:pageBreakBefore w:val="0"/>
        <w:tabs>
          <w:tab w:val="left" w:pos="432"/>
          <w:tab w:val="left" w:pos="576"/>
        </w:tabs>
        <w:kinsoku/>
        <w:wordWrap/>
        <w:overflowPunct/>
        <w:topLinePunct w:val="0"/>
        <w:autoSpaceDE/>
        <w:autoSpaceDN/>
        <w:bidi w:val="0"/>
        <w:adjustRightInd/>
        <w:snapToGrid/>
        <w:spacing w:before="312" w:after="156" w:line="360" w:lineRule="exact"/>
        <w:textAlignment w:val="baseline"/>
        <w:rPr>
          <w:rFonts w:ascii="仿宋" w:hAnsi="仿宋" w:eastAsia="仿宋"/>
        </w:rPr>
      </w:pPr>
      <w:r>
        <w:rPr>
          <w:rFonts w:hint="eastAsia" w:ascii="仿宋" w:hAnsi="仿宋" w:eastAsia="仿宋"/>
          <w:lang w:val="en-US" w:eastAsia="zh-CN"/>
        </w:rPr>
        <w:t>2.2</w:t>
      </w:r>
      <w:r>
        <w:rPr>
          <w:rFonts w:hint="eastAsia" w:ascii="仿宋" w:hAnsi="仿宋" w:eastAsia="仿宋"/>
        </w:rPr>
        <w:t>服务对象</w:t>
      </w:r>
    </w:p>
    <w:tbl>
      <w:tblPr>
        <w:tblStyle w:val="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5"/>
        <w:gridCol w:w="7032"/>
      </w:tblGrid>
      <w:tr w14:paraId="6BBE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1258" w:type="pct"/>
            <w:shd w:val="clear" w:color="auto" w:fill="auto"/>
            <w:noWrap/>
            <w:vAlign w:val="center"/>
          </w:tcPr>
          <w:p w14:paraId="713324E9">
            <w:pPr>
              <w:keepNext w:val="0"/>
              <w:keepLines w:val="0"/>
              <w:pageBreakBefore w:val="0"/>
              <w:kinsoku/>
              <w:wordWrap/>
              <w:overflowPunct/>
              <w:topLinePunct w:val="0"/>
              <w:autoSpaceDE/>
              <w:autoSpaceDN/>
              <w:bidi w:val="0"/>
              <w:adjustRightInd/>
              <w:snapToGrid/>
              <w:spacing w:line="360" w:lineRule="exact"/>
              <w:jc w:val="center"/>
              <w:textAlignment w:val="baseline"/>
              <w:rPr>
                <w:rFonts w:ascii="仿宋" w:hAnsi="仿宋" w:eastAsia="仿宋"/>
                <w:sz w:val="28"/>
                <w:szCs w:val="28"/>
              </w:rPr>
            </w:pPr>
            <w:r>
              <w:rPr>
                <w:rFonts w:hint="eastAsia" w:ascii="仿宋" w:hAnsi="仿宋" w:eastAsia="仿宋"/>
                <w:sz w:val="28"/>
                <w:szCs w:val="28"/>
              </w:rPr>
              <w:t>序号</w:t>
            </w:r>
          </w:p>
        </w:tc>
        <w:tc>
          <w:tcPr>
            <w:tcW w:w="3741" w:type="pct"/>
            <w:shd w:val="clear" w:color="auto" w:fill="auto"/>
            <w:noWrap/>
            <w:vAlign w:val="center"/>
          </w:tcPr>
          <w:p w14:paraId="2F5E4DC1">
            <w:pPr>
              <w:keepNext w:val="0"/>
              <w:keepLines w:val="0"/>
              <w:pageBreakBefore w:val="0"/>
              <w:kinsoku/>
              <w:wordWrap/>
              <w:overflowPunct/>
              <w:topLinePunct w:val="0"/>
              <w:autoSpaceDE/>
              <w:autoSpaceDN/>
              <w:bidi w:val="0"/>
              <w:adjustRightInd/>
              <w:snapToGrid/>
              <w:spacing w:line="360" w:lineRule="exact"/>
              <w:jc w:val="center"/>
              <w:textAlignment w:val="baseline"/>
              <w:rPr>
                <w:rFonts w:ascii="仿宋" w:hAnsi="仿宋" w:eastAsia="仿宋"/>
                <w:sz w:val="28"/>
                <w:szCs w:val="28"/>
              </w:rPr>
            </w:pPr>
            <w:r>
              <w:rPr>
                <w:rFonts w:hint="eastAsia" w:ascii="仿宋" w:hAnsi="仿宋" w:eastAsia="仿宋"/>
                <w:sz w:val="28"/>
                <w:szCs w:val="28"/>
              </w:rPr>
              <w:t>服务对象</w:t>
            </w:r>
          </w:p>
        </w:tc>
      </w:tr>
      <w:tr w14:paraId="7E6D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58" w:type="pct"/>
            <w:shd w:val="clear" w:color="auto" w:fill="auto"/>
            <w:noWrap/>
            <w:vAlign w:val="center"/>
          </w:tcPr>
          <w:p w14:paraId="5E8D17CC">
            <w:pPr>
              <w:pStyle w:val="2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baseline"/>
              <w:rPr>
                <w:rFonts w:ascii="仿宋" w:hAnsi="仿宋" w:eastAsia="仿宋" w:cs="Times New Roman"/>
                <w:sz w:val="28"/>
                <w:szCs w:val="28"/>
              </w:rPr>
            </w:pPr>
            <w:r>
              <w:rPr>
                <w:rFonts w:hint="eastAsia" w:ascii="仿宋" w:hAnsi="仿宋" w:eastAsia="仿宋" w:cs="Times New Roman"/>
                <w:sz w:val="28"/>
                <w:szCs w:val="28"/>
              </w:rPr>
              <w:t>1</w:t>
            </w:r>
          </w:p>
        </w:tc>
        <w:tc>
          <w:tcPr>
            <w:tcW w:w="3741" w:type="pct"/>
            <w:shd w:val="clear" w:color="auto" w:fill="auto"/>
            <w:noWrap/>
            <w:vAlign w:val="center"/>
          </w:tcPr>
          <w:p w14:paraId="66CA268D">
            <w:pPr>
              <w:pStyle w:val="2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baseline"/>
              <w:rPr>
                <w:rFonts w:ascii="仿宋" w:hAnsi="仿宋" w:eastAsia="仿宋" w:cs="Times New Roman"/>
                <w:sz w:val="28"/>
                <w:szCs w:val="28"/>
              </w:rPr>
            </w:pPr>
            <w:r>
              <w:rPr>
                <w:rFonts w:hint="eastAsia" w:ascii="仿宋" w:hAnsi="仿宋" w:eastAsia="仿宋" w:cs="Times New Roman"/>
                <w:sz w:val="28"/>
                <w:szCs w:val="28"/>
              </w:rPr>
              <w:t>HIS系统服务器</w:t>
            </w:r>
          </w:p>
        </w:tc>
      </w:tr>
      <w:tr w14:paraId="61B81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58" w:type="pct"/>
            <w:shd w:val="clear" w:color="auto" w:fill="auto"/>
            <w:noWrap/>
            <w:vAlign w:val="center"/>
          </w:tcPr>
          <w:p w14:paraId="2C153C55">
            <w:pPr>
              <w:pStyle w:val="2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baseline"/>
              <w:rPr>
                <w:rFonts w:ascii="仿宋" w:hAnsi="仿宋" w:eastAsia="仿宋" w:cs="Times New Roman"/>
                <w:sz w:val="28"/>
                <w:szCs w:val="28"/>
              </w:rPr>
            </w:pPr>
            <w:r>
              <w:rPr>
                <w:rFonts w:hint="eastAsia" w:ascii="仿宋" w:hAnsi="仿宋" w:eastAsia="仿宋" w:cs="Times New Roman"/>
                <w:sz w:val="28"/>
                <w:szCs w:val="28"/>
              </w:rPr>
              <w:t>2</w:t>
            </w:r>
          </w:p>
        </w:tc>
        <w:tc>
          <w:tcPr>
            <w:tcW w:w="3741" w:type="pct"/>
            <w:shd w:val="clear" w:color="auto" w:fill="auto"/>
            <w:noWrap/>
            <w:vAlign w:val="center"/>
          </w:tcPr>
          <w:p w14:paraId="0C24BFB9">
            <w:pPr>
              <w:pStyle w:val="2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baseline"/>
              <w:rPr>
                <w:rFonts w:ascii="仿宋" w:hAnsi="仿宋" w:eastAsia="仿宋" w:cs="Times New Roman"/>
                <w:sz w:val="28"/>
                <w:szCs w:val="28"/>
              </w:rPr>
            </w:pPr>
            <w:r>
              <w:rPr>
                <w:rFonts w:hint="eastAsia" w:ascii="仿宋" w:hAnsi="仿宋" w:eastAsia="仿宋" w:cs="Times New Roman"/>
                <w:sz w:val="28"/>
                <w:szCs w:val="28"/>
              </w:rPr>
              <w:t>PACS系统服务器</w:t>
            </w:r>
          </w:p>
        </w:tc>
      </w:tr>
      <w:tr w14:paraId="7AF62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58" w:type="pct"/>
            <w:shd w:val="clear" w:color="auto" w:fill="auto"/>
            <w:noWrap/>
            <w:vAlign w:val="center"/>
          </w:tcPr>
          <w:p w14:paraId="49337459">
            <w:pPr>
              <w:pStyle w:val="2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baseline"/>
              <w:rPr>
                <w:rFonts w:ascii="仿宋" w:hAnsi="仿宋" w:eastAsia="仿宋" w:cs="Times New Roman"/>
                <w:sz w:val="28"/>
                <w:szCs w:val="28"/>
              </w:rPr>
            </w:pPr>
            <w:r>
              <w:rPr>
                <w:rFonts w:hint="eastAsia" w:ascii="仿宋" w:hAnsi="仿宋" w:eastAsia="仿宋" w:cs="Times New Roman"/>
                <w:sz w:val="28"/>
                <w:szCs w:val="28"/>
              </w:rPr>
              <w:t>3</w:t>
            </w:r>
          </w:p>
        </w:tc>
        <w:tc>
          <w:tcPr>
            <w:tcW w:w="3741" w:type="pct"/>
            <w:shd w:val="clear" w:color="auto" w:fill="auto"/>
            <w:noWrap/>
            <w:vAlign w:val="center"/>
          </w:tcPr>
          <w:p w14:paraId="00FCC062">
            <w:pPr>
              <w:pStyle w:val="2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baseline"/>
              <w:rPr>
                <w:rFonts w:ascii="仿宋" w:hAnsi="仿宋" w:eastAsia="仿宋" w:cs="Times New Roman"/>
                <w:sz w:val="28"/>
                <w:szCs w:val="28"/>
              </w:rPr>
            </w:pPr>
            <w:r>
              <w:rPr>
                <w:rFonts w:hint="eastAsia" w:ascii="仿宋" w:hAnsi="仿宋" w:eastAsia="仿宋" w:cs="Times New Roman"/>
                <w:sz w:val="28"/>
                <w:szCs w:val="28"/>
              </w:rPr>
              <w:t>银医通系统服务器</w:t>
            </w:r>
          </w:p>
        </w:tc>
      </w:tr>
      <w:tr w14:paraId="4C521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58" w:type="pct"/>
            <w:shd w:val="clear" w:color="auto" w:fill="auto"/>
            <w:noWrap/>
            <w:vAlign w:val="center"/>
          </w:tcPr>
          <w:p w14:paraId="4BAE6989">
            <w:pPr>
              <w:pStyle w:val="2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baseline"/>
              <w:rPr>
                <w:rFonts w:ascii="仿宋" w:hAnsi="仿宋" w:eastAsia="仿宋" w:cs="Times New Roman"/>
                <w:sz w:val="28"/>
                <w:szCs w:val="28"/>
              </w:rPr>
            </w:pPr>
            <w:bookmarkStart w:id="12" w:name="_Toc53389950"/>
            <w:bookmarkStart w:id="13" w:name="_Toc53389917"/>
            <w:bookmarkStart w:id="14" w:name="_Toc8675"/>
            <w:r>
              <w:rPr>
                <w:rFonts w:hint="eastAsia" w:ascii="仿宋" w:hAnsi="仿宋" w:eastAsia="仿宋" w:cs="Times New Roman"/>
                <w:sz w:val="28"/>
                <w:szCs w:val="28"/>
              </w:rPr>
              <w:t>4</w:t>
            </w:r>
          </w:p>
        </w:tc>
        <w:tc>
          <w:tcPr>
            <w:tcW w:w="3741" w:type="pct"/>
            <w:shd w:val="clear" w:color="auto" w:fill="auto"/>
            <w:noWrap/>
            <w:vAlign w:val="center"/>
          </w:tcPr>
          <w:p w14:paraId="3F63AF32">
            <w:pPr>
              <w:pStyle w:val="2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baseline"/>
              <w:rPr>
                <w:rFonts w:ascii="仿宋" w:hAnsi="仿宋" w:eastAsia="仿宋" w:cs="Times New Roman"/>
                <w:sz w:val="28"/>
                <w:szCs w:val="28"/>
              </w:rPr>
            </w:pPr>
            <w:r>
              <w:rPr>
                <w:rFonts w:hint="eastAsia" w:ascii="仿宋" w:hAnsi="仿宋" w:eastAsia="仿宋" w:cs="Times New Roman"/>
                <w:sz w:val="28"/>
                <w:szCs w:val="28"/>
              </w:rPr>
              <w:t>化州市妇幼保健院网络设备</w:t>
            </w:r>
          </w:p>
        </w:tc>
      </w:tr>
      <w:tr w14:paraId="7989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58" w:type="pct"/>
            <w:shd w:val="clear" w:color="auto" w:fill="auto"/>
            <w:noWrap/>
            <w:vAlign w:val="center"/>
          </w:tcPr>
          <w:p w14:paraId="445AAF90">
            <w:pPr>
              <w:pStyle w:val="2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baseline"/>
              <w:rPr>
                <w:rFonts w:ascii="仿宋" w:hAnsi="仿宋" w:eastAsia="仿宋" w:cs="Times New Roman"/>
                <w:sz w:val="28"/>
                <w:szCs w:val="28"/>
              </w:rPr>
            </w:pPr>
            <w:r>
              <w:rPr>
                <w:rFonts w:hint="eastAsia" w:ascii="仿宋" w:hAnsi="仿宋" w:eastAsia="仿宋" w:cs="Times New Roman"/>
                <w:sz w:val="28"/>
                <w:szCs w:val="28"/>
              </w:rPr>
              <w:t>5</w:t>
            </w:r>
          </w:p>
        </w:tc>
        <w:tc>
          <w:tcPr>
            <w:tcW w:w="3741" w:type="pct"/>
            <w:shd w:val="clear" w:color="auto" w:fill="auto"/>
            <w:noWrap/>
            <w:vAlign w:val="center"/>
          </w:tcPr>
          <w:p w14:paraId="6885027A">
            <w:pPr>
              <w:pStyle w:val="2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baseline"/>
              <w:rPr>
                <w:rFonts w:ascii="仿宋" w:hAnsi="仿宋" w:eastAsia="仿宋" w:cs="Times New Roman"/>
                <w:sz w:val="28"/>
                <w:szCs w:val="28"/>
              </w:rPr>
            </w:pPr>
            <w:r>
              <w:rPr>
                <w:rFonts w:hint="eastAsia" w:ascii="仿宋" w:hAnsi="仿宋" w:eastAsia="仿宋" w:cs="Times New Roman"/>
                <w:sz w:val="28"/>
                <w:szCs w:val="28"/>
              </w:rPr>
              <w:t>化州市妇幼保健院安全设备</w:t>
            </w:r>
          </w:p>
        </w:tc>
      </w:tr>
      <w:bookmarkEnd w:id="12"/>
      <w:bookmarkEnd w:id="13"/>
    </w:tbl>
    <w:p w14:paraId="2112FB56">
      <w:pPr>
        <w:pStyle w:val="3"/>
        <w:keepNext w:val="0"/>
        <w:keepLines w:val="0"/>
        <w:pageBreakBefore w:val="0"/>
        <w:tabs>
          <w:tab w:val="left" w:pos="432"/>
          <w:tab w:val="left" w:pos="576"/>
        </w:tabs>
        <w:kinsoku/>
        <w:wordWrap/>
        <w:overflowPunct/>
        <w:topLinePunct w:val="0"/>
        <w:autoSpaceDE/>
        <w:autoSpaceDN/>
        <w:bidi w:val="0"/>
        <w:adjustRightInd/>
        <w:snapToGrid/>
        <w:spacing w:before="312" w:after="156" w:line="360" w:lineRule="exact"/>
        <w:textAlignment w:val="baseline"/>
        <w:rPr>
          <w:rFonts w:ascii="仿宋" w:hAnsi="仿宋" w:eastAsia="仿宋"/>
          <w:sz w:val="28"/>
          <w:szCs w:val="28"/>
        </w:rPr>
      </w:pPr>
      <w:r>
        <w:rPr>
          <w:rFonts w:hint="eastAsia" w:ascii="仿宋" w:hAnsi="仿宋" w:eastAsia="仿宋"/>
          <w:sz w:val="28"/>
          <w:szCs w:val="28"/>
          <w:lang w:val="en-US" w:eastAsia="zh-CN"/>
        </w:rPr>
        <w:t>2.3</w:t>
      </w:r>
      <w:r>
        <w:rPr>
          <w:rFonts w:hint="eastAsia" w:ascii="仿宋" w:hAnsi="仿宋" w:eastAsia="仿宋"/>
          <w:sz w:val="28"/>
          <w:szCs w:val="28"/>
        </w:rPr>
        <w:t>实施进度要求</w:t>
      </w:r>
    </w:p>
    <w:p w14:paraId="5A182330">
      <w:pPr>
        <w:keepNext w:val="0"/>
        <w:keepLines w:val="0"/>
        <w:pageBreakBefore w:val="0"/>
        <w:kinsoku/>
        <w:wordWrap/>
        <w:overflowPunct/>
        <w:topLinePunct w:val="0"/>
        <w:autoSpaceDE/>
        <w:autoSpaceDN/>
        <w:bidi w:val="0"/>
        <w:adjustRightInd/>
        <w:snapToGrid/>
        <w:spacing w:line="360" w:lineRule="exact"/>
        <w:ind w:firstLine="560" w:firstLineChars="200"/>
        <w:textAlignment w:val="baseline"/>
        <w:rPr>
          <w:rFonts w:ascii="仿宋" w:hAnsi="仿宋" w:eastAsia="仿宋" w:cs="仿宋"/>
          <w:sz w:val="28"/>
          <w:szCs w:val="28"/>
        </w:rPr>
      </w:pPr>
      <w:r>
        <w:rPr>
          <w:rFonts w:hint="eastAsia" w:ascii="仿宋" w:hAnsi="仿宋" w:eastAsia="仿宋" w:cs="仿宋"/>
          <w:sz w:val="28"/>
          <w:szCs w:val="28"/>
        </w:rPr>
        <w:t>乙方须在收到甲方服务器、网络设备、安全设备明细清单的</w:t>
      </w:r>
      <w:r>
        <w:rPr>
          <w:rFonts w:ascii="仿宋" w:hAnsi="仿宋" w:eastAsia="仿宋" w:cs="仿宋"/>
          <w:sz w:val="28"/>
          <w:szCs w:val="28"/>
        </w:rPr>
        <w:t>30</w:t>
      </w:r>
      <w:r>
        <w:rPr>
          <w:rFonts w:hint="eastAsia" w:ascii="仿宋" w:hAnsi="仿宋" w:eastAsia="仿宋" w:cs="仿宋"/>
          <w:sz w:val="28"/>
          <w:szCs w:val="28"/>
        </w:rPr>
        <w:t>个工作日内完成明细清单内的日志采集工作，如存在长期服务工具，应当进行使用培训，确保我院技术人员了解并能在日常中使用该工具。</w:t>
      </w:r>
    </w:p>
    <w:p w14:paraId="5601B3F0">
      <w:pPr>
        <w:pStyle w:val="3"/>
        <w:keepNext w:val="0"/>
        <w:keepLines w:val="0"/>
        <w:pageBreakBefore w:val="0"/>
        <w:tabs>
          <w:tab w:val="left" w:pos="432"/>
          <w:tab w:val="left" w:pos="576"/>
        </w:tabs>
        <w:kinsoku/>
        <w:wordWrap/>
        <w:overflowPunct/>
        <w:topLinePunct w:val="0"/>
        <w:autoSpaceDE/>
        <w:autoSpaceDN/>
        <w:bidi w:val="0"/>
        <w:adjustRightInd/>
        <w:snapToGrid/>
        <w:spacing w:before="312" w:after="156" w:line="360" w:lineRule="exact"/>
        <w:textAlignment w:val="baseline"/>
        <w:rPr>
          <w:rFonts w:ascii="仿宋" w:hAnsi="仿宋" w:eastAsia="仿宋"/>
          <w:sz w:val="28"/>
          <w:szCs w:val="28"/>
        </w:rPr>
      </w:pPr>
      <w:bookmarkStart w:id="15" w:name="_Toc22924"/>
      <w:r>
        <w:rPr>
          <w:rFonts w:hint="eastAsia" w:ascii="仿宋" w:hAnsi="仿宋" w:eastAsia="仿宋"/>
          <w:sz w:val="28"/>
          <w:szCs w:val="28"/>
          <w:lang w:val="en-US" w:eastAsia="zh-CN"/>
        </w:rPr>
        <w:t>2.4</w:t>
      </w:r>
      <w:r>
        <w:rPr>
          <w:rFonts w:hint="eastAsia" w:ascii="仿宋" w:hAnsi="仿宋" w:eastAsia="仿宋"/>
          <w:sz w:val="28"/>
          <w:szCs w:val="28"/>
        </w:rPr>
        <w:t>保密要求</w:t>
      </w:r>
      <w:bookmarkEnd w:id="15"/>
    </w:p>
    <w:p w14:paraId="7D0218C0">
      <w:pPr>
        <w:keepNext w:val="0"/>
        <w:keepLines w:val="0"/>
        <w:pageBreakBefore w:val="0"/>
        <w:kinsoku/>
        <w:wordWrap/>
        <w:overflowPunct/>
        <w:topLinePunct w:val="0"/>
        <w:autoSpaceDE/>
        <w:autoSpaceDN/>
        <w:bidi w:val="0"/>
        <w:adjustRightInd/>
        <w:snapToGrid/>
        <w:spacing w:line="360" w:lineRule="exact"/>
        <w:ind w:firstLine="560" w:firstLineChars="200"/>
        <w:textAlignment w:val="baseline"/>
        <w:rPr>
          <w:rFonts w:ascii="仿宋" w:hAnsi="仿宋" w:eastAsia="仿宋" w:cs="仿宋"/>
          <w:sz w:val="28"/>
          <w:szCs w:val="28"/>
        </w:rPr>
      </w:pPr>
      <w:r>
        <w:rPr>
          <w:rFonts w:hint="eastAsia" w:ascii="仿宋" w:hAnsi="仿宋" w:eastAsia="仿宋" w:cs="仿宋"/>
          <w:sz w:val="28"/>
          <w:szCs w:val="28"/>
        </w:rPr>
        <w:t>乙方须保证对本项目实施中所获得任何资料信息严格保密，并与我院签订保密协议。</w:t>
      </w:r>
      <w:r>
        <w:rPr>
          <w:rFonts w:ascii="仿宋" w:hAnsi="仿宋" w:eastAsia="仿宋" w:cs="仿宋"/>
          <w:sz w:val="28"/>
          <w:szCs w:val="28"/>
        </w:rPr>
        <w:t xml:space="preserve">       </w:t>
      </w:r>
    </w:p>
    <w:p w14:paraId="50A58BA4">
      <w:pPr>
        <w:pStyle w:val="3"/>
        <w:keepNext w:val="0"/>
        <w:keepLines w:val="0"/>
        <w:pageBreakBefore w:val="0"/>
        <w:tabs>
          <w:tab w:val="left" w:pos="432"/>
          <w:tab w:val="left" w:pos="576"/>
        </w:tabs>
        <w:kinsoku/>
        <w:wordWrap/>
        <w:overflowPunct/>
        <w:topLinePunct w:val="0"/>
        <w:autoSpaceDE/>
        <w:autoSpaceDN/>
        <w:bidi w:val="0"/>
        <w:adjustRightInd/>
        <w:snapToGrid/>
        <w:spacing w:before="312" w:after="156" w:line="360" w:lineRule="exact"/>
        <w:textAlignment w:val="baseline"/>
        <w:rPr>
          <w:rFonts w:hint="default" w:ascii="仿宋" w:hAnsi="仿宋" w:eastAsia="仿宋"/>
          <w:sz w:val="28"/>
          <w:szCs w:val="28"/>
          <w:lang w:val="en-US"/>
        </w:rPr>
      </w:pPr>
      <w:r>
        <w:rPr>
          <w:rFonts w:hint="eastAsia" w:ascii="仿宋" w:hAnsi="仿宋" w:eastAsia="仿宋"/>
          <w:sz w:val="28"/>
          <w:szCs w:val="28"/>
          <w:lang w:val="en-US" w:eastAsia="zh-CN"/>
        </w:rPr>
        <w:t>2.5</w:t>
      </w:r>
      <w:bookmarkEnd w:id="14"/>
      <w:r>
        <w:rPr>
          <w:rFonts w:hint="eastAsia" w:ascii="仿宋" w:hAnsi="仿宋" w:eastAsia="仿宋"/>
          <w:sz w:val="28"/>
          <w:szCs w:val="28"/>
          <w:lang w:val="en-US" w:eastAsia="zh-CN"/>
        </w:rPr>
        <w:t>服务内容</w:t>
      </w:r>
    </w:p>
    <w:p w14:paraId="1A66345A">
      <w:pPr>
        <w:keepNext w:val="0"/>
        <w:keepLines w:val="0"/>
        <w:pageBreakBefore w:val="0"/>
        <w:kinsoku/>
        <w:wordWrap/>
        <w:overflowPunct/>
        <w:topLinePunct w:val="0"/>
        <w:autoSpaceDE/>
        <w:autoSpaceDN/>
        <w:bidi w:val="0"/>
        <w:adjustRightInd/>
        <w:snapToGrid/>
        <w:spacing w:line="360" w:lineRule="exact"/>
        <w:ind w:firstLine="560" w:firstLineChars="200"/>
        <w:textAlignment w:val="baseline"/>
        <w:rPr>
          <w:rFonts w:ascii="仿宋" w:hAnsi="仿宋" w:eastAsia="仿宋"/>
          <w:sz w:val="28"/>
          <w:szCs w:val="28"/>
        </w:rPr>
      </w:pPr>
      <w:bookmarkStart w:id="16" w:name="_Toc233105129"/>
      <w:r>
        <w:rPr>
          <w:rFonts w:hint="eastAsia" w:ascii="仿宋" w:hAnsi="仿宋" w:eastAsia="仿宋" w:cs="仿宋"/>
          <w:sz w:val="28"/>
          <w:szCs w:val="28"/>
        </w:rPr>
        <w:t>（</w:t>
      </w:r>
      <w:r>
        <w:rPr>
          <w:rFonts w:ascii="仿宋" w:hAnsi="仿宋" w:eastAsia="仿宋" w:cs="仿宋"/>
          <w:sz w:val="28"/>
          <w:szCs w:val="28"/>
        </w:rPr>
        <w:t>1</w:t>
      </w:r>
      <w:r>
        <w:rPr>
          <w:rFonts w:hint="eastAsia" w:ascii="仿宋" w:hAnsi="仿宋" w:eastAsia="仿宋" w:cs="仿宋"/>
          <w:sz w:val="28"/>
          <w:szCs w:val="28"/>
        </w:rPr>
        <w:t>）安全服务的过程中，乙方如需院方人员配合，乙方需要详细描述需要配合的内容。如需要院方人员协助完成各种表单，需要详细描述表日志路径等，并由乙方给出具体示例。院方有权拒绝提供任何未事先提出的配合要求，由此产生的损失由乙方负全责</w:t>
      </w:r>
      <w:bookmarkEnd w:id="16"/>
      <w:r>
        <w:rPr>
          <w:rFonts w:hint="eastAsia" w:ascii="仿宋" w:hAnsi="仿宋" w:eastAsia="仿宋" w:cs="仿宋"/>
          <w:sz w:val="28"/>
          <w:szCs w:val="28"/>
        </w:rPr>
        <w:t>；</w:t>
      </w:r>
    </w:p>
    <w:p w14:paraId="36ECCBEA">
      <w:pPr>
        <w:keepNext w:val="0"/>
        <w:keepLines w:val="0"/>
        <w:pageBreakBefore w:val="0"/>
        <w:kinsoku/>
        <w:wordWrap/>
        <w:overflowPunct/>
        <w:topLinePunct w:val="0"/>
        <w:autoSpaceDE/>
        <w:autoSpaceDN/>
        <w:bidi w:val="0"/>
        <w:adjustRightInd/>
        <w:snapToGrid/>
        <w:spacing w:line="360" w:lineRule="exact"/>
        <w:ind w:firstLine="560" w:firstLineChars="200"/>
        <w:textAlignment w:val="baseline"/>
        <w:rPr>
          <w:rFonts w:ascii="仿宋" w:hAnsi="仿宋" w:eastAsia="仿宋"/>
          <w:sz w:val="28"/>
          <w:szCs w:val="28"/>
        </w:rPr>
      </w:pPr>
      <w:bookmarkStart w:id="17" w:name="_Toc233105121"/>
      <w:r>
        <w:rPr>
          <w:rFonts w:hint="eastAsia" w:ascii="仿宋" w:hAnsi="仿宋" w:eastAsia="仿宋" w:cs="仿宋"/>
          <w:sz w:val="28"/>
          <w:szCs w:val="28"/>
        </w:rPr>
        <w:t>（</w:t>
      </w:r>
      <w:r>
        <w:rPr>
          <w:rFonts w:ascii="仿宋" w:hAnsi="仿宋" w:eastAsia="仿宋" w:cs="仿宋"/>
          <w:sz w:val="28"/>
          <w:szCs w:val="28"/>
        </w:rPr>
        <w:t>2</w:t>
      </w:r>
      <w:r>
        <w:rPr>
          <w:rFonts w:hint="eastAsia" w:ascii="仿宋" w:hAnsi="仿宋" w:eastAsia="仿宋" w:cs="仿宋"/>
          <w:sz w:val="28"/>
          <w:szCs w:val="28"/>
        </w:rPr>
        <w:t>）本项目中可能需要的硬件平台</w:t>
      </w:r>
      <w:r>
        <w:rPr>
          <w:rFonts w:ascii="仿宋" w:hAnsi="仿宋" w:eastAsia="仿宋" w:cs="仿宋"/>
          <w:sz w:val="28"/>
          <w:szCs w:val="28"/>
        </w:rPr>
        <w:t>(</w:t>
      </w:r>
      <w:r>
        <w:rPr>
          <w:rFonts w:hint="eastAsia" w:ascii="仿宋" w:hAnsi="仿宋" w:eastAsia="仿宋" w:cs="仿宋"/>
          <w:sz w:val="28"/>
          <w:szCs w:val="28"/>
        </w:rPr>
        <w:t>如笔记本电脑、</w:t>
      </w:r>
      <w:r>
        <w:rPr>
          <w:rFonts w:ascii="仿宋" w:hAnsi="仿宋" w:eastAsia="仿宋" w:cs="仿宋"/>
          <w:sz w:val="28"/>
          <w:szCs w:val="28"/>
        </w:rPr>
        <w:t>PC</w:t>
      </w:r>
      <w:r>
        <w:rPr>
          <w:rFonts w:hint="eastAsia" w:ascii="仿宋" w:hAnsi="仿宋" w:eastAsia="仿宋" w:cs="仿宋"/>
          <w:sz w:val="28"/>
          <w:szCs w:val="28"/>
        </w:rPr>
        <w:t>、工作站等</w:t>
      </w:r>
      <w:r>
        <w:rPr>
          <w:rFonts w:ascii="仿宋" w:hAnsi="仿宋" w:eastAsia="仿宋" w:cs="仿宋"/>
          <w:sz w:val="28"/>
          <w:szCs w:val="28"/>
        </w:rPr>
        <w:t>)</w:t>
      </w:r>
      <w:r>
        <w:rPr>
          <w:rFonts w:hint="eastAsia" w:ascii="仿宋" w:hAnsi="仿宋" w:eastAsia="仿宋" w:cs="仿宋"/>
          <w:sz w:val="28"/>
          <w:szCs w:val="28"/>
        </w:rPr>
        <w:t>均由乙方自行提供，院方将按照相关要求对设备进行必要的处理。乙方在服务期间未经院方许可不得将设备带离院方指定场所，也不得使用任何未经院方确认的存储设备对日志数据进行复制</w:t>
      </w:r>
      <w:bookmarkEnd w:id="17"/>
      <w:r>
        <w:rPr>
          <w:rFonts w:hint="eastAsia" w:ascii="仿宋" w:hAnsi="仿宋" w:eastAsia="仿宋" w:cs="仿宋"/>
          <w:sz w:val="28"/>
          <w:szCs w:val="28"/>
        </w:rPr>
        <w:t>；</w:t>
      </w:r>
    </w:p>
    <w:p w14:paraId="205D5F0A">
      <w:pPr>
        <w:keepNext w:val="0"/>
        <w:keepLines w:val="0"/>
        <w:pageBreakBefore w:val="0"/>
        <w:kinsoku/>
        <w:wordWrap/>
        <w:overflowPunct/>
        <w:topLinePunct w:val="0"/>
        <w:autoSpaceDE/>
        <w:autoSpaceDN/>
        <w:bidi w:val="0"/>
        <w:adjustRightInd/>
        <w:snapToGrid/>
        <w:spacing w:line="360" w:lineRule="exact"/>
        <w:ind w:firstLine="560" w:firstLineChars="200"/>
        <w:textAlignment w:val="baseline"/>
        <w:rPr>
          <w:rFonts w:ascii="仿宋" w:hAnsi="仿宋" w:eastAsia="仿宋"/>
          <w:sz w:val="28"/>
          <w:szCs w:val="28"/>
        </w:rPr>
      </w:pPr>
      <w:bookmarkStart w:id="18" w:name="_Toc233105119"/>
      <w:r>
        <w:rPr>
          <w:rFonts w:hint="eastAsia" w:ascii="仿宋" w:hAnsi="仿宋" w:eastAsia="仿宋" w:cs="仿宋"/>
          <w:sz w:val="28"/>
          <w:szCs w:val="28"/>
        </w:rPr>
        <w:t>（</w:t>
      </w:r>
      <w:r>
        <w:rPr>
          <w:rFonts w:hint="eastAsia" w:ascii="仿宋" w:hAnsi="仿宋" w:eastAsia="仿宋" w:cs="仿宋"/>
          <w:sz w:val="28"/>
          <w:szCs w:val="28"/>
          <w:lang w:val="en-US" w:eastAsia="zh-CN"/>
        </w:rPr>
        <w:t>3</w:t>
      </w:r>
      <w:r>
        <w:rPr>
          <w:rFonts w:hint="eastAsia" w:ascii="仿宋" w:hAnsi="仿宋" w:eastAsia="仿宋" w:cs="仿宋"/>
          <w:sz w:val="28"/>
          <w:szCs w:val="28"/>
        </w:rPr>
        <w:t>）乙方应提供本项目的日志审计服务方案，包括技术部分和实施部分。技术部分包括整体流程、技术方法和服务方案设计等，需要对每项技术方法的应用位置进行详细描述，技术方案中应详细描述本次采用的服务方式方式；</w:t>
      </w:r>
    </w:p>
    <w:p w14:paraId="0FE91FD3">
      <w:pPr>
        <w:keepNext w:val="0"/>
        <w:keepLines w:val="0"/>
        <w:pageBreakBefore w:val="0"/>
        <w:kinsoku/>
        <w:wordWrap/>
        <w:overflowPunct/>
        <w:topLinePunct w:val="0"/>
        <w:autoSpaceDE/>
        <w:autoSpaceDN/>
        <w:bidi w:val="0"/>
        <w:adjustRightInd/>
        <w:snapToGrid/>
        <w:spacing w:line="360" w:lineRule="exact"/>
        <w:ind w:firstLine="560" w:firstLineChars="200"/>
        <w:textAlignment w:val="baseline"/>
        <w:rPr>
          <w:rFonts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4</w:t>
      </w:r>
      <w:r>
        <w:rPr>
          <w:rFonts w:hint="eastAsia" w:ascii="仿宋" w:hAnsi="仿宋" w:eastAsia="仿宋" w:cs="仿宋"/>
          <w:sz w:val="28"/>
          <w:szCs w:val="28"/>
        </w:rPr>
        <w:t>）实施部分包括人员组织、时间安排、阶段性文档提交、验收标准、质量保证和风险规避措施等，需要明确每项工作的时间安排、操作时间和操作人员。</w:t>
      </w:r>
      <w:bookmarkEnd w:id="18"/>
      <w:bookmarkStart w:id="19" w:name="_Toc233105130"/>
      <w:r>
        <w:rPr>
          <w:rFonts w:hint="eastAsia" w:ascii="仿宋" w:hAnsi="仿宋" w:eastAsia="仿宋" w:cs="仿宋"/>
          <w:sz w:val="28"/>
          <w:szCs w:val="28"/>
        </w:rPr>
        <w:t>服务过程中，如需使用安全工具，请在实施方案中详细描述所使用的安全工具（软硬件型号、功能和性能描述）、对环境和平台的要求等</w:t>
      </w:r>
      <w:bookmarkEnd w:id="19"/>
      <w:r>
        <w:rPr>
          <w:rFonts w:hint="eastAsia" w:ascii="仿宋" w:hAnsi="仿宋" w:eastAsia="仿宋" w:cs="仿宋"/>
          <w:sz w:val="28"/>
          <w:szCs w:val="28"/>
        </w:rPr>
        <w:t>；</w:t>
      </w:r>
    </w:p>
    <w:p w14:paraId="4675F1C8">
      <w:pPr>
        <w:keepNext w:val="0"/>
        <w:keepLines w:val="0"/>
        <w:pageBreakBefore w:val="0"/>
        <w:kinsoku/>
        <w:wordWrap/>
        <w:overflowPunct/>
        <w:topLinePunct w:val="0"/>
        <w:autoSpaceDE/>
        <w:autoSpaceDN/>
        <w:bidi w:val="0"/>
        <w:adjustRightInd/>
        <w:snapToGrid/>
        <w:spacing w:line="360" w:lineRule="exact"/>
        <w:ind w:firstLine="560" w:firstLineChars="200"/>
        <w:textAlignment w:val="baseline"/>
        <w:rPr>
          <w:rFonts w:ascii="仿宋" w:hAnsi="仿宋" w:eastAsia="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5</w:t>
      </w:r>
      <w:r>
        <w:rPr>
          <w:rFonts w:hint="eastAsia" w:ascii="仿宋" w:hAnsi="仿宋" w:eastAsia="仿宋" w:cs="仿宋"/>
          <w:sz w:val="28"/>
          <w:szCs w:val="28"/>
        </w:rPr>
        <w:t>）本次项目涉及医院网络安全整体整改，工作内容含且不仅日志审计部署工作，另外还涉及相关网络排查整改，具体以院方整改过程实际需求为准。</w:t>
      </w:r>
    </w:p>
    <w:p w14:paraId="3D6B4F32">
      <w:pPr>
        <w:pStyle w:val="2"/>
        <w:keepNext w:val="0"/>
        <w:keepLines w:val="0"/>
        <w:pageBreakBefore w:val="0"/>
        <w:numPr>
          <w:ilvl w:val="0"/>
          <w:numId w:val="0"/>
        </w:numPr>
        <w:tabs>
          <w:tab w:val="clear" w:pos="432"/>
        </w:tabs>
        <w:kinsoku/>
        <w:wordWrap/>
        <w:overflowPunct/>
        <w:topLinePunct w:val="0"/>
        <w:autoSpaceDE/>
        <w:autoSpaceDN/>
        <w:bidi w:val="0"/>
        <w:adjustRightInd/>
        <w:snapToGrid/>
        <w:spacing w:before="312" w:after="312" w:line="360" w:lineRule="exact"/>
        <w:ind w:left="432" w:leftChars="0" w:hanging="432" w:firstLineChars="0"/>
        <w:textAlignment w:val="baseline"/>
        <w:rPr>
          <w:rFonts w:ascii="仿宋" w:hAnsi="仿宋" w:eastAsia="仿宋"/>
        </w:rPr>
      </w:pPr>
      <w:bookmarkStart w:id="20" w:name="_Hlk96693775"/>
      <w:bookmarkStart w:id="21" w:name="_Toc183316709"/>
      <w:bookmarkStart w:id="22" w:name="_Toc372468300"/>
      <w:bookmarkStart w:id="23" w:name="_Toc182886647"/>
      <w:r>
        <w:rPr>
          <w:rFonts w:hint="eastAsia" w:ascii="仿宋" w:hAnsi="仿宋" w:eastAsia="仿宋" w:cs="Times New Roman"/>
          <w:b/>
          <w:bCs/>
          <w:kern w:val="44"/>
          <w:sz w:val="36"/>
          <w:szCs w:val="44"/>
          <w:lang w:val="en-US" w:eastAsia="zh-CN" w:bidi="ar-SA"/>
        </w:rPr>
        <w:t>3.</w:t>
      </w:r>
      <w:r>
        <w:rPr>
          <w:rFonts w:hint="eastAsia" w:ascii="仿宋" w:hAnsi="仿宋" w:eastAsia="仿宋"/>
        </w:rPr>
        <w:t>服务要求</w:t>
      </w:r>
    </w:p>
    <w:p w14:paraId="2C1F7A57">
      <w:pPr>
        <w:pStyle w:val="3"/>
        <w:keepNext w:val="0"/>
        <w:keepLines w:val="0"/>
        <w:pageBreakBefore w:val="0"/>
        <w:numPr>
          <w:ilvl w:val="0"/>
          <w:numId w:val="0"/>
        </w:numPr>
        <w:tabs>
          <w:tab w:val="left" w:pos="432"/>
          <w:tab w:val="left" w:pos="576"/>
        </w:tabs>
        <w:kinsoku/>
        <w:wordWrap/>
        <w:overflowPunct/>
        <w:topLinePunct w:val="0"/>
        <w:autoSpaceDE/>
        <w:autoSpaceDN/>
        <w:bidi w:val="0"/>
        <w:adjustRightInd/>
        <w:snapToGrid/>
        <w:spacing w:before="312" w:after="156" w:line="360" w:lineRule="exact"/>
        <w:jc w:val="left"/>
        <w:textAlignment w:val="baseline"/>
        <w:rPr>
          <w:rFonts w:ascii="仿宋" w:hAnsi="仿宋" w:eastAsia="仿宋" w:cs="仿宋"/>
          <w:b w:val="0"/>
          <w:bCs w:val="0"/>
          <w:sz w:val="28"/>
          <w:szCs w:val="28"/>
        </w:rPr>
      </w:pPr>
      <w:r>
        <w:rPr>
          <w:rFonts w:hint="eastAsia" w:eastAsia="仿宋"/>
          <w:lang w:val="en-US" w:eastAsia="zh-CN"/>
        </w:rPr>
        <w:tab/>
      </w:r>
      <w:r>
        <w:rPr>
          <w:rFonts w:hint="eastAsia" w:eastAsia="仿宋"/>
          <w:lang w:val="en-US" w:eastAsia="zh-CN"/>
        </w:rPr>
        <w:t>1、</w:t>
      </w:r>
      <w:r>
        <w:rPr>
          <w:rFonts w:hint="eastAsia" w:ascii="仿宋" w:hAnsi="仿宋" w:eastAsia="仿宋" w:cs="仿宋"/>
          <w:b w:val="0"/>
          <w:bCs w:val="0"/>
          <w:sz w:val="28"/>
          <w:szCs w:val="28"/>
        </w:rPr>
        <w:t>服务工具关键技术要求</w:t>
      </w:r>
    </w:p>
    <w:p w14:paraId="39DCAEDF">
      <w:pPr>
        <w:keepNext w:val="0"/>
        <w:keepLines w:val="0"/>
        <w:pageBreakBefore w:val="0"/>
        <w:kinsoku/>
        <w:wordWrap/>
        <w:overflowPunct/>
        <w:topLinePunct w:val="0"/>
        <w:autoSpaceDE/>
        <w:autoSpaceDN/>
        <w:bidi w:val="0"/>
        <w:adjustRightInd/>
        <w:snapToGrid/>
        <w:spacing w:line="360" w:lineRule="exact"/>
        <w:ind w:firstLine="560" w:firstLineChars="200"/>
        <w:textAlignment w:val="baseline"/>
        <w:rPr>
          <w:rFonts w:ascii="仿宋" w:hAnsi="仿宋" w:eastAsia="仿宋" w:cs="仿宋"/>
          <w:sz w:val="28"/>
          <w:szCs w:val="28"/>
        </w:rPr>
      </w:pPr>
      <w:r>
        <w:rPr>
          <w:rFonts w:hint="eastAsia" w:ascii="仿宋" w:hAnsi="仿宋" w:eastAsia="仿宋" w:cs="仿宋"/>
          <w:sz w:val="28"/>
          <w:szCs w:val="28"/>
        </w:rPr>
        <w:t>本项目在服务过程中使用服务工具包括：日志审计系统。报价供应商不是制造商的必须取得工具原厂商针对本项目的正版使用及无偿技术服务支持授权书，投标方必须保证所使用的所有工具或软件不具有所有权和知识产权纠纷，并保证工具或软件可用性和可靠性。由此产生的一切责任由报价供应商全权负责。</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6"/>
        <w:gridCol w:w="889"/>
        <w:gridCol w:w="6692"/>
      </w:tblGrid>
      <w:tr w14:paraId="2A62D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shd w:val="clear" w:color="auto" w:fill="D8D8D8" w:themeFill="background1" w:themeFillShade="D9"/>
            <w:vAlign w:val="center"/>
          </w:tcPr>
          <w:p w14:paraId="238D16DB">
            <w:pPr>
              <w:keepNext w:val="0"/>
              <w:keepLines w:val="0"/>
              <w:pageBreakBefore w:val="0"/>
              <w:kinsoku/>
              <w:wordWrap/>
              <w:overflowPunct/>
              <w:topLinePunct w:val="0"/>
              <w:autoSpaceDE/>
              <w:autoSpaceDN/>
              <w:bidi w:val="0"/>
              <w:adjustRightInd/>
              <w:snapToGrid/>
              <w:spacing w:line="360" w:lineRule="exact"/>
              <w:textAlignment w:val="baseline"/>
              <w:rPr>
                <w:rFonts w:ascii="黑体" w:hAnsi="黑体" w:eastAsia="黑体"/>
                <w:b/>
                <w:kern w:val="0"/>
                <w:sz w:val="20"/>
                <w:szCs w:val="21"/>
              </w:rPr>
            </w:pPr>
            <w:bookmarkStart w:id="24" w:name="_Toc111713264"/>
            <w:r>
              <w:rPr>
                <w:rFonts w:hint="eastAsia" w:ascii="仿宋" w:hAnsi="仿宋" w:eastAsia="仿宋" w:cs="仿宋"/>
                <w:sz w:val="28"/>
                <w:szCs w:val="28"/>
              </w:rPr>
              <w:t>指标项</w:t>
            </w:r>
          </w:p>
        </w:tc>
        <w:tc>
          <w:tcPr>
            <w:tcW w:w="806" w:type="dxa"/>
            <w:shd w:val="clear" w:color="auto" w:fill="D8D8D8" w:themeFill="background1" w:themeFillShade="D9"/>
            <w:vAlign w:val="center"/>
          </w:tcPr>
          <w:p w14:paraId="60009D21">
            <w:pPr>
              <w:keepNext w:val="0"/>
              <w:keepLines w:val="0"/>
              <w:pageBreakBefore w:val="0"/>
              <w:kinsoku/>
              <w:wordWrap/>
              <w:overflowPunct/>
              <w:topLinePunct w:val="0"/>
              <w:autoSpaceDE/>
              <w:autoSpaceDN/>
              <w:bidi w:val="0"/>
              <w:adjustRightInd/>
              <w:snapToGrid/>
              <w:spacing w:line="360" w:lineRule="exact"/>
              <w:textAlignment w:val="baseline"/>
              <w:rPr>
                <w:rFonts w:ascii="黑体" w:hAnsi="黑体" w:eastAsia="黑体"/>
                <w:b/>
                <w:kern w:val="0"/>
                <w:sz w:val="20"/>
                <w:szCs w:val="21"/>
              </w:rPr>
            </w:pPr>
            <w:r>
              <w:rPr>
                <w:rFonts w:hint="eastAsia" w:ascii="仿宋" w:hAnsi="仿宋" w:eastAsia="仿宋" w:cs="仿宋"/>
                <w:sz w:val="28"/>
                <w:szCs w:val="28"/>
              </w:rPr>
              <w:t>序号</w:t>
            </w:r>
          </w:p>
        </w:tc>
        <w:tc>
          <w:tcPr>
            <w:tcW w:w="6066" w:type="dxa"/>
            <w:shd w:val="clear" w:color="auto" w:fill="D8D8D8" w:themeFill="background1" w:themeFillShade="D9"/>
            <w:vAlign w:val="center"/>
          </w:tcPr>
          <w:p w14:paraId="5E534B1A">
            <w:pPr>
              <w:keepNext w:val="0"/>
              <w:keepLines w:val="0"/>
              <w:pageBreakBefore w:val="0"/>
              <w:kinsoku/>
              <w:wordWrap/>
              <w:overflowPunct/>
              <w:topLinePunct w:val="0"/>
              <w:autoSpaceDE/>
              <w:autoSpaceDN/>
              <w:bidi w:val="0"/>
              <w:adjustRightInd/>
              <w:snapToGrid/>
              <w:spacing w:line="360" w:lineRule="exact"/>
              <w:textAlignment w:val="baseline"/>
              <w:rPr>
                <w:rFonts w:ascii="黑体" w:hAnsi="黑体" w:eastAsia="黑体"/>
                <w:b/>
                <w:kern w:val="0"/>
                <w:sz w:val="20"/>
                <w:szCs w:val="21"/>
              </w:rPr>
            </w:pPr>
            <w:r>
              <w:rPr>
                <w:rFonts w:hint="eastAsia" w:ascii="仿宋" w:hAnsi="仿宋" w:eastAsia="仿宋" w:cs="仿宋"/>
                <w:sz w:val="28"/>
                <w:szCs w:val="28"/>
              </w:rPr>
              <w:t>指标要求</w:t>
            </w:r>
          </w:p>
        </w:tc>
      </w:tr>
      <w:tr w14:paraId="6F1D3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602276CC">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软硬件规格</w:t>
            </w:r>
          </w:p>
        </w:tc>
        <w:tc>
          <w:tcPr>
            <w:tcW w:w="806" w:type="dxa"/>
            <w:vAlign w:val="center"/>
          </w:tcPr>
          <w:p w14:paraId="7FE3F61A">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7DC10D69">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日志审计系统采用软硬件一体化产品；</w:t>
            </w:r>
          </w:p>
        </w:tc>
      </w:tr>
      <w:tr w14:paraId="421D4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48EFA3E8">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硬盘</w:t>
            </w:r>
          </w:p>
        </w:tc>
        <w:tc>
          <w:tcPr>
            <w:tcW w:w="806" w:type="dxa"/>
            <w:vAlign w:val="center"/>
          </w:tcPr>
          <w:p w14:paraId="021780BA">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13D752C8">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≥1T（支持扩展）</w:t>
            </w:r>
          </w:p>
        </w:tc>
      </w:tr>
      <w:tr w14:paraId="0C877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70D703C8">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网络接口</w:t>
            </w:r>
          </w:p>
        </w:tc>
        <w:tc>
          <w:tcPr>
            <w:tcW w:w="806" w:type="dxa"/>
            <w:vAlign w:val="center"/>
          </w:tcPr>
          <w:p w14:paraId="4E122E34">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3E1CA64C">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产品至少提供6个接口</w:t>
            </w:r>
          </w:p>
        </w:tc>
      </w:tr>
      <w:tr w14:paraId="6D8FE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3E82C135">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电源</w:t>
            </w:r>
          </w:p>
        </w:tc>
        <w:tc>
          <w:tcPr>
            <w:tcW w:w="806" w:type="dxa"/>
            <w:vAlign w:val="center"/>
          </w:tcPr>
          <w:p w14:paraId="3577F198">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4B9F781A">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产品提供交流150W单电源，支持扩展电源</w:t>
            </w:r>
          </w:p>
        </w:tc>
      </w:tr>
      <w:tr w14:paraId="290F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2AA51BAB">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日志源数量</w:t>
            </w:r>
          </w:p>
        </w:tc>
        <w:tc>
          <w:tcPr>
            <w:tcW w:w="806" w:type="dxa"/>
            <w:vAlign w:val="center"/>
          </w:tcPr>
          <w:p w14:paraId="02484F4D">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0B2336D4">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日志审计节点许可数量≥50个，支持授权扩展</w:t>
            </w:r>
          </w:p>
        </w:tc>
      </w:tr>
      <w:tr w14:paraId="542A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1C71EC9A">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安全操作系统</w:t>
            </w:r>
          </w:p>
        </w:tc>
        <w:tc>
          <w:tcPr>
            <w:tcW w:w="806" w:type="dxa"/>
            <w:vAlign w:val="center"/>
          </w:tcPr>
          <w:p w14:paraId="7DF99504">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2D5E8D22">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▲产品采用高性能多核多平台并行安全操作系统，并提供著作权证书</w:t>
            </w:r>
          </w:p>
        </w:tc>
      </w:tr>
      <w:tr w14:paraId="10A70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60A64726">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产品资质</w:t>
            </w:r>
          </w:p>
        </w:tc>
        <w:tc>
          <w:tcPr>
            <w:tcW w:w="806" w:type="dxa"/>
            <w:vAlign w:val="center"/>
          </w:tcPr>
          <w:p w14:paraId="21EFB456">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51B17CB0">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▲产品具有公安部信息安全产品检测中心出具产品检验报告。所提供的产品检验报告须符合《信息安全技术日志分析产品安全技术要求》，并提供检测报告关键页复印件（日志分析三级）；</w:t>
            </w:r>
          </w:p>
          <w:p w14:paraId="21622EF2">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产品取得软件著作权登记证书；</w:t>
            </w:r>
          </w:p>
        </w:tc>
      </w:tr>
      <w:tr w14:paraId="168F8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4F7FA3FC">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工作模式</w:t>
            </w:r>
          </w:p>
        </w:tc>
        <w:tc>
          <w:tcPr>
            <w:tcW w:w="806" w:type="dxa"/>
            <w:vAlign w:val="center"/>
          </w:tcPr>
          <w:p w14:paraId="11720051">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2294E097">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独立完成审计日志采集，不依赖于设备或系统自身的日志系统；</w:t>
            </w:r>
          </w:p>
          <w:p w14:paraId="350AC33D">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审计工作不影响被审计对象的性能、稳定性或日常管理流程；</w:t>
            </w:r>
          </w:p>
          <w:p w14:paraId="1CD24AA3">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审计结果存储于独立存储空间；</w:t>
            </w:r>
          </w:p>
          <w:p w14:paraId="4AFB0774">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自身用户管理与设备或主机的管理、使用、权限无关联；</w:t>
            </w:r>
          </w:p>
          <w:p w14:paraId="466BEE0A">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提供全中文WEB管理界面，无需安装任意客户端软件或插件</w:t>
            </w:r>
          </w:p>
        </w:tc>
      </w:tr>
      <w:tr w14:paraId="10911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1E37B2A6">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设备部署</w:t>
            </w:r>
          </w:p>
        </w:tc>
        <w:tc>
          <w:tcPr>
            <w:tcW w:w="806" w:type="dxa"/>
            <w:vAlign w:val="center"/>
          </w:tcPr>
          <w:p w14:paraId="48B7D50E">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12D3D417">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设备采用旁路部署，不影响业务环境；</w:t>
            </w:r>
          </w:p>
          <w:p w14:paraId="1AD6E9A2">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▲支持分布式部署模式（需提供以上相关功能模块截图并加盖制造商公章）；</w:t>
            </w:r>
          </w:p>
          <w:p w14:paraId="3D85974C">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对复杂的网络环境，支持部署分析系统和多采集器配合使用形式；</w:t>
            </w:r>
          </w:p>
          <w:p w14:paraId="12D9957C">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支持页面一键添加子节点资产，自动进行绑定添加；</w:t>
            </w:r>
          </w:p>
          <w:p w14:paraId="4305D791">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▲支持集中式管理和升级模式（需提供以上相关功能模块截图并加盖制造商公章）</w:t>
            </w:r>
          </w:p>
        </w:tc>
      </w:tr>
      <w:tr w14:paraId="65BE1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75CF1086">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功能扩展</w:t>
            </w:r>
          </w:p>
        </w:tc>
        <w:tc>
          <w:tcPr>
            <w:tcW w:w="806" w:type="dxa"/>
            <w:vAlign w:val="center"/>
          </w:tcPr>
          <w:p w14:paraId="1DE40522">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2EBC92B7">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▲采用解决方案包上传对产品进行功能扩展，无需要代码开发。（需提供以上相关功能模块截图并加盖制造商公章）</w:t>
            </w:r>
          </w:p>
          <w:p w14:paraId="1D7280A3">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▲支持kafka日志接收转发、大数据安全域同步等大数据联调功能（需提供以上相关功能模块截图并加盖制造商公章）</w:t>
            </w:r>
          </w:p>
          <w:p w14:paraId="3C25B236">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▲支持手动或按周期自动备份系统配置，可随时对系统资产等配置进行还原操作，且自动备份周期与备份包个数可配；支持系统配置备份自动备份至远程服务器（需提供以上相关功能模块截图并加盖制造商公章）</w:t>
            </w:r>
          </w:p>
        </w:tc>
      </w:tr>
      <w:tr w14:paraId="2720E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0C086FB3">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日志收集</w:t>
            </w:r>
          </w:p>
        </w:tc>
        <w:tc>
          <w:tcPr>
            <w:tcW w:w="806" w:type="dxa"/>
            <w:vAlign w:val="center"/>
          </w:tcPr>
          <w:p w14:paraId="723C4234">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03F641BA">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▲支持Http、Syslog、Snmptrap、Tcp、Vflow、WMI、FTP、SFTP、SSH、TELNET、SCP、LEA、FILE、WebService、AGENT等日志采集方式（需提供以上相关功能模块截图并加盖制造商公章）</w:t>
            </w:r>
          </w:p>
          <w:p w14:paraId="62665194">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支持使用代理方式提取日志并收集，代理类型包括Windows、Linux；</w:t>
            </w:r>
          </w:p>
          <w:p w14:paraId="27F95BF7">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目前主流的网络安全设备、交换设备、路由设备、操作系统、应用系统等，内置超过500+规则，包括但不限于：Cisco(思科)、Juniper、联想网御/网御神州、F5、华为、H3C、微软、绿盟、飞塔(Fortinet)、Foundry、天融信、启明星辰、天网、趋势、东软、Nokia、CheckPoint、Hillstone(山石)、安恒信息、珠海伟思、BEA、中国电信、安氏、帕拉迪、APC、Arbor、Clam、戴尔（Dell）、Digium、东方电子、EMC、中国电力科学研究院、Eudora、Google、冠群金辰、Linksys、McAFee、Netapp、NAS（美国国家安全局）、永达、Sonicwall、Vigor、天存、西岭、Symantec（赛门铁克）、Hardened-PHP、Foundertech(方正)、三零盛安、Allot、蓝盾、IBM、金诺网安、网威、Nortel(北电)、Citrix(思杰)、Watchguard、中兴、阿帕奇、Windows系统日志、Linux/UNIX syslog、IIS、Apache等</w:t>
            </w:r>
          </w:p>
          <w:p w14:paraId="779597B7">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支持常见的虚拟机环境日志收集，包括Xen、XenServer及Esxi等；</w:t>
            </w:r>
          </w:p>
        </w:tc>
      </w:tr>
      <w:tr w14:paraId="71C5B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2DC2742C">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日志分析</w:t>
            </w:r>
          </w:p>
        </w:tc>
        <w:tc>
          <w:tcPr>
            <w:tcW w:w="806" w:type="dxa"/>
            <w:vAlign w:val="center"/>
          </w:tcPr>
          <w:p w14:paraId="23C56992">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621F9974">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▲可以操作系统、域名、时间、国家、显示、维度等条件进行过滤（需提供以上相关功能模块截图并加盖制造商公章）；</w:t>
            </w:r>
          </w:p>
          <w:p w14:paraId="7BE51FE9">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支持对收集到的重复的日志进行自动的聚合归并，减少日志量；</w:t>
            </w:r>
          </w:p>
          <w:p w14:paraId="52038B6B">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支持可由用户定义和修改的日志的聚合归并逻辑规则;</w:t>
            </w:r>
          </w:p>
          <w:p w14:paraId="662A91CE">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支持将收集到的日志转发，当原始日志设备无法设置多个日志服务器时，可以通过本系统的日志转发功能将日志转发到其他日志存储设备；</w:t>
            </w:r>
          </w:p>
          <w:p w14:paraId="6885955A">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支持对收集到的日志进行解析（标准化、归一化），解析规则可以根据客户要求定制扩展。</w:t>
            </w:r>
          </w:p>
          <w:p w14:paraId="2382088D">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可对日志进行细粒度解析，解析后的日志根据具体日志包含但不限于：日期、发生时间、接收时间、设备类型、日志类型、日志来源、威胁值、源地址、目的地址、事件类型、时间范围、操作主体、操作对象、行为方式、技术动作、技术效果、攻击类型、特征类型、协议、地理信息等，支持设置解析处理线程数、计数器间隔（需提供以上相关功能模块截图并加盖制造商公章）；</w:t>
            </w:r>
          </w:p>
          <w:p w14:paraId="72262183">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支持基于内存的实时关联分析，跨设备的多事件关联分析，支持仅保存关联事件；</w:t>
            </w:r>
          </w:p>
          <w:p w14:paraId="4E152D66">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支持自定义条件的事件进行聚合，包括但不限于源地址、源端口、目的地址、目的端口等聚合属性；</w:t>
            </w:r>
          </w:p>
          <w:p w14:paraId="3B9B5C29">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▲支持自定义字段和策略的脱敏配置；（需提供以上相关功能模块截图并加盖制造商公章）；</w:t>
            </w:r>
          </w:p>
          <w:p w14:paraId="424A268F">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内置主机异常、网络攻击、恶意软件、暴力破解、漏洞利用、权限异常等6大类59子类的安全分析场景（需提供以上相关功能模块截图并加盖制造商公章）；</w:t>
            </w:r>
          </w:p>
          <w:p w14:paraId="3905833B">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关联分析的规则可定制；</w:t>
            </w:r>
          </w:p>
        </w:tc>
      </w:tr>
      <w:tr w14:paraId="13087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40DFA81A">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资产管理</w:t>
            </w:r>
          </w:p>
        </w:tc>
        <w:tc>
          <w:tcPr>
            <w:tcW w:w="806" w:type="dxa"/>
            <w:vAlign w:val="center"/>
          </w:tcPr>
          <w:p w14:paraId="73684151">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610A00E6">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Windows、Unix、Linux、Solaris、FreeBSD、HP-UX、虚拟化设备等主机类设备，路由器、交换机等网络设备，防火墙、网闸等网络安全设备，WEB服务器、数据库服务器等应用类设备，门禁、打印机、无线等设备进行资产管理；</w:t>
            </w:r>
          </w:p>
          <w:p w14:paraId="21884F9F">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支持资产发现功能，资产信息包含组织架构字段；</w:t>
            </w:r>
          </w:p>
          <w:p w14:paraId="6E0F762A">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▲支持资产性质、机密性价值、可用性价值、完整性价值等资产属性（需提供以上相关功能模块截图并加盖制造商公章）；</w:t>
            </w:r>
          </w:p>
          <w:p w14:paraId="12DB389B">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支持厂商管理、组织架构管理、安全域管理、资产类型管理、业务管理等功能；</w:t>
            </w:r>
          </w:p>
          <w:p w14:paraId="583644DC">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资产视图功能，实时显示发送日志的资产数、被监控的资产数和审计组件等应用情况，支持分类视图、监控域视图、组织架构视图、网络视图、资产类型视图、地图视图、拓扑、安全域视图、业务视图等多种视图模式；</w:t>
            </w:r>
          </w:p>
          <w:p w14:paraId="2ED8DCB6">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支持日志源统计功能，统计各日志源活跃度、日志协议、事件数量、最后更新时间；</w:t>
            </w:r>
          </w:p>
          <w:p w14:paraId="741EDA00">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资产监控功能，展示监控对象的信息，如名称、管理IP、MAC地址、监控状态、接口流入/流出速率、系统进程数、系统生产商、CPU/内存信息、平均CPU占用率、平均MEM占用率、磁盘总使用率、磁盘分区使用率、磁盘读取速率、磁盘写入速率等信息；</w:t>
            </w:r>
          </w:p>
          <w:p w14:paraId="52C3F8FF">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▲支持资产导入导出格式，默认支持XML、CSV及Excel三种格式（需提供以上相关功能模块截图并加盖制造商公章）；；</w:t>
            </w:r>
          </w:p>
          <w:p w14:paraId="3371A018">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▲支持脆弱性监控功能，支持Nessus、IBM、Netsparker、Acunetix等7种以上类型漏扫报表导入，支持脆弱性监视状态统计、脆弱性等级统计等图形展示结果（需提供以上相关功能模块截图并加盖制造商公章）；</w:t>
            </w:r>
          </w:p>
          <w:p w14:paraId="0D5B6ACB">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支持展示漏洞类型、漏洞来源、处理状态、最近发现时间功能；</w:t>
            </w:r>
          </w:p>
        </w:tc>
      </w:tr>
      <w:tr w14:paraId="1ADF1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5313EFC4">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事件统计</w:t>
            </w:r>
          </w:p>
        </w:tc>
        <w:tc>
          <w:tcPr>
            <w:tcW w:w="806" w:type="dxa"/>
            <w:vAlign w:val="center"/>
          </w:tcPr>
          <w:p w14:paraId="18E8413D">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4A8DD9F6">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支持事件统计查看，支持分组事件总数、事件级别、事件趋势以及事件类型、资源类型等事件统计，显示和查看全部安全事件日志；</w:t>
            </w:r>
          </w:p>
          <w:p w14:paraId="357ED236">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支持基础查询、高级查询、专业查询三种查询模式；</w:t>
            </w:r>
          </w:p>
          <w:p w14:paraId="08C43F8D">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支持可指定多个筛选条件进行组合查询，条件如时间、规则集、事件级别、类型、设备名称、IP等查询参数；</w:t>
            </w:r>
          </w:p>
          <w:p w14:paraId="313F529A">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支持显示列信息可以选择，列展示的先后顺序可以手工调整；</w:t>
            </w:r>
          </w:p>
          <w:p w14:paraId="4942C3CE">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支持事件级别有8种，分别为：调试、通知、注意、告警、错误、关键、报警及紧急；</w:t>
            </w:r>
          </w:p>
          <w:p w14:paraId="215B07BF">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支持查看事件详情，事件详情包括时间信息、基本信息、来源信息、目标信息、事件分类信息、设备信息、关联事件、威胁信息（恶意文件/脚本）、资产详情及资产的弱点信息等；</w:t>
            </w:r>
          </w:p>
          <w:p w14:paraId="54FAF533">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极高的日志高查询性能，支持亿级的日志里根据做任意的关键字及其它的检索条件，在秒级里返回查询结果；</w:t>
            </w:r>
          </w:p>
          <w:p w14:paraId="231359E4">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支持原始日志查看。</w:t>
            </w:r>
          </w:p>
        </w:tc>
      </w:tr>
      <w:tr w14:paraId="4AC71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31EF81CC">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告警功能</w:t>
            </w:r>
          </w:p>
        </w:tc>
        <w:tc>
          <w:tcPr>
            <w:tcW w:w="806" w:type="dxa"/>
            <w:vAlign w:val="center"/>
          </w:tcPr>
          <w:p w14:paraId="02DF5156">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21BCA33D">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支持告警统计，支持告警级别、告警类别、资源类型、订阅告警、待告警事件、外部告警用户、自定义告警以及最新告警等类型告警统计；</w:t>
            </w:r>
          </w:p>
          <w:p w14:paraId="44867424">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所有统计支持近1小时、近24小时、近7天、近30天等的事件等维度查看统计信息；</w:t>
            </w:r>
          </w:p>
          <w:p w14:paraId="12C8C41C">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可预设置安全告警策略；</w:t>
            </w:r>
          </w:p>
          <w:p w14:paraId="75EC7D52">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支持数据阀值设置，超过阀值将产生告警;</w:t>
            </w:r>
          </w:p>
          <w:p w14:paraId="25C88641">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▲可以通过邮件、短信、微信、钉钉、TCP订阅、FTP订阅、Kafka订阅、Syslog订阅等方式进行告警事件订阅（需提供以上相关功能模块截图并加盖制造商公章）；</w:t>
            </w:r>
          </w:p>
          <w:p w14:paraId="11DC6B30">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支持自动防止报警信息在短时间内大量发送(告警抑制)；</w:t>
            </w:r>
          </w:p>
          <w:p w14:paraId="51DB4388">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具备报警合并和在一个时间段内抑制报警次数的能力。</w:t>
            </w:r>
          </w:p>
        </w:tc>
      </w:tr>
      <w:tr w14:paraId="01D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23A950A9">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用户管理</w:t>
            </w:r>
          </w:p>
        </w:tc>
        <w:tc>
          <w:tcPr>
            <w:tcW w:w="806" w:type="dxa"/>
            <w:vAlign w:val="center"/>
          </w:tcPr>
          <w:p w14:paraId="2B506BD2">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14D967C2">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根据三权分立的原则和要求进行职、权分离，对系统本身进行分角色定义，系统管理员只负责完成设备的初始配置，安全配置员只负责审计规则的建立，审计管理员只负责查看相关的审计结果及告警内容；</w:t>
            </w:r>
          </w:p>
          <w:p w14:paraId="2AC94775">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▲支持新建、启用和禁用账户，支持账户动态令牌登录（需提供以上相关功能模块截图并加盖制造商公章）；</w:t>
            </w:r>
          </w:p>
          <w:p w14:paraId="33632E34">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支持设置登录黑名单；</w:t>
            </w:r>
          </w:p>
          <w:p w14:paraId="5BFEFCD4">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支持登录密码策略设置，可匹配弱点库；</w:t>
            </w:r>
          </w:p>
          <w:p w14:paraId="7F652B20">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支持查看设备登录会话，针对异常登录账户可进行强制下线；</w:t>
            </w:r>
          </w:p>
          <w:p w14:paraId="7C3D8640">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支持细粒度的记录账号操作日志记录。</w:t>
            </w:r>
          </w:p>
        </w:tc>
      </w:tr>
      <w:tr w14:paraId="25EA9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3E4570FD">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审计功能</w:t>
            </w:r>
          </w:p>
        </w:tc>
        <w:tc>
          <w:tcPr>
            <w:tcW w:w="806" w:type="dxa"/>
            <w:vAlign w:val="center"/>
          </w:tcPr>
          <w:p w14:paraId="45C0FD9A">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7421F560">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支持根据解决方案包定制实时监控安全事件审计；</w:t>
            </w:r>
          </w:p>
          <w:p w14:paraId="565D85EF">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支持根据解决方案包自定义定制统计当前事件的统计对象的发生数量，并通过报表、监控图、已保存查询项和视图等方式进行统计；</w:t>
            </w:r>
          </w:p>
          <w:p w14:paraId="22499169">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▲支持内置基础审计包含近期事件、设备异常分析、数据概要、登录认证分析、攻击威胁分析（需提供以上相关功能模块截图并加盖制造商公章）。</w:t>
            </w:r>
          </w:p>
        </w:tc>
      </w:tr>
      <w:tr w14:paraId="3389A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7B1DC7D0">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系统管理</w:t>
            </w:r>
          </w:p>
        </w:tc>
        <w:tc>
          <w:tcPr>
            <w:tcW w:w="806" w:type="dxa"/>
            <w:vAlign w:val="center"/>
          </w:tcPr>
          <w:p w14:paraId="5812E618">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4D9341B7">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▲支持一键检测功能，检查采集程序、syslog端口号、数据库监控信息、系统CPU、MEM、Swap检测状态、资产总数等检查项（需提供以上相关功能模块截图并加盖制造商公章）；</w:t>
            </w:r>
          </w:p>
          <w:p w14:paraId="078C3FDA">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集成Ping、Traceroute、NetBios、SNMP连接测试、TCP端口扫描、抓包工具、实时抓包等多种工具；</w:t>
            </w:r>
          </w:p>
        </w:tc>
      </w:tr>
      <w:tr w14:paraId="36539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06303627">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报表</w:t>
            </w:r>
          </w:p>
        </w:tc>
        <w:tc>
          <w:tcPr>
            <w:tcW w:w="806" w:type="dxa"/>
            <w:vAlign w:val="center"/>
          </w:tcPr>
          <w:p w14:paraId="7F527A62">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48EDDE51">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支持报表导出操作，导出类型包括word、pdf、Excel；</w:t>
            </w:r>
          </w:p>
          <w:p w14:paraId="6D8067DE">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查看报表统计信息，系统内置报表类型包括：综合分析、按认证操作分析、按授权操作分析、按账户操作分析、按访问控制分析、按设备异常分析、按配置变更分析和按攻击威胁分析等8大类类型审计报表（需提供以上相关功能模块截图并加盖制造商公章）；</w:t>
            </w:r>
          </w:p>
          <w:p w14:paraId="6E1026B6">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支持自动生成日报、周报及月报。</w:t>
            </w:r>
          </w:p>
        </w:tc>
      </w:tr>
      <w:tr w14:paraId="0B80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366FD364">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知识库</w:t>
            </w:r>
          </w:p>
        </w:tc>
        <w:tc>
          <w:tcPr>
            <w:tcW w:w="806" w:type="dxa"/>
            <w:vAlign w:val="center"/>
          </w:tcPr>
          <w:p w14:paraId="2965E139">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761B51DD">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支持内置弱点库；</w:t>
            </w:r>
          </w:p>
          <w:p w14:paraId="33A15518">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▲支持内置漏洞库，包括74000+漏洞信息（需提供以上相关功能模块截图并加盖制造商公章）；</w:t>
            </w:r>
          </w:p>
          <w:p w14:paraId="57BAC9AC">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支持内置知识库，包括知识文章、安全专家、事故案例、漏洞库、病毒库、补丁库、安全基本要求、安全文档、应急预案库等类别知识；</w:t>
            </w:r>
          </w:p>
        </w:tc>
      </w:tr>
      <w:tr w14:paraId="2C44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03888801">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厂商服务能力</w:t>
            </w:r>
          </w:p>
        </w:tc>
        <w:tc>
          <w:tcPr>
            <w:tcW w:w="806" w:type="dxa"/>
            <w:vAlign w:val="center"/>
          </w:tcPr>
          <w:p w14:paraId="62D4D7CE">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6685DBE4">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1.▲设备生产厂家需获得DCMM数据管理能力成熟度（2级）或以上</w:t>
            </w:r>
          </w:p>
          <w:p w14:paraId="3164E855">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2.▲设备生产厂家需获得中国网络安全审查认证和市场监督大数据中心办法的信息安全服务资质认证证书（软件安全开发）二级或以上</w:t>
            </w:r>
          </w:p>
          <w:p w14:paraId="2C9DB38C">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r>
              <w:rPr>
                <w:rFonts w:hint="eastAsia" w:ascii="仿宋" w:hAnsi="仿宋" w:eastAsia="仿宋" w:cs="仿宋"/>
                <w:sz w:val="28"/>
                <w:szCs w:val="28"/>
              </w:rPr>
              <w:t>3.▲设备生产厂家需获得中国网络安全审查认证和市场监督大数据中心办法的信息安全服务资质认证证书（网络安全审计）二级或以上</w:t>
            </w:r>
          </w:p>
        </w:tc>
      </w:tr>
      <w:tr w14:paraId="07242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7" w:type="dxa"/>
            <w:vAlign w:val="center"/>
          </w:tcPr>
          <w:p w14:paraId="7B23DFFC">
            <w:pPr>
              <w:keepNext w:val="0"/>
              <w:keepLines w:val="0"/>
              <w:pageBreakBefore w:val="0"/>
              <w:kinsoku/>
              <w:wordWrap/>
              <w:overflowPunct/>
              <w:topLinePunct w:val="0"/>
              <w:autoSpaceDE/>
              <w:autoSpaceDN/>
              <w:bidi w:val="0"/>
              <w:adjustRightInd/>
              <w:snapToGrid/>
              <w:spacing w:line="360" w:lineRule="exact"/>
              <w:textAlignment w:val="baseline"/>
              <w:rPr>
                <w:rFonts w:hint="eastAsia" w:ascii="仿宋" w:hAnsi="仿宋" w:eastAsia="仿宋" w:cs="仿宋"/>
                <w:sz w:val="28"/>
                <w:szCs w:val="28"/>
              </w:rPr>
            </w:pPr>
            <w:r>
              <w:rPr>
                <w:rFonts w:hint="eastAsia" w:ascii="仿宋" w:hAnsi="仿宋" w:eastAsia="仿宋" w:cs="仿宋"/>
                <w:sz w:val="28"/>
                <w:szCs w:val="28"/>
              </w:rPr>
              <w:t>质保期</w:t>
            </w:r>
          </w:p>
        </w:tc>
        <w:tc>
          <w:tcPr>
            <w:tcW w:w="806" w:type="dxa"/>
            <w:vAlign w:val="center"/>
          </w:tcPr>
          <w:p w14:paraId="6A48FA59">
            <w:pPr>
              <w:pStyle w:val="18"/>
              <w:keepNext w:val="0"/>
              <w:keepLines w:val="0"/>
              <w:pageBreakBefore w:val="0"/>
              <w:numPr>
                <w:ilvl w:val="0"/>
                <w:numId w:val="3"/>
              </w:numPr>
              <w:kinsoku/>
              <w:wordWrap/>
              <w:overflowPunct/>
              <w:topLinePunct w:val="0"/>
              <w:autoSpaceDE/>
              <w:autoSpaceDN/>
              <w:bidi w:val="0"/>
              <w:adjustRightInd/>
              <w:snapToGrid/>
              <w:spacing w:line="360" w:lineRule="exact"/>
              <w:ind w:firstLineChars="0"/>
              <w:textAlignment w:val="baseline"/>
              <w:rPr>
                <w:rFonts w:ascii="仿宋" w:hAnsi="仿宋" w:eastAsia="仿宋" w:cs="仿宋"/>
                <w:sz w:val="28"/>
                <w:szCs w:val="28"/>
              </w:rPr>
            </w:pPr>
          </w:p>
        </w:tc>
        <w:tc>
          <w:tcPr>
            <w:tcW w:w="6066" w:type="dxa"/>
            <w:vAlign w:val="center"/>
          </w:tcPr>
          <w:p w14:paraId="7EAFE78A">
            <w:pPr>
              <w:keepNext w:val="0"/>
              <w:keepLines w:val="0"/>
              <w:pageBreakBefore w:val="0"/>
              <w:kinsoku/>
              <w:wordWrap/>
              <w:overflowPunct/>
              <w:topLinePunct w:val="0"/>
              <w:autoSpaceDE/>
              <w:autoSpaceDN/>
              <w:bidi w:val="0"/>
              <w:adjustRightInd/>
              <w:snapToGrid/>
              <w:spacing w:line="360" w:lineRule="exact"/>
              <w:textAlignment w:val="baseline"/>
              <w:rPr>
                <w:rFonts w:hint="eastAsia" w:ascii="仿宋" w:hAnsi="仿宋" w:eastAsia="仿宋" w:cs="仿宋"/>
                <w:sz w:val="28"/>
                <w:szCs w:val="28"/>
              </w:rPr>
            </w:pPr>
            <w:r>
              <w:rPr>
                <w:rFonts w:hint="eastAsia" w:ascii="仿宋" w:hAnsi="仿宋" w:eastAsia="仿宋" w:cs="仿宋"/>
                <w:sz w:val="28"/>
                <w:szCs w:val="28"/>
              </w:rPr>
              <w:t>1.▲三年</w:t>
            </w:r>
          </w:p>
        </w:tc>
      </w:tr>
    </w:tbl>
    <w:p w14:paraId="153EE65E">
      <w:pPr>
        <w:keepNext w:val="0"/>
        <w:keepLines w:val="0"/>
        <w:pageBreakBefore w:val="0"/>
        <w:kinsoku/>
        <w:wordWrap/>
        <w:overflowPunct/>
        <w:topLinePunct w:val="0"/>
        <w:autoSpaceDE/>
        <w:autoSpaceDN/>
        <w:bidi w:val="0"/>
        <w:adjustRightInd/>
        <w:snapToGrid/>
        <w:spacing w:line="360" w:lineRule="exact"/>
        <w:textAlignment w:val="baseline"/>
        <w:rPr>
          <w:rFonts w:ascii="仿宋" w:hAnsi="仿宋" w:eastAsia="仿宋" w:cs="仿宋"/>
          <w:sz w:val="28"/>
          <w:szCs w:val="28"/>
        </w:rPr>
      </w:pPr>
    </w:p>
    <w:p w14:paraId="4B6010FE">
      <w:pPr>
        <w:keepNext w:val="0"/>
        <w:keepLines w:val="0"/>
        <w:pageBreakBefore w:val="0"/>
        <w:kinsoku/>
        <w:wordWrap/>
        <w:overflowPunct/>
        <w:topLinePunct w:val="0"/>
        <w:autoSpaceDE/>
        <w:autoSpaceDN/>
        <w:bidi w:val="0"/>
        <w:adjustRightInd/>
        <w:snapToGrid/>
        <w:spacing w:line="360" w:lineRule="exact"/>
        <w:ind w:firstLine="560" w:firstLineChars="200"/>
        <w:textAlignment w:val="baseline"/>
        <w:rPr>
          <w:rFonts w:ascii="仿宋" w:hAnsi="仿宋" w:eastAsia="仿宋" w:cs="仿宋"/>
          <w:sz w:val="28"/>
          <w:szCs w:val="28"/>
        </w:rPr>
      </w:pPr>
      <w:r>
        <w:rPr>
          <w:rFonts w:hint="eastAsia" w:ascii="仿宋" w:hAnsi="仿宋" w:eastAsia="仿宋" w:cs="仿宋"/>
          <w:sz w:val="28"/>
          <w:szCs w:val="28"/>
        </w:rPr>
        <w:t>说明：</w:t>
      </w:r>
    </w:p>
    <w:p w14:paraId="4E1ECF70">
      <w:pPr>
        <w:keepNext w:val="0"/>
        <w:keepLines w:val="0"/>
        <w:pageBreakBefore w:val="0"/>
        <w:kinsoku/>
        <w:wordWrap/>
        <w:overflowPunct/>
        <w:topLinePunct w:val="0"/>
        <w:autoSpaceDE/>
        <w:autoSpaceDN/>
        <w:bidi w:val="0"/>
        <w:adjustRightInd/>
        <w:snapToGrid/>
        <w:spacing w:line="360" w:lineRule="exact"/>
        <w:ind w:firstLine="560" w:firstLineChars="200"/>
        <w:textAlignment w:val="baseline"/>
        <w:rPr>
          <w:rFonts w:ascii="仿宋" w:hAnsi="仿宋" w:eastAsia="仿宋" w:cs="仿宋"/>
          <w:sz w:val="28"/>
          <w:szCs w:val="28"/>
        </w:rPr>
      </w:pPr>
      <w:r>
        <w:rPr>
          <w:rFonts w:hint="eastAsia" w:ascii="仿宋" w:hAnsi="仿宋" w:eastAsia="仿宋" w:cs="仿宋"/>
          <w:sz w:val="28"/>
          <w:szCs w:val="28"/>
        </w:rPr>
        <w:t xml:space="preserve">1.供应商提供的日志审计服务工具设备需要提供厂家的原厂授权书文件。 </w:t>
      </w:r>
    </w:p>
    <w:p w14:paraId="33577D9B">
      <w:pPr>
        <w:keepNext w:val="0"/>
        <w:keepLines w:val="0"/>
        <w:pageBreakBefore w:val="0"/>
        <w:kinsoku/>
        <w:wordWrap/>
        <w:overflowPunct/>
        <w:topLinePunct w:val="0"/>
        <w:autoSpaceDE/>
        <w:autoSpaceDN/>
        <w:bidi w:val="0"/>
        <w:adjustRightInd/>
        <w:snapToGrid/>
        <w:spacing w:line="360" w:lineRule="exact"/>
        <w:ind w:firstLine="560" w:firstLineChars="200"/>
        <w:textAlignment w:val="baseline"/>
        <w:rPr>
          <w:rFonts w:ascii="仿宋" w:hAnsi="仿宋" w:eastAsia="仿宋" w:cs="仿宋"/>
          <w:sz w:val="28"/>
          <w:szCs w:val="28"/>
        </w:rPr>
      </w:pPr>
      <w:r>
        <w:rPr>
          <w:rFonts w:hint="eastAsia" w:ascii="仿宋" w:hAnsi="仿宋" w:eastAsia="仿宋" w:cs="仿宋"/>
          <w:sz w:val="28"/>
          <w:szCs w:val="28"/>
        </w:rPr>
        <w:t>2. 若表格中需要提供证明文件的，必须提供相关证明文件；若不需要提供证明文件的，供应商自行承诺视为满足要求。</w:t>
      </w:r>
    </w:p>
    <w:bookmarkEnd w:id="20"/>
    <w:bookmarkEnd w:id="21"/>
    <w:bookmarkEnd w:id="22"/>
    <w:bookmarkEnd w:id="23"/>
    <w:bookmarkEnd w:id="24"/>
    <w:p w14:paraId="23F90F2D">
      <w:pPr>
        <w:numPr>
          <w:ilvl w:val="0"/>
          <w:numId w:val="0"/>
        </w:numPr>
        <w:jc w:val="both"/>
        <w:rPr>
          <w:rFonts w:hint="eastAsia" w:ascii="方正小标宋简体" w:hAnsi="新宋体" w:eastAsia="方正小标宋简体"/>
          <w:b/>
          <w:color w:val="auto"/>
          <w:kern w:val="0"/>
          <w:sz w:val="44"/>
          <w:szCs w:val="44"/>
          <w:highlight w:val="none"/>
          <w:shd w:val="clear" w:color="auto" w:fill="auto"/>
          <w:lang w:val="en-US" w:eastAsia="zh-CN"/>
        </w:rPr>
      </w:pPr>
    </w:p>
    <w:p w14:paraId="561B22B4">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3593D658">
      <w:pPr>
        <w:pStyle w:val="8"/>
        <w:rPr>
          <w:rFonts w:hint="eastAsia" w:ascii="方正小标宋简体" w:hAnsi="新宋体" w:eastAsia="方正小标宋简体" w:cs="Times New Roman"/>
          <w:b/>
          <w:color w:val="auto"/>
          <w:kern w:val="0"/>
          <w:sz w:val="44"/>
          <w:szCs w:val="44"/>
          <w:shd w:val="clear" w:fill="auto"/>
          <w:lang w:val="en-US" w:eastAsia="zh-CN" w:bidi="ar-SA"/>
        </w:rPr>
      </w:pPr>
    </w:p>
    <w:p w14:paraId="68A66173">
      <w:pPr>
        <w:pStyle w:val="8"/>
        <w:rPr>
          <w:rFonts w:hint="eastAsia" w:ascii="方正小标宋简体" w:hAnsi="新宋体" w:eastAsia="方正小标宋简体" w:cs="Times New Roman"/>
          <w:b/>
          <w:color w:val="auto"/>
          <w:kern w:val="0"/>
          <w:sz w:val="44"/>
          <w:szCs w:val="44"/>
          <w:shd w:val="clear" w:fill="auto"/>
          <w:lang w:val="en-US" w:eastAsia="zh-CN" w:bidi="ar-SA"/>
        </w:rPr>
      </w:pPr>
    </w:p>
    <w:p w14:paraId="0B5B16AF">
      <w:pPr>
        <w:pStyle w:val="8"/>
        <w:rPr>
          <w:rFonts w:hint="eastAsia" w:ascii="方正小标宋简体" w:hAnsi="新宋体" w:eastAsia="方正小标宋简体" w:cs="Times New Roman"/>
          <w:b/>
          <w:color w:val="auto"/>
          <w:kern w:val="0"/>
          <w:sz w:val="44"/>
          <w:szCs w:val="44"/>
          <w:shd w:val="clear" w:fill="auto"/>
          <w:lang w:val="en-US" w:eastAsia="zh-CN" w:bidi="ar-SA"/>
        </w:rPr>
      </w:pPr>
    </w:p>
    <w:p w14:paraId="2DB2944B">
      <w:pPr>
        <w:pStyle w:val="8"/>
        <w:rPr>
          <w:rFonts w:hint="eastAsia" w:ascii="方正小标宋简体" w:hAnsi="新宋体" w:eastAsia="方正小标宋简体" w:cs="Times New Roman"/>
          <w:b/>
          <w:color w:val="auto"/>
          <w:kern w:val="0"/>
          <w:sz w:val="44"/>
          <w:szCs w:val="44"/>
          <w:shd w:val="clear" w:fill="auto"/>
          <w:lang w:val="en-US" w:eastAsia="zh-CN" w:bidi="ar-SA"/>
        </w:rPr>
      </w:pPr>
    </w:p>
    <w:p w14:paraId="5AB2921D">
      <w:pPr>
        <w:pStyle w:val="8"/>
        <w:rPr>
          <w:rFonts w:hint="eastAsia" w:ascii="方正小标宋简体" w:hAnsi="新宋体" w:eastAsia="方正小标宋简体" w:cs="Times New Roman"/>
          <w:b/>
          <w:color w:val="auto"/>
          <w:kern w:val="0"/>
          <w:sz w:val="44"/>
          <w:szCs w:val="44"/>
          <w:shd w:val="clear" w:fill="auto"/>
          <w:lang w:val="en-US" w:eastAsia="zh-CN" w:bidi="ar-SA"/>
        </w:rPr>
      </w:pPr>
    </w:p>
    <w:p w14:paraId="524963E5">
      <w:pPr>
        <w:numPr>
          <w:ilvl w:val="0"/>
          <w:numId w:val="0"/>
        </w:numPr>
        <w:jc w:val="both"/>
        <w:rPr>
          <w:rFonts w:hint="eastAsia" w:ascii="方正小标宋简体" w:hAnsi="新宋体" w:eastAsia="方正小标宋简体" w:cs="Times New Roman"/>
          <w:b/>
          <w:color w:val="auto"/>
          <w:kern w:val="0"/>
          <w:sz w:val="44"/>
          <w:szCs w:val="44"/>
          <w:shd w:val="clear" w:fill="auto"/>
          <w:lang w:val="en-US" w:eastAsia="zh-CN" w:bidi="ar-SA"/>
        </w:rPr>
      </w:pPr>
    </w:p>
    <w:p w14:paraId="730BFBCA">
      <w:pPr>
        <w:numPr>
          <w:ilvl w:val="0"/>
          <w:numId w:val="0"/>
        </w:numPr>
        <w:jc w:val="center"/>
        <w:rPr>
          <w:rStyle w:val="17"/>
          <w:rFonts w:ascii="Calibri" w:hAnsi="Calibri"/>
          <w:b/>
          <w:bCs/>
          <w:sz w:val="11"/>
          <w:szCs w:val="11"/>
          <w:shd w:val="clear" w:color="FFFFFF" w:fill="D9D9D9"/>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第三部分 报价文件（响应文件）格式</w:t>
      </w:r>
    </w:p>
    <w:tbl>
      <w:tblPr>
        <w:tblStyle w:val="12"/>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F1A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64BE66AC">
            <w:pPr>
              <w:pStyle w:val="6"/>
              <w:spacing w:line="360" w:lineRule="auto"/>
              <w:ind w:firstLine="480" w:firstLineChars="150"/>
              <w:rPr>
                <w:rFonts w:hint="eastAsia" w:ascii="仿宋_GB2312" w:eastAsia="仿宋_GB2312"/>
                <w:b/>
                <w:sz w:val="32"/>
              </w:rPr>
            </w:pPr>
          </w:p>
          <w:p w14:paraId="1475483E">
            <w:pPr>
              <w:pStyle w:val="6"/>
              <w:spacing w:line="360" w:lineRule="auto"/>
              <w:ind w:firstLine="480" w:firstLineChars="150"/>
              <w:rPr>
                <w:rFonts w:hint="eastAsia" w:ascii="仿宋_GB2312" w:eastAsia="仿宋_GB2312"/>
                <w:b/>
                <w:sz w:val="32"/>
              </w:rPr>
            </w:pPr>
          </w:p>
          <w:p w14:paraId="7EE3402C">
            <w:pPr>
              <w:pStyle w:val="6"/>
              <w:spacing w:line="360" w:lineRule="auto"/>
              <w:ind w:firstLine="480" w:firstLineChars="150"/>
              <w:rPr>
                <w:rFonts w:hint="eastAsia" w:ascii="仿宋_GB2312" w:eastAsia="仿宋_GB2312"/>
                <w:b/>
                <w:sz w:val="32"/>
              </w:rPr>
            </w:pPr>
          </w:p>
          <w:p w14:paraId="666F6D05">
            <w:pPr>
              <w:pStyle w:val="6"/>
              <w:spacing w:line="360" w:lineRule="auto"/>
              <w:ind w:firstLine="480" w:firstLineChars="150"/>
              <w:rPr>
                <w:rFonts w:hint="eastAsia" w:ascii="仿宋_GB2312" w:eastAsia="仿宋_GB2312"/>
                <w:b/>
                <w:sz w:val="32"/>
              </w:rPr>
            </w:pPr>
          </w:p>
          <w:p w14:paraId="005E828E">
            <w:pPr>
              <w:pStyle w:val="6"/>
              <w:spacing w:line="360" w:lineRule="auto"/>
              <w:jc w:val="center"/>
              <w:rPr>
                <w:rFonts w:hint="eastAsia" w:ascii="黑体" w:eastAsia="黑体"/>
                <w:b/>
                <w:sz w:val="72"/>
                <w:szCs w:val="72"/>
                <w:lang w:eastAsia="zh-CN"/>
              </w:rPr>
            </w:pPr>
          </w:p>
          <w:p w14:paraId="3A8513BD">
            <w:pPr>
              <w:pStyle w:val="6"/>
              <w:spacing w:line="360" w:lineRule="auto"/>
              <w:jc w:val="center"/>
              <w:rPr>
                <w:rFonts w:hint="eastAsia" w:ascii="黑体" w:eastAsia="黑体"/>
                <w:b/>
                <w:sz w:val="72"/>
                <w:szCs w:val="72"/>
                <w:lang w:eastAsia="zh-CN"/>
              </w:rPr>
            </w:pPr>
          </w:p>
          <w:p w14:paraId="586CBAF9">
            <w:pPr>
              <w:pStyle w:val="6"/>
              <w:spacing w:line="360" w:lineRule="auto"/>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2A69982">
            <w:pPr>
              <w:pStyle w:val="6"/>
              <w:spacing w:line="360" w:lineRule="auto"/>
              <w:rPr>
                <w:rFonts w:hint="eastAsia" w:ascii="仿宋_GB2312" w:eastAsia="仿宋_GB2312"/>
                <w:b/>
                <w:sz w:val="32"/>
              </w:rPr>
            </w:pPr>
          </w:p>
          <w:p w14:paraId="7101D0E7">
            <w:pPr>
              <w:pStyle w:val="6"/>
              <w:spacing w:line="360" w:lineRule="auto"/>
              <w:rPr>
                <w:rFonts w:hint="eastAsia" w:ascii="仿宋_GB2312" w:eastAsia="仿宋_GB2312"/>
                <w:b/>
                <w:sz w:val="32"/>
              </w:rPr>
            </w:pPr>
          </w:p>
          <w:p w14:paraId="5AD2C591">
            <w:pPr>
              <w:pStyle w:val="6"/>
              <w:spacing w:line="360" w:lineRule="auto"/>
              <w:rPr>
                <w:rFonts w:hint="eastAsia" w:ascii="仿宋_GB2312" w:eastAsia="仿宋_GB2312"/>
                <w:b/>
                <w:sz w:val="32"/>
              </w:rPr>
            </w:pPr>
          </w:p>
          <w:p w14:paraId="26AA94B0">
            <w:pPr>
              <w:pStyle w:val="6"/>
              <w:spacing w:line="360" w:lineRule="auto"/>
              <w:rPr>
                <w:rFonts w:hint="eastAsia" w:ascii="仿宋_GB2312" w:eastAsia="仿宋_GB2312"/>
                <w:b/>
                <w:sz w:val="32"/>
              </w:rPr>
            </w:pPr>
          </w:p>
          <w:p w14:paraId="76805B24">
            <w:pPr>
              <w:pStyle w:val="6"/>
              <w:spacing w:line="360" w:lineRule="auto"/>
              <w:rPr>
                <w:rFonts w:hint="eastAsia" w:ascii="仿宋_GB2312" w:eastAsia="仿宋_GB2312"/>
                <w:b/>
                <w:sz w:val="32"/>
              </w:rPr>
            </w:pPr>
          </w:p>
          <w:p w14:paraId="0FCE1EA9">
            <w:pPr>
              <w:pStyle w:val="6"/>
              <w:spacing w:line="360" w:lineRule="auto"/>
              <w:rPr>
                <w:rFonts w:hint="eastAsia" w:ascii="仿宋_GB2312" w:eastAsia="仿宋_GB2312"/>
                <w:b/>
                <w:sz w:val="32"/>
              </w:rPr>
            </w:pPr>
          </w:p>
          <w:p w14:paraId="626FB0EE">
            <w:pPr>
              <w:pStyle w:val="6"/>
              <w:spacing w:line="360" w:lineRule="auto"/>
              <w:rPr>
                <w:rFonts w:hint="eastAsia" w:ascii="仿宋_GB2312" w:eastAsia="仿宋_GB2312"/>
                <w:b/>
                <w:sz w:val="32"/>
              </w:rPr>
            </w:pPr>
          </w:p>
          <w:p w14:paraId="59147B0F">
            <w:pPr>
              <w:pStyle w:val="6"/>
              <w:spacing w:line="400" w:lineRule="exact"/>
              <w:ind w:firstLine="280" w:firstLineChars="100"/>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HZFY-202609</w:t>
            </w:r>
          </w:p>
          <w:p w14:paraId="3C973FF1">
            <w:pPr>
              <w:pStyle w:val="6"/>
              <w:spacing w:line="400" w:lineRule="exact"/>
              <w:rPr>
                <w:rFonts w:hint="eastAsia" w:ascii="宋体" w:hAnsi="宋体" w:eastAsia="宋体" w:cs="宋体"/>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hAnsi="Times New Roman" w:eastAsia="仿宋_GB2312" w:cs="Times New Roman"/>
                <w:b/>
                <w:sz w:val="28"/>
                <w:szCs w:val="28"/>
                <w:lang w:val="en-US" w:eastAsia="zh-CN"/>
              </w:rPr>
              <w:t>化州市妇幼保健院日志审计服务项目</w:t>
            </w:r>
          </w:p>
          <w:p w14:paraId="10E3861C">
            <w:pPr>
              <w:pStyle w:val="6"/>
              <w:spacing w:line="400" w:lineRule="exact"/>
              <w:ind w:firstLine="280" w:firstLineChars="100"/>
              <w:rPr>
                <w:rFonts w:hint="eastAsia" w:ascii="仿宋_GB2312" w:eastAsia="仿宋_GB2312"/>
                <w:b/>
                <w:sz w:val="28"/>
                <w:szCs w:val="28"/>
              </w:rPr>
            </w:pPr>
            <w:r>
              <w:rPr>
                <w:rFonts w:hint="eastAsia" w:ascii="仿宋_GB2312" w:eastAsia="仿宋_GB2312"/>
                <w:b/>
                <w:sz w:val="28"/>
                <w:szCs w:val="28"/>
              </w:rPr>
              <w:t>响应供应商名称：</w:t>
            </w:r>
          </w:p>
          <w:p w14:paraId="14F5ED41">
            <w:pPr>
              <w:pStyle w:val="6"/>
              <w:spacing w:line="400" w:lineRule="exact"/>
              <w:ind w:firstLine="280" w:firstLineChars="100"/>
              <w:rPr>
                <w:rFonts w:hint="eastAsia" w:ascii="仿宋_GB2312" w:eastAsia="仿宋_GB2312"/>
                <w:b/>
                <w:sz w:val="28"/>
                <w:szCs w:val="28"/>
              </w:rPr>
            </w:pPr>
            <w:r>
              <w:rPr>
                <w:rFonts w:hint="eastAsia" w:ascii="仿宋_GB2312" w:eastAsia="仿宋_GB2312"/>
                <w:b/>
                <w:sz w:val="28"/>
                <w:szCs w:val="28"/>
              </w:rPr>
              <w:t>响应供应商地址：</w:t>
            </w:r>
          </w:p>
          <w:p w14:paraId="268A7761">
            <w:pPr>
              <w:pStyle w:val="6"/>
              <w:spacing w:line="400" w:lineRule="exact"/>
              <w:ind w:firstLine="280" w:firstLineChars="100"/>
              <w:rPr>
                <w:rFonts w:hint="default" w:ascii="仿宋_GB2312" w:eastAsia="仿宋_GB2312"/>
                <w:b/>
                <w:sz w:val="32"/>
                <w:lang w:val="en-US" w:eastAsia="zh-CN"/>
              </w:rPr>
            </w:pPr>
            <w:r>
              <w:rPr>
                <w:rFonts w:hint="eastAsia" w:ascii="仿宋_GB2312" w:eastAsia="仿宋_GB2312"/>
                <w:b/>
                <w:sz w:val="28"/>
                <w:szCs w:val="28"/>
                <w:lang w:val="en-US" w:eastAsia="zh-CN"/>
              </w:rPr>
              <w:t>联系人/电话：</w:t>
            </w:r>
          </w:p>
        </w:tc>
      </w:tr>
    </w:tbl>
    <w:p w14:paraId="0DDAAE25">
      <w:pPr>
        <w:pStyle w:val="6"/>
        <w:rPr>
          <w:rStyle w:val="17"/>
          <w:rFonts w:hint="eastAsia" w:ascii="仿宋" w:hAnsi="仿宋" w:eastAsia="仿宋" w:cs="仿宋"/>
          <w:sz w:val="21"/>
          <w:szCs w:val="21"/>
          <w:lang w:val="en-US" w:eastAsia="zh-CN" w:bidi="ar-SA"/>
        </w:rPr>
      </w:pPr>
    </w:p>
    <w:p w14:paraId="091378EB">
      <w:pPr>
        <w:numPr>
          <w:ilvl w:val="0"/>
          <w:numId w:val="0"/>
        </w:numPr>
        <w:spacing w:line="400" w:lineRule="exact"/>
        <w:ind w:leftChars="0"/>
        <w:rPr>
          <w:rFonts w:hint="eastAsia"/>
        </w:rPr>
      </w:pPr>
    </w:p>
    <w:p w14:paraId="7CC767EC">
      <w:pPr>
        <w:pStyle w:val="3"/>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bookmarkStart w:id="25" w:name="_Toc237145559"/>
      <w:bookmarkStart w:id="26" w:name="_Toc361761305"/>
      <w:bookmarkStart w:id="27" w:name="_Toc50703722"/>
      <w:bookmarkStart w:id="28" w:name="_Toc43264516"/>
      <w:bookmarkStart w:id="29" w:name="_Toc50691029"/>
      <w:r>
        <w:rPr>
          <w:rFonts w:hint="eastAsia" w:ascii="Arial" w:hAnsi="Arial" w:eastAsia="黑体" w:cs="Times New Roman"/>
          <w:b w:val="0"/>
          <w:sz w:val="32"/>
          <w:szCs w:val="32"/>
          <w:lang w:val="en-US" w:eastAsia="zh-CN" w:bidi="ar-SA"/>
        </w:rPr>
        <w:t>响应供应商资格信用承诺函</w:t>
      </w:r>
      <w:bookmarkEnd w:id="25"/>
      <w:bookmarkEnd w:id="26"/>
    </w:p>
    <w:bookmarkEnd w:id="27"/>
    <w:bookmarkEnd w:id="28"/>
    <w:bookmarkEnd w:id="29"/>
    <w:p w14:paraId="411D8BB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bookmarkStart w:id="30" w:name="_Toc50737297"/>
      <w:bookmarkStart w:id="31" w:name="_Toc50736477"/>
      <w:bookmarkStart w:id="32" w:name="_Toc50737329"/>
      <w:bookmarkStart w:id="33" w:name="_Toc52165081"/>
      <w:bookmarkStart w:id="34" w:name="_Toc170645734"/>
      <w:bookmarkStart w:id="35" w:name="_Toc361761306"/>
      <w:r>
        <w:rPr>
          <w:rFonts w:hint="eastAsia" w:ascii="宋体" w:hAnsi="宋体" w:eastAsia="宋体" w:cs="宋体"/>
          <w:b w:val="0"/>
          <w:bCs/>
          <w:color w:val="auto"/>
          <w:sz w:val="22"/>
          <w:szCs w:val="22"/>
          <w:highlight w:val="none"/>
          <w:lang w:val="en-US" w:eastAsia="zh-CN"/>
        </w:rPr>
        <w:t>化州市妇幼保健院：</w:t>
      </w:r>
    </w:p>
    <w:p w14:paraId="31A765F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关于贵单位　　 　年　 　月　 　日发布的 </w:t>
      </w:r>
      <w:r>
        <w:rPr>
          <w:rFonts w:hint="eastAsia" w:ascii="宋体" w:hAnsi="宋体" w:eastAsia="宋体" w:cs="宋体"/>
          <w:b/>
          <w:bCs w:val="0"/>
          <w:color w:val="auto"/>
          <w:sz w:val="22"/>
          <w:szCs w:val="22"/>
          <w:highlight w:val="none"/>
          <w:u w:val="single"/>
          <w:lang w:val="en-US" w:eastAsia="zh-CN"/>
        </w:rPr>
        <w:t>化州市妇幼保健院日志审计服务项目（项目编号：HZFY-202</w:t>
      </w:r>
      <w:r>
        <w:rPr>
          <w:rFonts w:hint="eastAsia" w:ascii="宋体" w:hAnsi="宋体" w:cs="宋体"/>
          <w:b/>
          <w:bCs w:val="0"/>
          <w:color w:val="auto"/>
          <w:sz w:val="22"/>
          <w:szCs w:val="22"/>
          <w:highlight w:val="none"/>
          <w:u w:val="single"/>
          <w:lang w:val="en-US" w:eastAsia="zh-CN"/>
        </w:rPr>
        <w:t>609</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采购公告，本公司愿意参加投标报价，并声明：</w:t>
      </w:r>
    </w:p>
    <w:p w14:paraId="10CF25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一、本公司（企业）具备采购文件第一部分投标邀请函中的“供应商资格要求”，并已清楚采购文件的要求及有关文件规定，本单位具备以下条件：</w:t>
      </w:r>
    </w:p>
    <w:p w14:paraId="077290D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（一）具有履行合同所必需的设备和专业技术能力；</w:t>
      </w:r>
    </w:p>
    <w:p w14:paraId="48DB258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（二）法律、行政法规规定的其他条件。</w:t>
      </w:r>
    </w:p>
    <w:p w14:paraId="1BBB07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二、我方承诺单位负责人为同一人或者存在直接控股、管理关系的不同供应商，不得同时参加本采购项目（包组）投标。</w:t>
      </w:r>
    </w:p>
    <w:p w14:paraId="22FA8D2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本公司（企业）具备《中华人民共和国政府采购法》第二十二条资格条件，并已清楚报价文件的要求及有关文件规定，并承诺在本次招标采购活动中，如有违法、违规、弄虚作假行为，所造成的损失、不良后果及法律责任，一律由我公司（企业）承担。</w:t>
      </w:r>
    </w:p>
    <w:p w14:paraId="40F67FD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特此声明！</w:t>
      </w:r>
    </w:p>
    <w:p w14:paraId="4335CCB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F9D59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AF5BCB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单位名称：　　　　　　　　　　　　　　　　　　公司（企业）法定代表人（签字或盖章）：</w:t>
      </w:r>
    </w:p>
    <w:p w14:paraId="2286442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单位地址：　　　　　　　　　　　　　　　　　　单位公章：</w:t>
      </w:r>
    </w:p>
    <w:p w14:paraId="44702E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邮政编码：　　　　　　　　　　　　　　　　　　日期：</w:t>
      </w:r>
    </w:p>
    <w:p w14:paraId="211E159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联系电话：</w:t>
      </w:r>
    </w:p>
    <w:p w14:paraId="1EC12397">
      <w:pPr>
        <w:spacing w:line="360" w:lineRule="auto"/>
        <w:ind w:firstLine="420"/>
        <w:rPr>
          <w:rFonts w:hint="eastAsia"/>
        </w:rPr>
      </w:pPr>
    </w:p>
    <w:p w14:paraId="533EA9C3">
      <w:pPr>
        <w:spacing w:line="500" w:lineRule="exact"/>
        <w:rPr>
          <w:rFonts w:ascii="黑体" w:eastAsia="黑体"/>
          <w:b/>
          <w:bCs/>
          <w:sz w:val="28"/>
        </w:rPr>
      </w:pPr>
    </w:p>
    <w:p w14:paraId="5F7B0228">
      <w:pPr>
        <w:spacing w:line="500" w:lineRule="exact"/>
        <w:rPr>
          <w:rFonts w:ascii="黑体" w:eastAsia="黑体"/>
          <w:b/>
          <w:bCs/>
          <w:sz w:val="28"/>
        </w:rPr>
      </w:pPr>
    </w:p>
    <w:p w14:paraId="7FC29DEC">
      <w:pPr>
        <w:spacing w:line="500" w:lineRule="exact"/>
        <w:rPr>
          <w:rFonts w:ascii="黑体" w:eastAsia="黑体"/>
          <w:b/>
          <w:bCs/>
          <w:sz w:val="28"/>
        </w:rPr>
      </w:pPr>
    </w:p>
    <w:p w14:paraId="153E9214">
      <w:pPr>
        <w:spacing w:line="500" w:lineRule="exact"/>
        <w:rPr>
          <w:rFonts w:ascii="黑体" w:eastAsia="黑体"/>
          <w:b/>
          <w:bCs/>
          <w:sz w:val="28"/>
        </w:rPr>
      </w:pPr>
    </w:p>
    <w:p w14:paraId="35993AAD">
      <w:pPr>
        <w:spacing w:line="500" w:lineRule="exact"/>
        <w:rPr>
          <w:rFonts w:ascii="黑体" w:eastAsia="黑体"/>
          <w:b/>
          <w:bCs/>
          <w:sz w:val="28"/>
        </w:rPr>
      </w:pPr>
    </w:p>
    <w:p w14:paraId="72EEA25B">
      <w:pPr>
        <w:spacing w:line="500" w:lineRule="exact"/>
        <w:rPr>
          <w:rFonts w:ascii="黑体" w:eastAsia="黑体"/>
          <w:b/>
          <w:bCs/>
          <w:sz w:val="28"/>
        </w:rPr>
      </w:pPr>
    </w:p>
    <w:p w14:paraId="5BE011A2">
      <w:pPr>
        <w:spacing w:line="500" w:lineRule="exact"/>
        <w:rPr>
          <w:rFonts w:ascii="黑体" w:eastAsia="黑体"/>
          <w:b/>
          <w:bCs/>
          <w:sz w:val="28"/>
        </w:rPr>
      </w:pPr>
    </w:p>
    <w:p w14:paraId="2642B17D">
      <w:pPr>
        <w:spacing w:line="500" w:lineRule="exact"/>
        <w:rPr>
          <w:rFonts w:ascii="黑体" w:eastAsia="黑体"/>
          <w:b/>
          <w:bCs/>
          <w:sz w:val="28"/>
        </w:rPr>
      </w:pPr>
    </w:p>
    <w:p w14:paraId="5567C728">
      <w:pPr>
        <w:numPr>
          <w:ilvl w:val="0"/>
          <w:numId w:val="0"/>
        </w:numPr>
        <w:spacing w:line="400" w:lineRule="exact"/>
        <w:ind w:leftChars="0"/>
        <w:rPr>
          <w:rFonts w:hint="eastAsia"/>
          <w:bCs/>
        </w:rPr>
      </w:pPr>
    </w:p>
    <w:p w14:paraId="51C5BB7B">
      <w:pPr>
        <w:numPr>
          <w:ilvl w:val="0"/>
          <w:numId w:val="0"/>
        </w:numPr>
        <w:spacing w:line="400" w:lineRule="exact"/>
        <w:ind w:leftChars="0"/>
        <w:jc w:val="center"/>
        <w:rPr>
          <w:rFonts w:hint="eastAsia" w:ascii="黑体" w:hAnsi="黑体" w:eastAsia="黑体" w:cs="黑体"/>
          <w:sz w:val="32"/>
          <w:szCs w:val="32"/>
        </w:rPr>
      </w:pPr>
      <w:r>
        <w:rPr>
          <w:rFonts w:hint="eastAsia" w:ascii="黑体" w:hAnsi="黑体" w:eastAsia="黑体" w:cs="黑体"/>
          <w:sz w:val="32"/>
          <w:szCs w:val="32"/>
        </w:rPr>
        <w:t>法定代表人授权委托书</w:t>
      </w:r>
    </w:p>
    <w:p w14:paraId="6C199E53">
      <w:pPr>
        <w:spacing w:line="400" w:lineRule="exact"/>
        <w:rPr>
          <w:rFonts w:hint="eastAsia" w:ascii="楷体_GB2312" w:eastAsia="楷体_GB2312"/>
          <w:sz w:val="28"/>
        </w:rPr>
      </w:pPr>
    </w:p>
    <w:p w14:paraId="113FBEC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本授权委托书声明：注册于</w:t>
      </w:r>
      <w:r>
        <w:rPr>
          <w:rFonts w:hint="eastAsia" w:ascii="宋体" w:hAnsi="宋体" w:eastAsia="宋体" w:cs="宋体"/>
          <w:b w:val="0"/>
          <w:bCs/>
          <w:color w:val="auto"/>
          <w:sz w:val="22"/>
          <w:szCs w:val="22"/>
          <w:highlight w:val="none"/>
          <w:u w:val="single"/>
          <w:lang w:val="en-US" w:eastAsia="zh-CN"/>
        </w:rPr>
        <w:t xml:space="preserve"> （投标供应商地址）  </w:t>
      </w:r>
      <w:r>
        <w:rPr>
          <w:rFonts w:hint="eastAsia" w:ascii="宋体" w:hAnsi="宋体" w:eastAsia="宋体" w:cs="宋体"/>
          <w:b w:val="0"/>
          <w:bCs/>
          <w:color w:val="auto"/>
          <w:sz w:val="22"/>
          <w:szCs w:val="22"/>
          <w:highlight w:val="none"/>
          <w:lang w:val="en-US" w:eastAsia="zh-CN"/>
        </w:rPr>
        <w:t>的</w:t>
      </w:r>
      <w:r>
        <w:rPr>
          <w:rFonts w:hint="eastAsia" w:ascii="宋体" w:hAnsi="宋体" w:eastAsia="宋体" w:cs="宋体"/>
          <w:b w:val="0"/>
          <w:bCs/>
          <w:color w:val="auto"/>
          <w:sz w:val="22"/>
          <w:szCs w:val="22"/>
          <w:highlight w:val="none"/>
          <w:u w:val="single"/>
          <w:lang w:val="en-US" w:eastAsia="zh-CN"/>
        </w:rPr>
        <w:t xml:space="preserve">  （投标供应商名称）  </w:t>
      </w:r>
      <w:r>
        <w:rPr>
          <w:rFonts w:hint="eastAsia" w:ascii="宋体" w:hAnsi="宋体" w:eastAsia="宋体" w:cs="宋体"/>
          <w:b w:val="0"/>
          <w:bCs/>
          <w:color w:val="auto"/>
          <w:sz w:val="22"/>
          <w:szCs w:val="22"/>
          <w:highlight w:val="none"/>
          <w:lang w:val="en-US" w:eastAsia="zh-CN"/>
        </w:rPr>
        <w:t>在下面签名的</w:t>
      </w:r>
      <w:r>
        <w:rPr>
          <w:rFonts w:hint="eastAsia" w:ascii="宋体" w:hAnsi="宋体" w:eastAsia="宋体" w:cs="宋体"/>
          <w:b w:val="0"/>
          <w:bCs/>
          <w:color w:val="auto"/>
          <w:sz w:val="22"/>
          <w:szCs w:val="22"/>
          <w:highlight w:val="none"/>
          <w:u w:val="single"/>
          <w:lang w:val="en-US" w:eastAsia="zh-CN"/>
        </w:rPr>
        <w:t>（法定代表人姓名、职务）</w:t>
      </w:r>
      <w:r>
        <w:rPr>
          <w:rFonts w:hint="eastAsia" w:ascii="宋体" w:hAnsi="宋体" w:eastAsia="宋体" w:cs="宋体"/>
          <w:b w:val="0"/>
          <w:bCs/>
          <w:color w:val="auto"/>
          <w:sz w:val="22"/>
          <w:szCs w:val="22"/>
          <w:highlight w:val="none"/>
          <w:lang w:val="en-US" w:eastAsia="zh-CN"/>
        </w:rPr>
        <w:t>在此授权</w:t>
      </w:r>
      <w:r>
        <w:rPr>
          <w:rFonts w:hint="eastAsia" w:ascii="宋体" w:hAnsi="宋体" w:eastAsia="宋体" w:cs="宋体"/>
          <w:b w:val="0"/>
          <w:bCs/>
          <w:color w:val="auto"/>
          <w:sz w:val="22"/>
          <w:szCs w:val="22"/>
          <w:highlight w:val="none"/>
          <w:u w:val="single"/>
          <w:lang w:val="en-US" w:eastAsia="zh-CN"/>
        </w:rPr>
        <w:t>（被授权人姓名、职务）</w:t>
      </w:r>
      <w:r>
        <w:rPr>
          <w:rFonts w:hint="eastAsia" w:ascii="宋体" w:hAnsi="宋体" w:eastAsia="宋体" w:cs="宋体"/>
          <w:b w:val="0"/>
          <w:bCs/>
          <w:color w:val="auto"/>
          <w:sz w:val="22"/>
          <w:szCs w:val="22"/>
          <w:highlight w:val="none"/>
          <w:lang w:val="en-US" w:eastAsia="zh-CN"/>
        </w:rPr>
        <w:t>作为我公司的合法代理人，就</w:t>
      </w:r>
      <w:r>
        <w:rPr>
          <w:rFonts w:hint="eastAsia" w:ascii="宋体" w:hAnsi="宋体" w:eastAsia="宋体" w:cs="宋体"/>
          <w:b/>
          <w:bCs w:val="0"/>
          <w:color w:val="auto"/>
          <w:sz w:val="22"/>
          <w:szCs w:val="22"/>
          <w:highlight w:val="none"/>
          <w:u w:val="single"/>
          <w:lang w:val="en-US" w:eastAsia="zh-CN"/>
        </w:rPr>
        <w:t>化州市妇幼保健院日志审计服务项目（项目编号：HZFY-202</w:t>
      </w:r>
      <w:r>
        <w:rPr>
          <w:rFonts w:hint="eastAsia" w:ascii="宋体" w:hAnsi="宋体" w:cs="宋体"/>
          <w:b/>
          <w:bCs w:val="0"/>
          <w:color w:val="auto"/>
          <w:sz w:val="22"/>
          <w:szCs w:val="22"/>
          <w:highlight w:val="none"/>
          <w:u w:val="single"/>
          <w:lang w:val="en-US" w:eastAsia="zh-CN"/>
        </w:rPr>
        <w:t>609</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的招投标报价活动，采购合同的签订、执行、完成和售后服务，作为投标人代表以我方的名义处理一切与之有关的事务。</w:t>
      </w:r>
    </w:p>
    <w:p w14:paraId="2F913DA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被授权人（报价人授权代表）无转委托权限。</w:t>
      </w:r>
    </w:p>
    <w:p w14:paraId="6335091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本授权书自法定代表人签字之日起生效，特此声明。</w:t>
      </w:r>
    </w:p>
    <w:p w14:paraId="5EC9E62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406EBB1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1AC4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5B028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CBD61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报价名称（公章）：</w:t>
      </w:r>
    </w:p>
    <w:p w14:paraId="5300F8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    址：</w:t>
      </w:r>
    </w:p>
    <w:p w14:paraId="6F7CA03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法定代表人（签字或盖章）：                       签字日期：</w:t>
      </w:r>
    </w:p>
    <w:p w14:paraId="160A849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D36CB6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被授权人（报价人授权代表）（签字或盖章）： </w:t>
      </w:r>
    </w:p>
    <w:p w14:paraId="7B64B9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1D3C0E1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A440E2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A455B1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C1B436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008C64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E9FF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3546BD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19AF86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978D64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A4345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7FD0F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B6A9BF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ab/>
      </w:r>
    </w:p>
    <w:p w14:paraId="37D32D7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center"/>
        <w:textAlignment w:val="auto"/>
        <w:rPr>
          <w:rFonts w:hint="eastAsia" w:ascii="黑体" w:hAnsi="黑体" w:eastAsia="黑体" w:cs="黑体"/>
          <w:b/>
          <w:bCs w:val="0"/>
          <w:color w:val="auto"/>
          <w:sz w:val="32"/>
          <w:szCs w:val="32"/>
          <w:highlight w:val="none"/>
          <w:lang w:val="en-US" w:eastAsia="zh-CN"/>
        </w:rPr>
      </w:pPr>
      <w:bookmarkStart w:id="36" w:name="_Toc170645736"/>
      <w:bookmarkStart w:id="37" w:name="_Toc361761307"/>
      <w:r>
        <w:rPr>
          <w:rFonts w:hint="eastAsia" w:ascii="黑体" w:hAnsi="黑体" w:eastAsia="黑体" w:cs="黑体"/>
          <w:b/>
          <w:bCs w:val="0"/>
          <w:color w:val="auto"/>
          <w:sz w:val="32"/>
          <w:szCs w:val="32"/>
          <w:highlight w:val="none"/>
          <w:lang w:val="en-US" w:eastAsia="zh-CN"/>
        </w:rPr>
        <w:t>法定代表人证明书</w:t>
      </w:r>
      <w:bookmarkEnd w:id="36"/>
      <w:bookmarkEnd w:id="37"/>
    </w:p>
    <w:p w14:paraId="7597BEA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A0C76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______________同志，现任我单位         职务，为法定代表人，特此证明。</w:t>
      </w:r>
    </w:p>
    <w:p w14:paraId="58A5978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有效日期与本公司投标文件中标注的投标有效期相同。  签发日期：     年   月   日             </w:t>
      </w:r>
    </w:p>
    <w:p w14:paraId="4DF5D6A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附：</w:t>
      </w:r>
    </w:p>
    <w:p w14:paraId="49334C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营业执照（注册号）：                       </w:t>
      </w:r>
    </w:p>
    <w:p w14:paraId="5390CB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经济性质：</w:t>
      </w:r>
    </w:p>
    <w:p w14:paraId="37310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主营（产）：</w:t>
      </w:r>
    </w:p>
    <w:p w14:paraId="0732D08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兼营（产）：</w:t>
      </w:r>
    </w:p>
    <w:p w14:paraId="3CEBBDF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86E4D4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3"/>
                              <w:numPr>
                                <w:ilvl w:val="1"/>
                                <w:numId w:val="0"/>
                              </w:numPr>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3"/>
                        <w:numPr>
                          <w:ilvl w:val="1"/>
                          <w:numId w:val="0"/>
                        </w:numPr>
                        <w:ind w:left="420" w:leftChars="0"/>
                        <w:rPr>
                          <w:rFonts w:hint="eastAsia"/>
                        </w:rPr>
                      </w:pPr>
                    </w:p>
                  </w:txbxContent>
                </v:textbox>
              </v:rect>
            </w:pict>
          </mc:Fallback>
        </mc:AlternateContent>
      </w:r>
    </w:p>
    <w:p w14:paraId="6A5C42B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E2C68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FB72D9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32E9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8F3CF8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35BD9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07B85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F524B1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7D0049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投标人名称（盖章）：</w:t>
      </w:r>
    </w:p>
    <w:p w14:paraId="44F99DA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地址：</w:t>
      </w:r>
    </w:p>
    <w:p w14:paraId="2E8F858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日期：</w:t>
      </w:r>
      <w:r>
        <w:rPr>
          <w:rFonts w:hint="eastAsia" w:ascii="宋体" w:hAnsi="宋体" w:eastAsia="宋体" w:cs="宋体"/>
          <w:b w:val="0"/>
          <w:bCs/>
          <w:color w:val="auto"/>
          <w:sz w:val="22"/>
          <w:szCs w:val="22"/>
          <w:highlight w:val="none"/>
          <w:lang w:val="en-US" w:eastAsia="zh-CN"/>
        </w:rPr>
        <w:br w:type="page"/>
      </w:r>
    </w:p>
    <w:p w14:paraId="5BDD239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footerReference r:id="rId8" w:type="first"/>
          <w:footerReference r:id="rId7"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06B17E75">
      <w:pPr>
        <w:rPr>
          <w:rFonts w:hint="eastAsia"/>
        </w:rPr>
      </w:pPr>
    </w:p>
    <w:bookmarkEnd w:id="30"/>
    <w:bookmarkEnd w:id="31"/>
    <w:bookmarkEnd w:id="32"/>
    <w:bookmarkEnd w:id="33"/>
    <w:bookmarkEnd w:id="34"/>
    <w:bookmarkEnd w:id="35"/>
    <w:p w14:paraId="43E0C9BC">
      <w:pPr>
        <w:rPr>
          <w:rFonts w:hint="eastAsia"/>
          <w:b w:val="0"/>
          <w:lang w:val="en-US" w:eastAsia="zh-CN"/>
        </w:rPr>
      </w:pPr>
      <w:bookmarkStart w:id="38" w:name="_Toc361761309"/>
      <w:bookmarkStart w:id="39" w:name="_Toc321408668"/>
      <w:bookmarkStart w:id="40" w:name="_Toc173647298"/>
    </w:p>
    <w:p w14:paraId="035AF6C4">
      <w:pPr>
        <w:rPr>
          <w:rFonts w:hint="eastAsia"/>
          <w:b w:val="0"/>
          <w:lang w:val="en-US" w:eastAsia="zh-CN"/>
        </w:rPr>
      </w:pPr>
    </w:p>
    <w:p w14:paraId="3089AF83">
      <w:pPr>
        <w:pStyle w:val="3"/>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ascii="Arial" w:hAnsi="Arial" w:eastAsia="黑体" w:cs="Times New Roman"/>
          <w:b w:val="0"/>
          <w:sz w:val="32"/>
          <w:szCs w:val="32"/>
          <w:lang w:val="en-US" w:bidi="ar-SA"/>
        </w:rPr>
        <w:t>报价一览表</w:t>
      </w:r>
      <w:bookmarkEnd w:id="38"/>
      <w:bookmarkEnd w:id="39"/>
    </w:p>
    <w:p w14:paraId="356A079B">
      <w:pPr>
        <w:keepNext w:val="0"/>
        <w:keepLines w:val="0"/>
        <w:pageBreakBefore w:val="0"/>
        <w:widowControl w:val="0"/>
        <w:kinsoku/>
        <w:wordWrap/>
        <w:overflowPunct/>
        <w:topLinePunct w:val="0"/>
        <w:autoSpaceDE w:val="0"/>
        <w:autoSpaceDN w:val="0"/>
        <w:bidi w:val="0"/>
        <w:adjustRightInd w:val="0"/>
        <w:snapToGrid w:val="0"/>
        <w:spacing w:after="63" w:afterLines="20" w:line="400" w:lineRule="exact"/>
        <w:ind w:right="0" w:rightChars="0"/>
        <w:jc w:val="both"/>
        <w:textAlignment w:val="auto"/>
        <w:outlineLvl w:val="9"/>
        <w:rPr>
          <w:rStyle w:val="17"/>
          <w:rFonts w:hint="default" w:ascii="宋体" w:hAnsi="宋体" w:eastAsia="宋体" w:cs="宋体"/>
          <w:b w:val="0"/>
          <w:bCs w:val="0"/>
          <w:color w:val="auto"/>
          <w:sz w:val="21"/>
          <w:szCs w:val="21"/>
          <w:highlight w:val="none"/>
          <w:lang w:val="en-US" w:eastAsia="zh-CN" w:bidi="ar-SA"/>
        </w:rPr>
      </w:pPr>
      <w:r>
        <w:rPr>
          <w:rStyle w:val="17"/>
          <w:rFonts w:hint="eastAsia" w:ascii="宋体" w:hAnsi="宋体" w:eastAsia="宋体" w:cs="宋体"/>
          <w:b w:val="0"/>
          <w:bCs w:val="0"/>
          <w:color w:val="auto"/>
          <w:sz w:val="21"/>
          <w:szCs w:val="21"/>
          <w:highlight w:val="none"/>
          <w:lang w:val="en-US" w:eastAsia="zh-CN" w:bidi="ar-SA"/>
        </w:rPr>
        <w:t>响应供应商名称：                                       项目编号：HZFY-202</w:t>
      </w:r>
      <w:r>
        <w:rPr>
          <w:rStyle w:val="17"/>
          <w:rFonts w:hint="eastAsia" w:ascii="宋体" w:hAnsi="宋体" w:cs="宋体"/>
          <w:b w:val="0"/>
          <w:bCs w:val="0"/>
          <w:color w:val="auto"/>
          <w:sz w:val="21"/>
          <w:szCs w:val="21"/>
          <w:highlight w:val="none"/>
          <w:lang w:val="en-US" w:eastAsia="zh-CN" w:bidi="ar-SA"/>
        </w:rPr>
        <w:t>609</w:t>
      </w:r>
    </w:p>
    <w:tbl>
      <w:tblPr>
        <w:tblStyle w:val="12"/>
        <w:tblW w:w="8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3866"/>
        <w:gridCol w:w="2291"/>
        <w:gridCol w:w="1472"/>
      </w:tblGrid>
      <w:tr w14:paraId="0F77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050" w:type="dxa"/>
            <w:tcBorders>
              <w:top w:val="single" w:color="auto" w:sz="4" w:space="0"/>
              <w:left w:val="single" w:color="auto" w:sz="4" w:space="0"/>
              <w:bottom w:val="single" w:color="auto" w:sz="4" w:space="0"/>
              <w:right w:val="single" w:color="auto" w:sz="4" w:space="0"/>
            </w:tcBorders>
            <w:noWrap w:val="0"/>
            <w:vAlign w:val="center"/>
          </w:tcPr>
          <w:p w14:paraId="0CEC240D">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序</w:t>
            </w:r>
            <w:r>
              <w:rPr>
                <w:rFonts w:hint="eastAsia" w:ascii="宋体" w:hAnsi="宋体" w:eastAsia="宋体" w:cs="宋体"/>
                <w:sz w:val="21"/>
                <w:szCs w:val="21"/>
                <w:highlight w:val="none"/>
                <w:lang w:eastAsia="zh-CN"/>
              </w:rPr>
              <w:t>号</w:t>
            </w:r>
          </w:p>
        </w:tc>
        <w:tc>
          <w:tcPr>
            <w:tcW w:w="3866" w:type="dxa"/>
            <w:tcBorders>
              <w:top w:val="single" w:color="auto" w:sz="4" w:space="0"/>
              <w:left w:val="single" w:color="auto" w:sz="4" w:space="0"/>
              <w:bottom w:val="single" w:color="auto" w:sz="4" w:space="0"/>
              <w:right w:val="single" w:color="auto" w:sz="4" w:space="0"/>
            </w:tcBorders>
            <w:noWrap w:val="0"/>
            <w:vAlign w:val="center"/>
          </w:tcPr>
          <w:p w14:paraId="1ADDE949">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名称</w:t>
            </w:r>
          </w:p>
        </w:tc>
        <w:tc>
          <w:tcPr>
            <w:tcW w:w="2291" w:type="dxa"/>
            <w:tcBorders>
              <w:top w:val="single" w:color="auto" w:sz="4" w:space="0"/>
              <w:left w:val="single" w:color="auto" w:sz="4" w:space="0"/>
              <w:bottom w:val="single" w:color="auto" w:sz="4" w:space="0"/>
              <w:right w:val="single" w:color="auto" w:sz="4" w:space="0"/>
            </w:tcBorders>
            <w:noWrap w:val="0"/>
            <w:vAlign w:val="center"/>
          </w:tcPr>
          <w:p w14:paraId="2035D92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1"/>
                <w:szCs w:val="21"/>
                <w:highlight w:val="none"/>
                <w:lang w:val="en-US" w:eastAsia="zh-CN"/>
              </w:rPr>
              <w:t>金额</w:t>
            </w:r>
            <w:r>
              <w:rPr>
                <w:rFonts w:hint="eastAsia" w:ascii="宋体" w:hAnsi="宋体" w:eastAsia="宋体" w:cs="宋体"/>
                <w:sz w:val="21"/>
                <w:szCs w:val="21"/>
                <w:highlight w:val="none"/>
                <w:lang w:eastAsia="zh-CN"/>
              </w:rPr>
              <w:t>（元）</w:t>
            </w:r>
          </w:p>
        </w:tc>
        <w:tc>
          <w:tcPr>
            <w:tcW w:w="1472" w:type="dxa"/>
            <w:tcBorders>
              <w:top w:val="single" w:color="auto" w:sz="4" w:space="0"/>
              <w:left w:val="single" w:color="auto" w:sz="4" w:space="0"/>
              <w:bottom w:val="single" w:color="auto" w:sz="4" w:space="0"/>
              <w:right w:val="single" w:color="auto" w:sz="4" w:space="0"/>
            </w:tcBorders>
            <w:noWrap w:val="0"/>
            <w:vAlign w:val="center"/>
          </w:tcPr>
          <w:p w14:paraId="4F45CF5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lang w:eastAsia="zh-CN"/>
              </w:rPr>
            </w:pPr>
            <w:r>
              <w:rPr>
                <w:rFonts w:hint="eastAsia" w:ascii="宋体" w:hAnsi="宋体" w:cs="宋体"/>
                <w:sz w:val="21"/>
                <w:szCs w:val="21"/>
                <w:highlight w:val="none"/>
                <w:lang w:val="en-US" w:eastAsia="zh-CN"/>
              </w:rPr>
              <w:t>备注</w:t>
            </w:r>
          </w:p>
        </w:tc>
      </w:tr>
      <w:tr w14:paraId="1E42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1050" w:type="dxa"/>
            <w:tcBorders>
              <w:top w:val="single" w:color="auto" w:sz="4" w:space="0"/>
              <w:left w:val="single" w:color="auto" w:sz="4" w:space="0"/>
              <w:bottom w:val="single" w:color="auto" w:sz="4" w:space="0"/>
              <w:right w:val="single" w:color="auto" w:sz="4" w:space="0"/>
            </w:tcBorders>
            <w:noWrap w:val="0"/>
            <w:vAlign w:val="center"/>
          </w:tcPr>
          <w:p w14:paraId="314EE96E">
            <w:pPr>
              <w:jc w:val="center"/>
              <w:rPr>
                <w:rFonts w:hint="eastAsia" w:ascii="宋体" w:hAnsi="宋体" w:eastAsia="宋体" w:cs="宋体"/>
                <w:sz w:val="21"/>
                <w:szCs w:val="21"/>
              </w:rPr>
            </w:pPr>
            <w:r>
              <w:rPr>
                <w:rFonts w:hint="eastAsia" w:ascii="宋体" w:hAnsi="宋体" w:eastAsia="宋体" w:cs="宋体"/>
                <w:sz w:val="21"/>
                <w:szCs w:val="21"/>
              </w:rPr>
              <w:t>1</w:t>
            </w:r>
          </w:p>
        </w:tc>
        <w:tc>
          <w:tcPr>
            <w:tcW w:w="3866" w:type="dxa"/>
            <w:tcBorders>
              <w:top w:val="single" w:color="auto" w:sz="4" w:space="0"/>
              <w:left w:val="single" w:color="auto" w:sz="4" w:space="0"/>
              <w:bottom w:val="single" w:color="auto" w:sz="4" w:space="0"/>
              <w:right w:val="single" w:color="auto" w:sz="4" w:space="0"/>
            </w:tcBorders>
            <w:noWrap w:val="0"/>
            <w:vAlign w:val="center"/>
          </w:tcPr>
          <w:p w14:paraId="3A5A86D8">
            <w:pPr>
              <w:widowControl/>
              <w:jc w:val="center"/>
              <w:textAlignment w:val="center"/>
              <w:rPr>
                <w:rFonts w:hint="default" w:ascii="宋体" w:hAnsi="宋体" w:eastAsia="宋体" w:cs="宋体"/>
                <w:kern w:val="0"/>
                <w:sz w:val="21"/>
                <w:szCs w:val="21"/>
                <w:lang w:val="en-US" w:bidi="ar"/>
              </w:rPr>
            </w:pPr>
            <w:r>
              <w:rPr>
                <w:rFonts w:hint="eastAsia"/>
              </w:rPr>
              <w:t>化州市妇幼保健院日志审计服务项目</w:t>
            </w:r>
          </w:p>
        </w:tc>
        <w:tc>
          <w:tcPr>
            <w:tcW w:w="2291" w:type="dxa"/>
            <w:tcBorders>
              <w:top w:val="single" w:color="auto" w:sz="4" w:space="0"/>
              <w:left w:val="single" w:color="auto" w:sz="4" w:space="0"/>
              <w:bottom w:val="single" w:color="auto" w:sz="4" w:space="0"/>
              <w:right w:val="single" w:color="auto" w:sz="4" w:space="0"/>
            </w:tcBorders>
            <w:noWrap w:val="0"/>
            <w:vAlign w:val="center"/>
          </w:tcPr>
          <w:p w14:paraId="4FA979C9">
            <w:pPr>
              <w:keepNext w:val="0"/>
              <w:keepLines w:val="0"/>
              <w:widowControl/>
              <w:suppressLineNumbers w:val="0"/>
              <w:jc w:val="center"/>
              <w:textAlignment w:val="center"/>
              <w:rPr>
                <w:rFonts w:hint="eastAsia" w:ascii="宋体" w:hAnsi="宋体" w:eastAsia="宋体" w:cs="宋体"/>
                <w:kern w:val="0"/>
                <w:sz w:val="21"/>
                <w:szCs w:val="21"/>
                <w:lang w:val="en-US" w:eastAsia="zh-CN" w:bidi="ar"/>
              </w:rPr>
            </w:pPr>
          </w:p>
        </w:tc>
        <w:tc>
          <w:tcPr>
            <w:tcW w:w="1472" w:type="dxa"/>
            <w:tcBorders>
              <w:top w:val="single" w:color="auto" w:sz="4" w:space="0"/>
              <w:left w:val="single" w:color="auto" w:sz="4" w:space="0"/>
              <w:bottom w:val="single" w:color="auto" w:sz="4" w:space="0"/>
              <w:right w:val="single" w:color="auto" w:sz="4" w:space="0"/>
            </w:tcBorders>
            <w:noWrap w:val="0"/>
            <w:vAlign w:val="center"/>
          </w:tcPr>
          <w:p w14:paraId="722FDAEF">
            <w:pPr>
              <w:widowControl/>
              <w:jc w:val="center"/>
              <w:textAlignment w:val="center"/>
              <w:rPr>
                <w:rFonts w:hint="eastAsia" w:ascii="宋体" w:hAnsi="宋体" w:eastAsia="宋体" w:cs="宋体"/>
                <w:kern w:val="0"/>
                <w:sz w:val="21"/>
                <w:szCs w:val="21"/>
                <w:lang w:val="en-US" w:bidi="ar"/>
              </w:rPr>
            </w:pPr>
          </w:p>
        </w:tc>
      </w:tr>
      <w:tr w14:paraId="4D0D7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0" w:type="dxa"/>
            <w:tcBorders>
              <w:top w:val="single" w:color="auto" w:sz="4" w:space="0"/>
              <w:left w:val="single" w:color="auto" w:sz="4" w:space="0"/>
              <w:bottom w:val="single" w:color="auto" w:sz="4" w:space="0"/>
              <w:right w:val="single" w:color="auto" w:sz="4" w:space="0"/>
            </w:tcBorders>
            <w:noWrap w:val="0"/>
            <w:vAlign w:val="center"/>
          </w:tcPr>
          <w:p w14:paraId="6B1AEDE4">
            <w:pPr>
              <w:jc w:val="center"/>
              <w:rPr>
                <w:rFonts w:hint="eastAsia" w:ascii="宋体" w:hAnsi="宋体" w:eastAsia="宋体" w:cs="宋体"/>
                <w:sz w:val="21"/>
                <w:szCs w:val="21"/>
                <w:lang w:val="en-US" w:eastAsia="zh-CN"/>
              </w:rPr>
            </w:pPr>
          </w:p>
        </w:tc>
        <w:tc>
          <w:tcPr>
            <w:tcW w:w="3866" w:type="dxa"/>
            <w:tcBorders>
              <w:top w:val="single" w:color="auto" w:sz="4" w:space="0"/>
              <w:left w:val="single" w:color="auto" w:sz="4" w:space="0"/>
              <w:bottom w:val="single" w:color="auto" w:sz="4" w:space="0"/>
              <w:right w:val="single" w:color="auto" w:sz="4" w:space="0"/>
            </w:tcBorders>
            <w:noWrap w:val="0"/>
            <w:vAlign w:val="center"/>
          </w:tcPr>
          <w:p w14:paraId="78DB8A82">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3763" w:type="dxa"/>
            <w:gridSpan w:val="2"/>
            <w:tcBorders>
              <w:top w:val="single" w:color="auto" w:sz="4" w:space="0"/>
              <w:left w:val="single" w:color="auto" w:sz="4" w:space="0"/>
              <w:bottom w:val="single" w:color="auto" w:sz="4" w:space="0"/>
              <w:right w:val="single" w:color="auto" w:sz="4" w:space="0"/>
            </w:tcBorders>
            <w:noWrap w:val="0"/>
            <w:vAlign w:val="center"/>
          </w:tcPr>
          <w:p w14:paraId="0E5FF4F3">
            <w:pPr>
              <w:widowControl/>
              <w:jc w:val="center"/>
              <w:textAlignment w:val="center"/>
              <w:rPr>
                <w:rFonts w:hint="eastAsia" w:ascii="宋体" w:hAnsi="宋体" w:eastAsia="宋体" w:cs="宋体"/>
                <w:kern w:val="0"/>
                <w:sz w:val="21"/>
                <w:szCs w:val="21"/>
                <w:lang w:val="en-US" w:eastAsia="zh-CN" w:bidi="ar"/>
              </w:rPr>
            </w:pPr>
          </w:p>
        </w:tc>
      </w:tr>
    </w:tbl>
    <w:p w14:paraId="4C60255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7"/>
          <w:rFonts w:hint="eastAsia" w:ascii="宋体" w:hAnsi="宋体" w:cs="宋体"/>
          <w:b w:val="0"/>
          <w:bCs w:val="0"/>
          <w:color w:val="auto"/>
          <w:sz w:val="22"/>
          <w:szCs w:val="22"/>
          <w:highlight w:val="none"/>
          <w:lang w:val="en-US" w:eastAsia="zh-CN" w:bidi="ar-SA"/>
        </w:rPr>
      </w:pPr>
      <w:r>
        <w:rPr>
          <w:rStyle w:val="17"/>
          <w:rFonts w:hint="eastAsia" w:ascii="宋体" w:hAnsi="宋体" w:cs="宋体"/>
          <w:b w:val="0"/>
          <w:bCs w:val="0"/>
          <w:color w:val="auto"/>
          <w:sz w:val="22"/>
          <w:szCs w:val="22"/>
          <w:highlight w:val="none"/>
          <w:lang w:val="en-US" w:eastAsia="zh-CN" w:bidi="ar-SA"/>
        </w:rPr>
        <w:t>注：1.本采购项目设有采购预算价，响应供应商报价不得大于采购预算价，否则视为无效报价处理。</w:t>
      </w:r>
    </w:p>
    <w:p w14:paraId="155C304D">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7"/>
          <w:rFonts w:hint="eastAsia" w:ascii="宋体" w:hAnsi="宋体" w:eastAsia="宋体" w:cs="宋体"/>
          <w:b w:val="0"/>
          <w:bCs w:val="0"/>
          <w:color w:val="auto"/>
          <w:sz w:val="22"/>
          <w:szCs w:val="22"/>
          <w:highlight w:val="none"/>
          <w:lang w:val="en-US" w:eastAsia="zh-CN" w:bidi="ar-SA"/>
        </w:rPr>
      </w:pPr>
      <w:r>
        <w:rPr>
          <w:rStyle w:val="17"/>
          <w:rFonts w:hint="eastAsia" w:ascii="宋体" w:hAnsi="宋体" w:cs="宋体"/>
          <w:b w:val="0"/>
          <w:bCs w:val="0"/>
          <w:color w:val="auto"/>
          <w:sz w:val="22"/>
          <w:szCs w:val="22"/>
          <w:highlight w:val="none"/>
          <w:lang w:val="en-US" w:eastAsia="zh-CN" w:bidi="ar-SA"/>
        </w:rPr>
        <w:t>2.报价需包含所需的全部费用，采购人不再支付成交价以外的其它费用。</w:t>
      </w:r>
    </w:p>
    <w:p w14:paraId="41292626">
      <w:pPr>
        <w:rPr>
          <w:rFonts w:hint="eastAsia"/>
          <w:color w:val="000000" w:themeColor="text1"/>
          <w:sz w:val="21"/>
          <w:szCs w:val="21"/>
          <w14:textFill>
            <w14:solidFill>
              <w14:schemeClr w14:val="tx1"/>
            </w14:solidFill>
          </w14:textFill>
        </w:rPr>
      </w:pPr>
    </w:p>
    <w:p w14:paraId="40726F4A">
      <w:pPr>
        <w:rPr>
          <w:rFonts w:hint="eastAsia"/>
          <w:color w:val="000000" w:themeColor="text1"/>
          <w:sz w:val="21"/>
          <w:szCs w:val="21"/>
          <w14:textFill>
            <w14:solidFill>
              <w14:schemeClr w14:val="tx1"/>
            </w14:solidFill>
          </w14:textFill>
        </w:rPr>
      </w:pPr>
    </w:p>
    <w:p w14:paraId="711BD470">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p>
    <w:p w14:paraId="37E70D5C">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7"/>
          <w:rFonts w:hint="eastAsia" w:ascii="宋体" w:hAnsi="宋体" w:eastAsia="宋体" w:cs="宋体"/>
          <w:b w:val="0"/>
          <w:bCs w:val="0"/>
          <w:color w:val="auto"/>
          <w:sz w:val="22"/>
          <w:szCs w:val="22"/>
          <w:highlight w:val="none"/>
          <w:lang w:val="en-US" w:eastAsia="zh-CN" w:bidi="ar-SA"/>
        </w:rPr>
      </w:pPr>
    </w:p>
    <w:p w14:paraId="798EB848">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7"/>
          <w:rFonts w:hint="eastAsia" w:ascii="宋体" w:hAnsi="宋体" w:eastAsia="宋体" w:cs="宋体"/>
          <w:b w:val="0"/>
          <w:bCs w:val="0"/>
          <w:color w:val="auto"/>
          <w:sz w:val="22"/>
          <w:szCs w:val="22"/>
          <w:highlight w:val="none"/>
          <w:lang w:val="en-US" w:eastAsia="zh-CN" w:bidi="ar-SA"/>
        </w:rPr>
      </w:pPr>
      <w:r>
        <w:rPr>
          <w:rStyle w:val="17"/>
          <w:rFonts w:hint="eastAsia" w:ascii="宋体" w:hAnsi="宋体" w:eastAsia="宋体" w:cs="宋体"/>
          <w:b w:val="0"/>
          <w:bCs w:val="0"/>
          <w:color w:val="auto"/>
          <w:sz w:val="22"/>
          <w:szCs w:val="22"/>
          <w:highlight w:val="none"/>
          <w:lang w:val="en-US" w:eastAsia="zh-CN" w:bidi="ar-SA"/>
        </w:rPr>
        <w:t xml:space="preserve">响应供应商名称（盖公章）：                             </w:t>
      </w:r>
    </w:p>
    <w:p w14:paraId="1DD343D3">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7"/>
          <w:rFonts w:hint="eastAsia" w:ascii="宋体" w:hAnsi="宋体" w:eastAsia="宋体" w:cs="宋体"/>
          <w:b w:val="0"/>
          <w:bCs w:val="0"/>
          <w:color w:val="auto"/>
          <w:sz w:val="22"/>
          <w:szCs w:val="22"/>
          <w:highlight w:val="none"/>
          <w:lang w:val="en-US" w:eastAsia="zh-CN" w:bidi="ar-SA"/>
        </w:rPr>
      </w:pPr>
    </w:p>
    <w:p w14:paraId="06A4A33C">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7"/>
          <w:rFonts w:hint="eastAsia" w:ascii="宋体" w:hAnsi="宋体" w:eastAsia="宋体" w:cs="宋体"/>
          <w:b w:val="0"/>
          <w:bCs w:val="0"/>
          <w:color w:val="auto"/>
          <w:sz w:val="22"/>
          <w:szCs w:val="22"/>
          <w:highlight w:val="none"/>
          <w:lang w:val="en-US" w:eastAsia="zh-CN" w:bidi="ar-SA"/>
        </w:rPr>
      </w:pPr>
      <w:r>
        <w:rPr>
          <w:rStyle w:val="17"/>
          <w:rFonts w:hint="eastAsia" w:ascii="宋体" w:hAnsi="宋体" w:eastAsia="宋体" w:cs="宋体"/>
          <w:b w:val="0"/>
          <w:bCs w:val="0"/>
          <w:color w:val="auto"/>
          <w:sz w:val="22"/>
          <w:szCs w:val="22"/>
          <w:highlight w:val="none"/>
          <w:lang w:val="en-US" w:eastAsia="zh-CN" w:bidi="ar-SA"/>
        </w:rPr>
        <w:t xml:space="preserve">法定代表人或响应供应商授权代表（签名或盖章）：              日期：          </w:t>
      </w:r>
    </w:p>
    <w:bookmarkEnd w:id="40"/>
    <w:p w14:paraId="6DB0149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7"/>
          <w:rFonts w:hint="eastAsia" w:ascii="宋体" w:hAnsi="宋体" w:eastAsia="宋体" w:cs="宋体"/>
          <w:b w:val="0"/>
          <w:bCs w:val="0"/>
          <w:color w:val="auto"/>
          <w:sz w:val="22"/>
          <w:szCs w:val="22"/>
          <w:highlight w:val="none"/>
          <w:lang w:val="en-US" w:eastAsia="zh-CN" w:bidi="ar-SA"/>
        </w:rPr>
      </w:pPr>
    </w:p>
    <w:p w14:paraId="783AF7E9">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7"/>
          <w:rFonts w:hint="eastAsia" w:ascii="宋体" w:hAnsi="宋体" w:eastAsia="宋体" w:cs="宋体"/>
          <w:b w:val="0"/>
          <w:bCs w:val="0"/>
          <w:color w:val="auto"/>
          <w:sz w:val="22"/>
          <w:szCs w:val="22"/>
          <w:highlight w:val="none"/>
          <w:lang w:val="en-US" w:eastAsia="zh-CN" w:bidi="ar-SA"/>
        </w:rPr>
      </w:pPr>
    </w:p>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GWZT-EN">
    <w:altName w:val="Microsoft JhengHei"/>
    <w:panose1 w:val="00000000000000000000"/>
    <w:charset w:val="00"/>
    <w:family w:val="auto"/>
    <w:pitch w:val="default"/>
    <w:sig w:usb0="00000000" w:usb1="00000000" w:usb2="00082016" w:usb3="00000000" w:csb0="00000003"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9"/>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9"/>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6"/>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10"/>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1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10"/>
      <w:pBdr>
        <w:bottom w:val="none" w:color="auto" w:sz="0" w:space="1"/>
      </w:pBdr>
      <w:jc w:val="both"/>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2E2763"/>
    <w:multiLevelType w:val="singleLevel"/>
    <w:tmpl w:val="8F2E2763"/>
    <w:lvl w:ilvl="0" w:tentative="0">
      <w:start w:val="2"/>
      <w:numFmt w:val="chineseCounting"/>
      <w:suff w:val="nothing"/>
      <w:lvlText w:val="第%1部分　"/>
      <w:lvlJc w:val="left"/>
      <w:rPr>
        <w:rFonts w:hint="eastAsia"/>
      </w:rPr>
    </w:lvl>
  </w:abstractNum>
  <w:abstractNum w:abstractNumId="1">
    <w:nsid w:val="A452606F"/>
    <w:multiLevelType w:val="multilevel"/>
    <w:tmpl w:val="A452606F"/>
    <w:lvl w:ilvl="0" w:tentative="0">
      <w:start w:val="1"/>
      <w:numFmt w:val="decimal"/>
      <w:lvlText w:val="%1."/>
      <w:lvlJc w:val="left"/>
      <w:pPr>
        <w:ind w:left="420" w:hanging="420"/>
      </w:pPr>
      <w:rPr>
        <w:rFonts w:hint="default" w:ascii="Arial" w:hAnsi="Arial" w:cs="Arial"/>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C914BFF"/>
    <w:multiLevelType w:val="multilevel"/>
    <w:tmpl w:val="3C914BFF"/>
    <w:lvl w:ilvl="0" w:tentative="0">
      <w:start w:val="1"/>
      <w:numFmt w:val="decimal"/>
      <w:pStyle w:val="2"/>
      <w:lvlText w:val="%1."/>
      <w:lvlJc w:val="left"/>
      <w:pPr>
        <w:tabs>
          <w:tab w:val="left" w:pos="432"/>
        </w:tabs>
        <w:ind w:left="432" w:hanging="432"/>
      </w:pPr>
      <w:rPr>
        <w:rFonts w:hint="eastAsia"/>
      </w:rPr>
    </w:lvl>
    <w:lvl w:ilvl="1" w:tentative="0">
      <w:start w:val="1"/>
      <w:numFmt w:val="decimal"/>
      <w:lvlText w:val="%1.%2"/>
      <w:lvlJc w:val="left"/>
      <w:pPr>
        <w:tabs>
          <w:tab w:val="left" w:pos="1143"/>
        </w:tabs>
        <w:ind w:left="1143"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2489A"/>
    <w:rsid w:val="02C77F43"/>
    <w:rsid w:val="03376320"/>
    <w:rsid w:val="03B54717"/>
    <w:rsid w:val="07383AA1"/>
    <w:rsid w:val="0A2E63AA"/>
    <w:rsid w:val="0A6B39A7"/>
    <w:rsid w:val="0AC57D61"/>
    <w:rsid w:val="0D4F1CD8"/>
    <w:rsid w:val="184E5741"/>
    <w:rsid w:val="1A0A2219"/>
    <w:rsid w:val="1D456AF3"/>
    <w:rsid w:val="22502E27"/>
    <w:rsid w:val="249B1BCD"/>
    <w:rsid w:val="33F505E9"/>
    <w:rsid w:val="390C532E"/>
    <w:rsid w:val="3FD1482F"/>
    <w:rsid w:val="442573FA"/>
    <w:rsid w:val="46FB44EB"/>
    <w:rsid w:val="4BD91991"/>
    <w:rsid w:val="4D2E7412"/>
    <w:rsid w:val="54477E60"/>
    <w:rsid w:val="5A930CD6"/>
    <w:rsid w:val="5D07484F"/>
    <w:rsid w:val="5DDB123A"/>
    <w:rsid w:val="5EC73E03"/>
    <w:rsid w:val="5F13397F"/>
    <w:rsid w:val="60AE3BAC"/>
    <w:rsid w:val="65672B41"/>
    <w:rsid w:val="6B3A6705"/>
    <w:rsid w:val="6C0819B3"/>
    <w:rsid w:val="6C494E84"/>
    <w:rsid w:val="6CAA6214"/>
    <w:rsid w:val="6FDA1B59"/>
    <w:rsid w:val="76E274ED"/>
    <w:rsid w:val="79516F5F"/>
    <w:rsid w:val="7998025B"/>
    <w:rsid w:val="7A1F7AD9"/>
    <w:rsid w:val="7A6D7D1A"/>
    <w:rsid w:val="7BDB5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1"/>
    <w:basedOn w:val="1"/>
    <w:next w:val="1"/>
    <w:qFormat/>
    <w:uiPriority w:val="0"/>
    <w:pPr>
      <w:numPr>
        <w:ilvl w:val="0"/>
        <w:numId w:val="1"/>
      </w:numPr>
      <w:spacing w:beforeLines="100" w:afterLines="100" w:line="480" w:lineRule="auto"/>
      <w:outlineLvl w:val="0"/>
    </w:pPr>
    <w:rPr>
      <w:rFonts w:eastAsia="华文中宋"/>
      <w:b/>
      <w:bCs/>
      <w:kern w:val="44"/>
      <w:sz w:val="36"/>
      <w:szCs w:val="44"/>
    </w:rPr>
  </w:style>
  <w:style w:type="paragraph" w:styleId="3">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4">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Body Text"/>
    <w:basedOn w:val="1"/>
    <w:unhideWhenUsed/>
    <w:qFormat/>
    <w:uiPriority w:val="99"/>
    <w:pPr>
      <w:spacing w:line="360" w:lineRule="auto"/>
    </w:pPr>
    <w:rPr>
      <w:rFonts w:ascii="Times New Roman" w:hAnsi="Times New Roman" w:eastAsia="宋体" w:cs="Times New Roman"/>
      <w:szCs w:val="20"/>
    </w:rPr>
  </w:style>
  <w:style w:type="paragraph" w:styleId="7">
    <w:name w:val="Plain Text"/>
    <w:basedOn w:val="1"/>
    <w:next w:val="8"/>
    <w:unhideWhenUsed/>
    <w:qFormat/>
    <w:uiPriority w:val="99"/>
    <w:rPr>
      <w:rFonts w:ascii="宋体" w:hAnsi="Courier New" w:cs="Courier New"/>
      <w:szCs w:val="21"/>
    </w:rPr>
  </w:style>
  <w:style w:type="paragraph" w:customStyle="1" w:styleId="8">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9">
    <w:name w:val="footer"/>
    <w:basedOn w:val="1"/>
    <w:unhideWhenUsed/>
    <w:qFormat/>
    <w:uiPriority w:val="99"/>
    <w:pPr>
      <w:tabs>
        <w:tab w:val="center" w:pos="4153"/>
        <w:tab w:val="right" w:pos="8306"/>
      </w:tabs>
      <w:snapToGrid w:val="0"/>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Message Header"/>
    <w:basedOn w:val="1"/>
    <w:next w:val="6"/>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table" w:styleId="13">
    <w:name w:val="Table Grid"/>
    <w:basedOn w:val="1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styleId="16">
    <w:name w:val="annotation reference"/>
    <w:qFormat/>
    <w:uiPriority w:val="0"/>
    <w:rPr>
      <w:sz w:val="21"/>
      <w:szCs w:val="21"/>
    </w:rPr>
  </w:style>
  <w:style w:type="character" w:customStyle="1" w:styleId="17">
    <w:name w:val="NormalCharacter"/>
    <w:qFormat/>
    <w:uiPriority w:val="0"/>
  </w:style>
  <w:style w:type="paragraph" w:customStyle="1" w:styleId="18">
    <w:name w:val="List Paragraph"/>
    <w:basedOn w:val="1"/>
    <w:qFormat/>
    <w:uiPriority w:val="34"/>
    <w:pPr>
      <w:ind w:firstLine="420" w:firstLineChars="200"/>
    </w:pPr>
    <w:rPr>
      <w:rFonts w:ascii="Times New Roman" w:hAnsi="Times New Roman" w:eastAsia="宋体" w:cs="Times New Roman"/>
      <w:szCs w:val="24"/>
      <w:lang w:val="en-US" w:eastAsia="zh-CN" w:bidi="ar-SA"/>
    </w:rPr>
  </w:style>
  <w:style w:type="paragraph" w:customStyle="1" w:styleId="19">
    <w:name w:val="Body text|1"/>
    <w:basedOn w:val="1"/>
    <w:qFormat/>
    <w:uiPriority w:val="0"/>
    <w:pPr>
      <w:spacing w:line="480" w:lineRule="auto"/>
      <w:ind w:firstLine="400"/>
    </w:pPr>
    <w:rPr>
      <w:rFonts w:ascii="宋体" w:hAnsi="宋体" w:eastAsia="宋体" w:cs="宋体"/>
      <w:color w:val="111314"/>
      <w:kern w:val="2"/>
      <w:sz w:val="26"/>
      <w:szCs w:val="26"/>
      <w:lang w:val="zh-TW" w:eastAsia="zh-TW" w:bidi="zh-TW"/>
    </w:rPr>
  </w:style>
  <w:style w:type="paragraph" w:customStyle="1" w:styleId="20">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 w:type="paragraph" w:customStyle="1" w:styleId="21">
    <w:name w:val="*正文"/>
    <w:basedOn w:val="1"/>
    <w:qFormat/>
    <w:uiPriority w:val="0"/>
    <w:pPr>
      <w:widowControl/>
      <w:ind w:firstLine="200" w:firstLineChars="200"/>
    </w:pPr>
    <w:rPr>
      <w:rFonts w:ascii="宋体" w:hAnsi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7448</Words>
  <Characters>8123</Characters>
  <Lines>0</Lines>
  <Paragraphs>0</Paragraphs>
  <TotalTime>25</TotalTime>
  <ScaleCrop>false</ScaleCrop>
  <LinksUpToDate>false</LinksUpToDate>
  <CharactersWithSpaces>8524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2026-04-10T02:56:14Z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873A89BBDA5B45AB9CB61A6F8CC698F6_13</vt:lpwstr>
  </property>
</Properties>
</file>