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227F0E">
      <w:pPr>
        <w:jc w:val="center"/>
        <w:rPr>
          <w:rFonts w:hint="eastAsia"/>
          <w:sz w:val="36"/>
          <w:szCs w:val="36"/>
          <w:lang w:eastAsia="zh-CN"/>
        </w:rPr>
      </w:pPr>
      <w:r>
        <w:rPr>
          <w:rFonts w:hint="eastAsia" w:ascii="宋体" w:hAnsi="宋体" w:eastAsia="宋体" w:cs="宋体"/>
          <w:i w:val="0"/>
          <w:iCs w:val="0"/>
          <w:caps w:val="0"/>
          <w:color w:val="000000"/>
          <w:spacing w:val="0"/>
          <w:sz w:val="36"/>
          <w:szCs w:val="36"/>
          <w:shd w:val="clear" w:fill="FFFFFF"/>
          <w:lang w:val="en-US" w:eastAsia="zh-CN"/>
        </w:rPr>
        <w:t>2026年中山市东升医院办公用品和生活用品协议定点采购项目（三次</w:t>
      </w:r>
      <w:bookmarkStart w:id="1" w:name="_GoBack"/>
      <w:bookmarkEnd w:id="1"/>
      <w:r>
        <w:rPr>
          <w:rFonts w:hint="eastAsia" w:ascii="宋体" w:hAnsi="宋体" w:eastAsia="宋体" w:cs="宋体"/>
          <w:i w:val="0"/>
          <w:iCs w:val="0"/>
          <w:caps w:val="0"/>
          <w:color w:val="000000"/>
          <w:spacing w:val="0"/>
          <w:sz w:val="36"/>
          <w:szCs w:val="36"/>
          <w:shd w:val="clear" w:fill="FFFFFF"/>
          <w:lang w:val="en-US" w:eastAsia="zh-CN"/>
        </w:rPr>
        <w:t>）</w:t>
      </w:r>
      <w:r>
        <w:rPr>
          <w:rFonts w:hint="eastAsia"/>
          <w:sz w:val="36"/>
          <w:szCs w:val="36"/>
          <w:lang w:eastAsia="zh-CN"/>
        </w:rPr>
        <w:t>问卷调查表</w:t>
      </w:r>
    </w:p>
    <w:p w14:paraId="5966DC4E">
      <w:pPr>
        <w:spacing w:before="257" w:line="219" w:lineRule="auto"/>
      </w:pPr>
      <w:r>
        <w:rPr>
          <w:rFonts w:hint="eastAsia" w:ascii="宋体" w:hAnsi="宋体" w:eastAsia="宋体" w:cs="宋体"/>
          <w:b/>
          <w:bCs/>
          <w:spacing w:val="-7"/>
          <w:sz w:val="30"/>
          <w:szCs w:val="30"/>
          <w:lang w:eastAsia="zh-CN"/>
        </w:rPr>
        <w:t>一、采购需求</w:t>
      </w:r>
      <w:r>
        <w:rPr>
          <w:rFonts w:ascii="宋体" w:hAnsi="宋体" w:eastAsia="宋体" w:cs="宋体"/>
          <w:b/>
          <w:bCs/>
          <w:spacing w:val="-7"/>
          <w:sz w:val="30"/>
          <w:szCs w:val="30"/>
        </w:rPr>
        <w:t>偏离表</w:t>
      </w:r>
    </w:p>
    <w:p w14:paraId="373C8BE4">
      <w:pPr>
        <w:spacing w:before="65" w:line="228" w:lineRule="auto"/>
        <w:ind w:left="424"/>
        <w:rPr>
          <w:rFonts w:ascii="宋体" w:hAnsi="宋体" w:eastAsia="宋体" w:cs="宋体"/>
          <w:sz w:val="20"/>
          <w:szCs w:val="20"/>
        </w:rPr>
      </w:pPr>
      <w:r>
        <w:rPr>
          <w:rFonts w:ascii="宋体" w:hAnsi="宋体" w:eastAsia="宋体" w:cs="宋体"/>
          <w:spacing w:val="5"/>
          <w:sz w:val="20"/>
          <w:szCs w:val="20"/>
        </w:rPr>
        <w:t>填写要求：</w:t>
      </w:r>
    </w:p>
    <w:p w14:paraId="0F64F54D">
      <w:pPr>
        <w:spacing w:before="220" w:line="227" w:lineRule="auto"/>
        <w:ind w:left="432"/>
        <w:rPr>
          <w:rFonts w:ascii="宋体" w:hAnsi="宋体" w:eastAsia="宋体" w:cs="宋体"/>
          <w:sz w:val="20"/>
          <w:szCs w:val="20"/>
        </w:rPr>
      </w:pPr>
      <w:r>
        <w:rPr>
          <w:rFonts w:ascii="Calibri" w:hAnsi="Calibri" w:eastAsia="Calibri" w:cs="Calibri"/>
          <w:spacing w:val="8"/>
          <w:sz w:val="20"/>
          <w:szCs w:val="20"/>
        </w:rPr>
        <w:t>1</w:t>
      </w:r>
      <w:r>
        <w:rPr>
          <w:rFonts w:ascii="Calibri" w:hAnsi="Calibri" w:eastAsia="Calibri" w:cs="Calibri"/>
          <w:spacing w:val="-23"/>
          <w:sz w:val="20"/>
          <w:szCs w:val="20"/>
        </w:rPr>
        <w:t xml:space="preserve"> </w:t>
      </w:r>
      <w:r>
        <w:rPr>
          <w:rFonts w:ascii="宋体" w:hAnsi="宋体" w:eastAsia="宋体" w:cs="宋体"/>
          <w:spacing w:val="8"/>
          <w:sz w:val="20"/>
          <w:szCs w:val="20"/>
        </w:rPr>
        <w:t>、请按采购需求的要求逐条响应，正负偏离参数请备</w:t>
      </w:r>
      <w:r>
        <w:rPr>
          <w:rFonts w:ascii="宋体" w:hAnsi="宋体" w:eastAsia="宋体" w:cs="宋体"/>
          <w:spacing w:val="7"/>
          <w:sz w:val="20"/>
          <w:szCs w:val="20"/>
        </w:rPr>
        <w:t>注说明。</w:t>
      </w:r>
    </w:p>
    <w:p w14:paraId="77A9D5A4">
      <w:pPr>
        <w:spacing w:before="221" w:line="228" w:lineRule="auto"/>
        <w:ind w:left="426"/>
        <w:rPr>
          <w:rFonts w:ascii="宋体" w:hAnsi="宋体" w:eastAsia="宋体" w:cs="宋体"/>
          <w:spacing w:val="7"/>
          <w:sz w:val="20"/>
          <w:szCs w:val="20"/>
        </w:rPr>
      </w:pPr>
      <w:r>
        <w:rPr>
          <w:rFonts w:ascii="Calibri" w:hAnsi="Calibri" w:eastAsia="Calibri" w:cs="Calibri"/>
          <w:spacing w:val="7"/>
          <w:sz w:val="20"/>
          <w:szCs w:val="20"/>
        </w:rPr>
        <w:t>2</w:t>
      </w:r>
      <w:r>
        <w:rPr>
          <w:rFonts w:ascii="Calibri" w:hAnsi="Calibri" w:eastAsia="Calibri" w:cs="Calibri"/>
          <w:spacing w:val="-14"/>
          <w:sz w:val="20"/>
          <w:szCs w:val="20"/>
        </w:rPr>
        <w:t xml:space="preserve"> </w:t>
      </w:r>
      <w:r>
        <w:rPr>
          <w:rFonts w:ascii="宋体" w:hAnsi="宋体" w:eastAsia="宋体" w:cs="宋体"/>
          <w:spacing w:val="7"/>
          <w:sz w:val="20"/>
          <w:szCs w:val="20"/>
        </w:rPr>
        <w:t>、其中带★的参数是必须完全响应的参数。</w:t>
      </w:r>
    </w:p>
    <w:p w14:paraId="20722D9B">
      <w:pPr>
        <w:spacing w:before="221" w:line="228" w:lineRule="auto"/>
        <w:ind w:left="426"/>
        <w:rPr>
          <w:rFonts w:ascii="宋体" w:hAnsi="宋体" w:eastAsia="宋体" w:cs="宋体"/>
          <w:spacing w:val="7"/>
          <w:sz w:val="20"/>
          <w:szCs w:val="20"/>
        </w:rPr>
      </w:pPr>
    </w:p>
    <w:tbl>
      <w:tblPr>
        <w:tblStyle w:val="7"/>
        <w:tblW w:w="912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5"/>
        <w:gridCol w:w="5373"/>
        <w:gridCol w:w="1541"/>
        <w:gridCol w:w="1510"/>
      </w:tblGrid>
      <w:tr w14:paraId="7CF78F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2" w:hRule="atLeast"/>
        </w:trPr>
        <w:tc>
          <w:tcPr>
            <w:tcW w:w="705" w:type="dxa"/>
            <w:vAlign w:val="center"/>
          </w:tcPr>
          <w:p w14:paraId="14F28E84">
            <w:pPr>
              <w:spacing w:before="65" w:line="229" w:lineRule="auto"/>
              <w:jc w:val="center"/>
              <w:rPr>
                <w:rFonts w:hint="eastAsia" w:ascii="宋体" w:hAnsi="宋体" w:eastAsia="宋体" w:cs="宋体"/>
                <w:b/>
                <w:bCs/>
                <w:sz w:val="21"/>
                <w:szCs w:val="21"/>
              </w:rPr>
            </w:pPr>
            <w:r>
              <w:rPr>
                <w:rFonts w:hint="eastAsia" w:ascii="宋体" w:hAnsi="宋体" w:eastAsia="宋体" w:cs="宋体"/>
                <w:b/>
                <w:bCs/>
                <w:spacing w:val="5"/>
                <w:sz w:val="21"/>
                <w:szCs w:val="21"/>
              </w:rPr>
              <w:t>序号</w:t>
            </w:r>
          </w:p>
        </w:tc>
        <w:tc>
          <w:tcPr>
            <w:tcW w:w="5373" w:type="dxa"/>
            <w:vAlign w:val="center"/>
          </w:tcPr>
          <w:p w14:paraId="491D25F4">
            <w:pPr>
              <w:spacing w:before="65" w:line="227" w:lineRule="auto"/>
              <w:jc w:val="center"/>
              <w:rPr>
                <w:rFonts w:hint="eastAsia" w:ascii="宋体" w:hAnsi="宋体" w:eastAsia="宋体" w:cs="宋体"/>
                <w:b/>
                <w:bCs/>
                <w:sz w:val="21"/>
                <w:szCs w:val="21"/>
              </w:rPr>
            </w:pPr>
            <w:r>
              <w:rPr>
                <w:rFonts w:hint="eastAsia" w:ascii="宋体" w:hAnsi="宋体" w:eastAsia="宋体" w:cs="宋体"/>
                <w:b/>
                <w:bCs/>
                <w:spacing w:val="8"/>
                <w:sz w:val="21"/>
                <w:szCs w:val="21"/>
              </w:rPr>
              <w:t>采购需求的要求</w:t>
            </w:r>
          </w:p>
        </w:tc>
        <w:tc>
          <w:tcPr>
            <w:tcW w:w="1541" w:type="dxa"/>
            <w:vAlign w:val="center"/>
          </w:tcPr>
          <w:p w14:paraId="3985CE07">
            <w:pPr>
              <w:spacing w:before="180" w:line="356" w:lineRule="auto"/>
              <w:ind w:right="241"/>
              <w:jc w:val="center"/>
              <w:rPr>
                <w:rFonts w:hint="eastAsia" w:ascii="宋体" w:hAnsi="宋体" w:eastAsia="宋体" w:cs="宋体"/>
                <w:b/>
                <w:bCs/>
                <w:sz w:val="21"/>
                <w:szCs w:val="21"/>
              </w:rPr>
            </w:pPr>
            <w:r>
              <w:rPr>
                <w:rFonts w:hint="eastAsia" w:ascii="宋体" w:hAnsi="宋体" w:eastAsia="宋体" w:cs="宋体"/>
                <w:b/>
                <w:bCs/>
                <w:spacing w:val="7"/>
                <w:sz w:val="21"/>
                <w:szCs w:val="21"/>
              </w:rPr>
              <w:t>完全响应或</w:t>
            </w:r>
            <w:r>
              <w:rPr>
                <w:rFonts w:hint="eastAsia" w:ascii="宋体" w:hAnsi="宋体" w:eastAsia="宋体" w:cs="宋体"/>
                <w:b/>
                <w:bCs/>
                <w:spacing w:val="6"/>
                <w:sz w:val="21"/>
                <w:szCs w:val="21"/>
              </w:rPr>
              <w:t>正/负偏离</w:t>
            </w:r>
          </w:p>
        </w:tc>
        <w:tc>
          <w:tcPr>
            <w:tcW w:w="1510" w:type="dxa"/>
            <w:vAlign w:val="center"/>
          </w:tcPr>
          <w:p w14:paraId="4E32AE5A">
            <w:pPr>
              <w:spacing w:before="65" w:line="228" w:lineRule="auto"/>
              <w:jc w:val="center"/>
              <w:rPr>
                <w:rFonts w:hint="eastAsia" w:ascii="宋体" w:hAnsi="宋体" w:eastAsia="宋体" w:cs="宋体"/>
                <w:b/>
                <w:bCs/>
                <w:sz w:val="21"/>
                <w:szCs w:val="21"/>
              </w:rPr>
            </w:pPr>
            <w:r>
              <w:rPr>
                <w:rFonts w:hint="eastAsia" w:ascii="宋体" w:hAnsi="宋体" w:eastAsia="宋体" w:cs="宋体"/>
                <w:b/>
                <w:bCs/>
                <w:spacing w:val="7"/>
                <w:sz w:val="21"/>
                <w:szCs w:val="21"/>
              </w:rPr>
              <w:t>偏离情况</w:t>
            </w:r>
          </w:p>
        </w:tc>
      </w:tr>
      <w:tr w14:paraId="0F86E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2" w:hRule="atLeast"/>
        </w:trPr>
        <w:tc>
          <w:tcPr>
            <w:tcW w:w="705" w:type="dxa"/>
            <w:vAlign w:val="center"/>
          </w:tcPr>
          <w:p w14:paraId="4BAAEB1A">
            <w:pPr>
              <w:spacing w:before="65" w:line="270" w:lineRule="exact"/>
              <w:jc w:val="center"/>
              <w:rPr>
                <w:rFonts w:hint="eastAsia" w:ascii="宋体" w:hAnsi="宋体" w:eastAsia="宋体" w:cs="宋体"/>
                <w:sz w:val="21"/>
                <w:szCs w:val="21"/>
              </w:rPr>
            </w:pPr>
            <w:r>
              <w:rPr>
                <w:rFonts w:hint="eastAsia" w:ascii="宋体" w:hAnsi="宋体" w:eastAsia="宋体" w:cs="宋体"/>
                <w:position w:val="1"/>
                <w:sz w:val="21"/>
                <w:szCs w:val="21"/>
              </w:rPr>
              <w:t>1</w:t>
            </w:r>
          </w:p>
        </w:tc>
        <w:tc>
          <w:tcPr>
            <w:tcW w:w="5373" w:type="dxa"/>
            <w:vAlign w:val="top"/>
          </w:tcPr>
          <w:p w14:paraId="62FDB4D0">
            <w:pPr>
              <w:pStyle w:val="3"/>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right="0"/>
              <w:jc w:val="left"/>
              <w:textAlignment w:val="baseline"/>
              <w:rPr>
                <w:rFonts w:hint="eastAsia" w:ascii="宋体" w:hAnsi="宋体" w:eastAsia="宋体" w:cs="宋体"/>
                <w:b/>
                <w:bCs/>
                <w:sz w:val="21"/>
                <w:szCs w:val="21"/>
              </w:rPr>
            </w:pPr>
            <w:r>
              <w:rPr>
                <w:rFonts w:hint="eastAsia" w:ascii="宋体" w:hAnsi="宋体" w:eastAsia="宋体" w:cs="宋体"/>
                <w:b/>
                <w:bCs/>
                <w:sz w:val="21"/>
                <w:szCs w:val="21"/>
              </w:rPr>
              <w:t>供应商的资格要求：</w:t>
            </w:r>
          </w:p>
          <w:p w14:paraId="1DEEFB48">
            <w:pPr>
              <w:pStyle w:val="3"/>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right="0"/>
              <w:jc w:val="left"/>
              <w:textAlignment w:val="baseline"/>
              <w:rPr>
                <w:rFonts w:hint="eastAsia" w:ascii="宋体" w:hAnsi="宋体" w:eastAsia="宋体" w:cs="宋体"/>
                <w:spacing w:val="7"/>
                <w:sz w:val="21"/>
                <w:szCs w:val="21"/>
                <w:lang w:eastAsia="zh-CN"/>
              </w:rPr>
            </w:pPr>
            <w:r>
              <w:rPr>
                <w:rFonts w:hint="eastAsia" w:ascii="宋体" w:hAnsi="宋体" w:eastAsia="宋体" w:cs="宋体"/>
                <w:spacing w:val="7"/>
                <w:sz w:val="21"/>
                <w:szCs w:val="21"/>
              </w:rPr>
              <w:t>1.响应供应商必须是具有独立承担民事责任能力的在中华人民共和国境内注册的企业法人或其他组织或自然人</w:t>
            </w:r>
            <w:r>
              <w:rPr>
                <w:rFonts w:hint="eastAsia" w:ascii="宋体" w:hAnsi="宋体" w:eastAsia="宋体" w:cs="宋体"/>
                <w:spacing w:val="7"/>
                <w:sz w:val="21"/>
                <w:szCs w:val="21"/>
                <w:lang w:eastAsia="zh-CN"/>
              </w:rPr>
              <w:t>，分支机构投标的，须提供总公司和分公司营业执照复印件，总公司出具给分支机构的授权书；</w:t>
            </w:r>
          </w:p>
          <w:p w14:paraId="6DC9BC05">
            <w:pPr>
              <w:pStyle w:val="3"/>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right="0"/>
              <w:jc w:val="left"/>
              <w:textAlignment w:val="baseline"/>
              <w:rPr>
                <w:rFonts w:hint="eastAsia" w:ascii="宋体" w:hAnsi="宋体" w:eastAsia="宋体" w:cs="宋体"/>
                <w:spacing w:val="7"/>
                <w:sz w:val="21"/>
                <w:szCs w:val="21"/>
              </w:rPr>
            </w:pPr>
            <w:r>
              <w:rPr>
                <w:rFonts w:hint="eastAsia" w:ascii="宋体" w:hAnsi="宋体" w:eastAsia="宋体" w:cs="宋体"/>
                <w:spacing w:val="7"/>
                <w:sz w:val="21"/>
                <w:szCs w:val="21"/>
              </w:rPr>
              <w:t>2.响应供应商须具有效的且具备相关经营范围的营业执照；</w:t>
            </w:r>
          </w:p>
          <w:p w14:paraId="226A11D9">
            <w:pPr>
              <w:pStyle w:val="3"/>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right="0"/>
              <w:jc w:val="left"/>
              <w:textAlignment w:val="baseline"/>
              <w:rPr>
                <w:rFonts w:hint="eastAsia" w:ascii="宋体" w:hAnsi="宋体" w:eastAsia="宋体" w:cs="宋体"/>
                <w:spacing w:val="7"/>
                <w:sz w:val="21"/>
                <w:szCs w:val="21"/>
              </w:rPr>
            </w:pPr>
            <w:r>
              <w:rPr>
                <w:rFonts w:hint="eastAsia" w:ascii="宋体" w:hAnsi="宋体" w:eastAsia="宋体" w:cs="宋体"/>
                <w:spacing w:val="7"/>
                <w:sz w:val="21"/>
                <w:szCs w:val="21"/>
              </w:rPr>
              <w:t>3.响应供应商应具有项目的承接能力、合同的履约能力、售后供应能力和良好的信誉；</w:t>
            </w:r>
          </w:p>
          <w:p w14:paraId="7F8B9865">
            <w:pPr>
              <w:pStyle w:val="3"/>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right="0"/>
              <w:jc w:val="left"/>
              <w:textAlignment w:val="baseline"/>
              <w:rPr>
                <w:rFonts w:hint="eastAsia" w:ascii="宋体" w:hAnsi="宋体" w:eastAsia="宋体" w:cs="宋体"/>
                <w:sz w:val="21"/>
                <w:szCs w:val="21"/>
              </w:rPr>
            </w:pPr>
            <w:r>
              <w:rPr>
                <w:rFonts w:hint="eastAsia" w:ascii="宋体" w:hAnsi="宋体" w:eastAsia="宋体" w:cs="宋体"/>
                <w:spacing w:val="7"/>
                <w:sz w:val="21"/>
                <w:szCs w:val="21"/>
              </w:rPr>
              <w:t>4.响应供应商在参与公开招标活动中未有违法违纪行为并受过处罚，响应供应商无围标、串标行为。</w:t>
            </w:r>
          </w:p>
        </w:tc>
        <w:tc>
          <w:tcPr>
            <w:tcW w:w="1541" w:type="dxa"/>
            <w:vAlign w:val="top"/>
          </w:tcPr>
          <w:p w14:paraId="0D59DF74">
            <w:pPr>
              <w:pStyle w:val="8"/>
              <w:rPr>
                <w:rFonts w:hint="eastAsia" w:ascii="宋体" w:hAnsi="宋体" w:eastAsia="宋体" w:cs="宋体"/>
                <w:sz w:val="21"/>
                <w:szCs w:val="21"/>
              </w:rPr>
            </w:pPr>
          </w:p>
        </w:tc>
        <w:tc>
          <w:tcPr>
            <w:tcW w:w="1510" w:type="dxa"/>
            <w:vAlign w:val="top"/>
          </w:tcPr>
          <w:p w14:paraId="414828D7">
            <w:pPr>
              <w:pStyle w:val="8"/>
              <w:rPr>
                <w:rFonts w:hint="eastAsia" w:ascii="宋体" w:hAnsi="宋体" w:eastAsia="宋体" w:cs="宋体"/>
                <w:sz w:val="21"/>
                <w:szCs w:val="21"/>
              </w:rPr>
            </w:pPr>
          </w:p>
        </w:tc>
      </w:tr>
      <w:tr w14:paraId="5C9D85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2" w:hRule="atLeast"/>
        </w:trPr>
        <w:tc>
          <w:tcPr>
            <w:tcW w:w="705" w:type="dxa"/>
            <w:vAlign w:val="center"/>
          </w:tcPr>
          <w:p w14:paraId="4098D3DC">
            <w:pPr>
              <w:spacing w:before="65" w:line="270"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2</w:t>
            </w:r>
          </w:p>
        </w:tc>
        <w:tc>
          <w:tcPr>
            <w:tcW w:w="5373" w:type="dxa"/>
            <w:vAlign w:val="top"/>
          </w:tcPr>
          <w:p w14:paraId="517C2023">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sz w:val="21"/>
                <w:szCs w:val="21"/>
                <w:lang w:val="en-US" w:eastAsia="zh-CN"/>
              </w:rPr>
              <w:t>3.</w:t>
            </w:r>
            <w:r>
              <w:rPr>
                <w:rFonts w:hint="eastAsia" w:ascii="宋体" w:hAnsi="宋体" w:eastAsia="宋体" w:cs="宋体"/>
                <w:color w:val="auto"/>
                <w:sz w:val="21"/>
                <w:szCs w:val="21"/>
                <w:highlight w:val="none"/>
                <w:lang w:eastAsia="zh-CN"/>
              </w:rPr>
              <w:t>供货期限：</w:t>
            </w:r>
            <w:r>
              <w:rPr>
                <w:rFonts w:hint="eastAsia" w:ascii="宋体" w:hAnsi="宋体" w:eastAsia="宋体" w:cs="宋体"/>
                <w:color w:val="auto"/>
                <w:sz w:val="21"/>
                <w:szCs w:val="21"/>
                <w:highlight w:val="none"/>
                <w:lang w:val="en-US" w:eastAsia="zh-CN"/>
              </w:rPr>
              <w:t>自合同签订之日起</w:t>
            </w:r>
            <w:r>
              <w:rPr>
                <w:rFonts w:hint="eastAsia" w:ascii="宋体" w:hAnsi="宋体" w:eastAsia="宋体" w:cs="宋体"/>
                <w:b/>
                <w:bCs/>
                <w:color w:val="auto"/>
                <w:sz w:val="21"/>
                <w:szCs w:val="21"/>
                <w:highlight w:val="none"/>
                <w:u w:val="single"/>
                <w:lang w:val="en-US" w:eastAsia="zh-CN"/>
              </w:rPr>
              <w:t>1</w:t>
            </w:r>
            <w:r>
              <w:rPr>
                <w:rFonts w:hint="eastAsia" w:ascii="宋体" w:hAnsi="宋体" w:eastAsia="宋体" w:cs="宋体"/>
                <w:color w:val="auto"/>
                <w:sz w:val="21"/>
                <w:szCs w:val="21"/>
                <w:highlight w:val="none"/>
                <w:lang w:val="en-US" w:eastAsia="zh-CN"/>
              </w:rPr>
              <w:t>年。当达到下列条件之一，合同自动终止:</w:t>
            </w:r>
          </w:p>
          <w:p w14:paraId="084E0D38">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（1）自合同签订之日起，供货满一年；</w:t>
            </w:r>
          </w:p>
          <w:p w14:paraId="2D38DB0C">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（2）合同期内采购金额累计达到本项目预算总金额；</w:t>
            </w:r>
          </w:p>
          <w:p w14:paraId="13C08D48">
            <w:pPr>
              <w:widowControl w:val="0"/>
              <w:spacing w:line="36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（3）剩余金额不足以采购清单内任何一项物品时。</w:t>
            </w:r>
          </w:p>
          <w:p w14:paraId="086F99F4">
            <w:pPr>
              <w:widowControl w:val="0"/>
              <w:spacing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交</w:t>
            </w:r>
            <w:r>
              <w:rPr>
                <w:rFonts w:hint="eastAsia" w:ascii="宋体" w:hAnsi="宋体" w:eastAsia="宋体" w:cs="宋体"/>
                <w:color w:val="auto"/>
                <w:kern w:val="2"/>
                <w:sz w:val="21"/>
                <w:szCs w:val="21"/>
                <w:highlight w:val="none"/>
                <w:lang w:val="en-US" w:eastAsia="zh-CN" w:bidi="ar-SA"/>
              </w:rPr>
              <w:t>货方式：成交供应商应保证有充足的货物，确保供货，在收到采购人下单通知后</w:t>
            </w:r>
            <w:r>
              <w:rPr>
                <w:rFonts w:hint="eastAsia" w:ascii="宋体" w:hAnsi="宋体" w:eastAsia="宋体" w:cs="宋体"/>
                <w:color w:val="auto"/>
                <w:kern w:val="2"/>
                <w:sz w:val="21"/>
                <w:szCs w:val="21"/>
                <w:highlight w:val="none"/>
                <w:u w:val="single"/>
                <w:lang w:val="en-US" w:eastAsia="zh-CN" w:bidi="ar-SA"/>
              </w:rPr>
              <w:t>3</w:t>
            </w:r>
            <w:r>
              <w:rPr>
                <w:rFonts w:hint="eastAsia" w:ascii="宋体" w:hAnsi="宋体" w:eastAsia="宋体" w:cs="宋体"/>
                <w:color w:val="auto"/>
                <w:kern w:val="2"/>
                <w:sz w:val="21"/>
                <w:szCs w:val="21"/>
                <w:highlight w:val="none"/>
                <w:lang w:val="en-US" w:eastAsia="zh-CN" w:bidi="ar-SA"/>
              </w:rPr>
              <w:t>个自然日内将货物交付到指定地点。如遇采购人急需使用的情况，成交供应商应在</w:t>
            </w:r>
            <w:r>
              <w:rPr>
                <w:rFonts w:hint="eastAsia" w:ascii="宋体" w:hAnsi="宋体" w:eastAsia="宋体" w:cs="宋体"/>
                <w:color w:val="auto"/>
                <w:kern w:val="2"/>
                <w:sz w:val="21"/>
                <w:szCs w:val="21"/>
                <w:highlight w:val="none"/>
                <w:u w:val="single"/>
                <w:lang w:val="en-US" w:eastAsia="zh-CN" w:bidi="ar-SA"/>
              </w:rPr>
              <w:t>2</w:t>
            </w:r>
            <w:r>
              <w:rPr>
                <w:rFonts w:hint="eastAsia" w:ascii="宋体" w:hAnsi="宋体" w:eastAsia="宋体" w:cs="宋体"/>
                <w:color w:val="auto"/>
                <w:kern w:val="2"/>
                <w:sz w:val="21"/>
                <w:szCs w:val="21"/>
                <w:highlight w:val="none"/>
                <w:lang w:val="en-US" w:eastAsia="zh-CN" w:bidi="ar-SA"/>
              </w:rPr>
              <w:t>小时内到货。</w:t>
            </w:r>
          </w:p>
          <w:p w14:paraId="183F4A1C">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5.交货条件：</w:t>
            </w:r>
          </w:p>
          <w:p w14:paraId="3B075E14">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（1）成交供应商应将货物送到采购人指定地点交给采购人收货人，货物交付前一切风险由成交供应商承担。</w:t>
            </w:r>
          </w:p>
          <w:p w14:paraId="22AD6988">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（2）成交供应商所提交的货物单价超出合同约定的，采购人有权拒绝接收。</w:t>
            </w:r>
          </w:p>
          <w:p w14:paraId="12FC0E83">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（3）合同期内，</w:t>
            </w:r>
            <w:r>
              <w:rPr>
                <w:rFonts w:hint="eastAsia" w:ascii="宋体" w:hAnsi="宋体" w:eastAsia="宋体" w:cs="宋体"/>
                <w:color w:val="0000FF"/>
                <w:sz w:val="21"/>
                <w:szCs w:val="21"/>
                <w:highlight w:val="none"/>
                <w:lang w:val="en-US" w:eastAsia="zh-CN"/>
              </w:rPr>
              <w:t>成交供应商应按合同约定品牌、规格或型号供货。</w:t>
            </w:r>
            <w:r>
              <w:rPr>
                <w:rFonts w:hint="eastAsia" w:ascii="宋体" w:hAnsi="宋体" w:eastAsia="宋体" w:cs="宋体"/>
                <w:color w:val="auto"/>
                <w:sz w:val="21"/>
                <w:szCs w:val="21"/>
                <w:highlight w:val="none"/>
                <w:lang w:val="en-US" w:eastAsia="zh-CN"/>
              </w:rPr>
              <w:t>如个别产品遇到停产情况或难以寻找货源的，成交供应商应优先寻找市面上同品牌、同型号、同规格参数的货物供应，若在市面上已无货源供应，成交供应商需提前15天书面告知采购人并经采购人同意后，提供等同或优于原参数的产品供应采购人使用，不得断供，否则视为成交供应商违约（如遇</w:t>
            </w:r>
            <w:r>
              <w:rPr>
                <w:rFonts w:hint="eastAsia" w:ascii="宋体" w:hAnsi="宋体" w:eastAsia="宋体" w:cs="宋体"/>
                <w:color w:val="0000FF"/>
                <w:sz w:val="21"/>
                <w:szCs w:val="21"/>
                <w:highlight w:val="none"/>
                <w:lang w:val="en-US" w:eastAsia="zh-CN"/>
              </w:rPr>
              <w:t>紧急或特殊</w:t>
            </w:r>
            <w:r>
              <w:rPr>
                <w:rFonts w:hint="eastAsia" w:ascii="宋体" w:hAnsi="宋体" w:eastAsia="宋体" w:cs="宋体"/>
                <w:color w:val="auto"/>
                <w:sz w:val="21"/>
                <w:szCs w:val="21"/>
                <w:highlight w:val="none"/>
                <w:lang w:val="en-US" w:eastAsia="zh-CN"/>
              </w:rPr>
              <w:t>情况，供货时间由双方协商确定，</w:t>
            </w:r>
            <w:r>
              <w:rPr>
                <w:rFonts w:hint="eastAsia" w:ascii="宋体" w:hAnsi="宋体" w:eastAsia="宋体" w:cs="宋体"/>
                <w:color w:val="0000FF"/>
                <w:sz w:val="21"/>
                <w:szCs w:val="21"/>
                <w:highlight w:val="none"/>
                <w:lang w:val="en-US" w:eastAsia="zh-CN"/>
              </w:rPr>
              <w:t>全年变更品牌、规格的项目数量不得超过20项</w:t>
            </w:r>
            <w:r>
              <w:rPr>
                <w:rFonts w:hint="eastAsia" w:ascii="宋体" w:hAnsi="宋体" w:eastAsia="宋体" w:cs="宋体"/>
                <w:color w:val="auto"/>
                <w:sz w:val="21"/>
                <w:szCs w:val="21"/>
                <w:highlight w:val="none"/>
                <w:lang w:val="en-US" w:eastAsia="zh-CN"/>
              </w:rPr>
              <w:t>）。</w:t>
            </w:r>
          </w:p>
          <w:p w14:paraId="450089BC">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（4）合同期内，成交供应商所提供的货物在使用过程中，采购人发现以次充好或使用假冒伪劣产品2次以上，或者成交供应商超过规定交货期限15个自然日仍不能交货的，采购人有权单方终止合同。</w:t>
            </w:r>
          </w:p>
          <w:p w14:paraId="4E087859">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lang w:val="en-US" w:eastAsia="zh-CN"/>
              </w:rPr>
              <w:t>（5）成交供应商在实施项目过程中如有违法违规行为的，采购人有权取消其供货资格，造成的损失由成交供应商承担。</w:t>
            </w:r>
          </w:p>
          <w:p w14:paraId="5AE62F1B">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（6）成交供应商不得以任何方式转包或分包本项目，否则采购人有权单方终止项目。 </w:t>
            </w:r>
          </w:p>
          <w:p w14:paraId="093C019C">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（7）成交供应商向采购人提供产品全部相关资质证明。</w:t>
            </w:r>
          </w:p>
          <w:p w14:paraId="468505D1">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成交供应商所提交的产品数量超出合同约定的部分，采购人有权拒绝接收；如采购人同意接收应按合同约定的价格计算货款。成交供应商所提交的产品数量少于合同约定的部分，成交供应商应在采购人要求的日期内补足并承担不足部分总价款20%的违约金。</w:t>
            </w:r>
          </w:p>
          <w:p w14:paraId="551A4E49">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（9）如成交供应商未能按时保质交货，需支付违约金。</w:t>
            </w:r>
          </w:p>
          <w:p w14:paraId="0C6EA31D">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（10）成交供应商送货上门，运费、装卸费及保险费等一切相关费用均由成交供应商负责。</w:t>
            </w:r>
          </w:p>
          <w:p w14:paraId="0F37162F">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（11）成交供应商应依照行业标准对采购人所购买的产品进行包装，以防止产品在转运中损坏、污染或侵权行为等，确保产品安全运抵指定地点。</w:t>
            </w:r>
          </w:p>
          <w:p w14:paraId="253D9061">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（12）成交供应商不得无故拖延项目实施，否则，经采购人通知后，成交供应商未在采购人指定的合理期限内完成的，采购人有权向第三方采购，所产生的费用及一切经济损失由供应商自行承担。</w:t>
            </w:r>
          </w:p>
          <w:p w14:paraId="58F00CE9">
            <w:pPr>
              <w:numPr>
                <w:ilvl w:val="0"/>
                <w:numId w:val="0"/>
              </w:numPr>
              <w:spacing w:line="360" w:lineRule="auto"/>
              <w:rPr>
                <w:rFonts w:hint="eastAsia" w:ascii="宋体" w:hAnsi="宋体" w:eastAsia="宋体" w:cs="宋体"/>
                <w:sz w:val="21"/>
                <w:szCs w:val="21"/>
              </w:rPr>
            </w:pPr>
            <w:r>
              <w:rPr>
                <w:rFonts w:hint="eastAsia" w:ascii="宋体" w:hAnsi="宋体" w:eastAsia="宋体" w:cs="宋体"/>
                <w:color w:val="auto"/>
                <w:sz w:val="21"/>
                <w:szCs w:val="21"/>
                <w:highlight w:val="none"/>
                <w:lang w:val="en-US" w:eastAsia="zh-CN"/>
              </w:rPr>
              <w:t>6.本次采购只进行供应商供货资格的招标，本次招标为协议供货资格的取得，并不代表货物已售出，采购人无法预计也无法保证向成交供应商采购的数量。采购人按照本单位使用情况下单所需货物数量，成交供应商不得对采购人所采购货物数量做要求或质疑。本项目的采购数量为一年内预计发生量，结算时以实际发生量为准。</w:t>
            </w:r>
          </w:p>
        </w:tc>
        <w:tc>
          <w:tcPr>
            <w:tcW w:w="1541" w:type="dxa"/>
            <w:vAlign w:val="top"/>
          </w:tcPr>
          <w:p w14:paraId="27900034">
            <w:pPr>
              <w:pStyle w:val="8"/>
              <w:rPr>
                <w:rFonts w:hint="eastAsia" w:ascii="宋体" w:hAnsi="宋体" w:eastAsia="宋体" w:cs="宋体"/>
                <w:sz w:val="21"/>
                <w:szCs w:val="21"/>
              </w:rPr>
            </w:pPr>
          </w:p>
        </w:tc>
        <w:tc>
          <w:tcPr>
            <w:tcW w:w="1510" w:type="dxa"/>
            <w:vAlign w:val="top"/>
          </w:tcPr>
          <w:p w14:paraId="7326CAC2">
            <w:pPr>
              <w:pStyle w:val="8"/>
              <w:rPr>
                <w:rFonts w:hint="eastAsia" w:ascii="宋体" w:hAnsi="宋体" w:eastAsia="宋体" w:cs="宋体"/>
                <w:sz w:val="21"/>
                <w:szCs w:val="21"/>
              </w:rPr>
            </w:pPr>
          </w:p>
        </w:tc>
      </w:tr>
      <w:tr w14:paraId="3A0154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2" w:hRule="atLeast"/>
        </w:trPr>
        <w:tc>
          <w:tcPr>
            <w:tcW w:w="705" w:type="dxa"/>
            <w:vAlign w:val="center"/>
          </w:tcPr>
          <w:p w14:paraId="329017F4">
            <w:pPr>
              <w:spacing w:before="65" w:line="270" w:lineRule="exac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3</w:t>
            </w:r>
          </w:p>
        </w:tc>
        <w:tc>
          <w:tcPr>
            <w:tcW w:w="5373" w:type="dxa"/>
            <w:vAlign w:val="top"/>
          </w:tcPr>
          <w:p w14:paraId="6D2A02EA">
            <w:pPr>
              <w:spacing w:line="360" w:lineRule="auto"/>
              <w:ind w:firstLine="422" w:firstLineChars="200"/>
              <w:outlineLvl w:val="1"/>
              <w:rPr>
                <w:rFonts w:hint="eastAsia" w:ascii="宋体" w:hAnsi="宋体" w:eastAsia="宋体" w:cs="宋体"/>
                <w:color w:val="auto"/>
                <w:sz w:val="21"/>
                <w:szCs w:val="21"/>
                <w:lang w:val="en-US" w:eastAsia="zh-CN"/>
              </w:rPr>
            </w:pPr>
            <w:r>
              <w:rPr>
                <w:rFonts w:hint="eastAsia" w:ascii="宋体" w:hAnsi="宋体" w:eastAsia="宋体" w:cs="宋体"/>
                <w:b/>
                <w:color w:val="auto"/>
                <w:sz w:val="21"/>
                <w:szCs w:val="21"/>
                <w:highlight w:val="none"/>
                <w:lang w:val="en-US" w:eastAsia="zh-CN"/>
              </w:rPr>
              <w:t>响应报价要求</w:t>
            </w:r>
          </w:p>
          <w:p w14:paraId="056782FD">
            <w:pPr>
              <w:spacing w:line="360" w:lineRule="auto"/>
              <w:ind w:firstLine="420" w:firstLineChars="200"/>
              <w:rPr>
                <w:rFonts w:hint="eastAsia" w:ascii="宋体" w:hAnsi="宋体" w:eastAsia="宋体" w:cs="宋体"/>
                <w:b w:val="0"/>
                <w:color w:val="auto"/>
                <w:sz w:val="21"/>
                <w:szCs w:val="21"/>
              </w:rPr>
            </w:pPr>
            <w:r>
              <w:rPr>
                <w:rFonts w:hint="eastAsia" w:ascii="宋体" w:hAnsi="宋体" w:eastAsia="宋体" w:cs="宋体"/>
                <w:color w:val="auto"/>
                <w:sz w:val="21"/>
                <w:szCs w:val="21"/>
              </w:rPr>
              <w:t>1</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供应商</w:t>
            </w:r>
            <w:r>
              <w:rPr>
                <w:rFonts w:hint="eastAsia" w:ascii="宋体" w:hAnsi="宋体" w:eastAsia="宋体" w:cs="宋体"/>
                <w:color w:val="auto"/>
                <w:sz w:val="21"/>
                <w:szCs w:val="21"/>
                <w:lang w:eastAsia="zh-CN"/>
              </w:rPr>
              <w:t>需对</w:t>
            </w:r>
            <w:r>
              <w:rPr>
                <w:rFonts w:hint="eastAsia" w:ascii="宋体" w:hAnsi="宋体" w:eastAsia="宋体" w:cs="宋体"/>
                <w:color w:val="auto"/>
                <w:sz w:val="21"/>
                <w:szCs w:val="21"/>
              </w:rPr>
              <w:t>采购物品的单价报出统一的</w:t>
            </w: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下浮率，下浮率在0%（含本数）-100%（含本数）范围内取值，若报价超出此范围则</w:t>
            </w:r>
            <w:r>
              <w:rPr>
                <w:rFonts w:hint="eastAsia" w:ascii="宋体" w:hAnsi="宋体" w:eastAsia="宋体" w:cs="宋体"/>
                <w:color w:val="auto"/>
                <w:sz w:val="21"/>
                <w:szCs w:val="21"/>
                <w:lang w:val="en-US" w:eastAsia="zh-CN"/>
              </w:rPr>
              <w:t>视为</w:t>
            </w:r>
            <w:r>
              <w:rPr>
                <w:rFonts w:hint="eastAsia" w:ascii="宋体" w:hAnsi="宋体" w:eastAsia="宋体" w:cs="宋体"/>
                <w:color w:val="auto"/>
                <w:sz w:val="21"/>
                <w:szCs w:val="21"/>
              </w:rPr>
              <w:t>无效</w:t>
            </w: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w:t>
            </w:r>
            <w:r>
              <w:rPr>
                <w:rFonts w:hint="eastAsia" w:ascii="宋体" w:hAnsi="宋体" w:eastAsia="宋体" w:cs="宋体"/>
                <w:b w:val="0"/>
                <w:color w:val="auto"/>
                <w:sz w:val="21"/>
                <w:szCs w:val="21"/>
              </w:rPr>
              <w:t>各类货物实际供货</w:t>
            </w:r>
            <w:r>
              <w:rPr>
                <w:rFonts w:hint="eastAsia" w:ascii="宋体" w:hAnsi="宋体" w:eastAsia="宋体" w:cs="宋体"/>
                <w:b w:val="0"/>
                <w:color w:val="auto"/>
                <w:sz w:val="21"/>
                <w:szCs w:val="21"/>
                <w:lang w:val="en-US" w:eastAsia="zh-CN"/>
              </w:rPr>
              <w:t>单</w:t>
            </w:r>
            <w:r>
              <w:rPr>
                <w:rFonts w:hint="eastAsia" w:ascii="宋体" w:hAnsi="宋体" w:eastAsia="宋体" w:cs="宋体"/>
                <w:b w:val="0"/>
                <w:color w:val="auto"/>
                <w:sz w:val="21"/>
                <w:szCs w:val="21"/>
              </w:rPr>
              <w:t>价=最高单价限价×（1-</w:t>
            </w:r>
            <w:r>
              <w:rPr>
                <w:rFonts w:hint="eastAsia" w:ascii="宋体" w:hAnsi="宋体" w:eastAsia="宋体" w:cs="宋体"/>
                <w:b w:val="0"/>
                <w:color w:val="auto"/>
                <w:sz w:val="21"/>
                <w:szCs w:val="21"/>
                <w:lang w:val="en-US" w:eastAsia="zh-CN"/>
              </w:rPr>
              <w:t>成交</w:t>
            </w:r>
            <w:r>
              <w:rPr>
                <w:rFonts w:hint="eastAsia" w:ascii="宋体" w:hAnsi="宋体" w:eastAsia="宋体" w:cs="宋体"/>
                <w:b w:val="0"/>
                <w:color w:val="auto"/>
                <w:sz w:val="21"/>
                <w:szCs w:val="21"/>
              </w:rPr>
              <w:t>下浮率）</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四舍五入保留至小数点后两位</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lang w:eastAsia="zh-CN"/>
              </w:rPr>
              <w:t>，该</w:t>
            </w:r>
            <w:r>
              <w:rPr>
                <w:rFonts w:hint="eastAsia" w:ascii="宋体" w:hAnsi="宋体" w:eastAsia="宋体" w:cs="宋体"/>
                <w:b w:val="0"/>
                <w:color w:val="auto"/>
                <w:sz w:val="21"/>
                <w:szCs w:val="21"/>
                <w:lang w:val="en-US" w:eastAsia="zh-CN"/>
              </w:rPr>
              <w:t>单价为</w:t>
            </w:r>
            <w:r>
              <w:rPr>
                <w:rFonts w:hint="eastAsia" w:ascii="宋体" w:hAnsi="宋体" w:eastAsia="宋体" w:cs="宋体"/>
                <w:b w:val="0"/>
                <w:color w:val="auto"/>
                <w:sz w:val="21"/>
                <w:szCs w:val="21"/>
              </w:rPr>
              <w:t>合同期间的最终价格，在合同期内，价格不再</w:t>
            </w:r>
            <w:r>
              <w:rPr>
                <w:rFonts w:hint="eastAsia" w:ascii="宋体" w:hAnsi="宋体" w:eastAsia="宋体" w:cs="宋体"/>
                <w:b w:val="0"/>
                <w:color w:val="auto"/>
                <w:sz w:val="21"/>
                <w:szCs w:val="21"/>
                <w:lang w:eastAsia="zh-CN"/>
              </w:rPr>
              <w:t>随</w:t>
            </w:r>
            <w:r>
              <w:rPr>
                <w:rFonts w:hint="eastAsia" w:ascii="宋体" w:hAnsi="宋体" w:eastAsia="宋体" w:cs="宋体"/>
                <w:b w:val="0"/>
                <w:color w:val="auto"/>
                <w:sz w:val="21"/>
                <w:szCs w:val="21"/>
              </w:rPr>
              <w:t>市场同类</w:t>
            </w:r>
            <w:r>
              <w:rPr>
                <w:rFonts w:hint="eastAsia" w:ascii="宋体" w:hAnsi="宋体" w:eastAsia="宋体" w:cs="宋体"/>
                <w:b w:val="0"/>
                <w:color w:val="auto"/>
                <w:sz w:val="21"/>
                <w:szCs w:val="21"/>
                <w:lang w:eastAsia="zh-CN"/>
              </w:rPr>
              <w:t>商品价格</w:t>
            </w:r>
            <w:r>
              <w:rPr>
                <w:rFonts w:hint="eastAsia" w:ascii="宋体" w:hAnsi="宋体" w:eastAsia="宋体" w:cs="宋体"/>
                <w:b w:val="0"/>
                <w:color w:val="auto"/>
                <w:sz w:val="21"/>
                <w:szCs w:val="21"/>
              </w:rPr>
              <w:t>的调整而</w:t>
            </w:r>
            <w:r>
              <w:rPr>
                <w:rFonts w:hint="eastAsia" w:ascii="宋体" w:hAnsi="宋体" w:eastAsia="宋体" w:cs="宋体"/>
                <w:b w:val="0"/>
                <w:color w:val="auto"/>
                <w:sz w:val="21"/>
                <w:szCs w:val="21"/>
                <w:lang w:val="en-US" w:eastAsia="zh-CN"/>
              </w:rPr>
              <w:t>进行调整</w:t>
            </w:r>
            <w:r>
              <w:rPr>
                <w:rFonts w:hint="eastAsia" w:ascii="宋体" w:hAnsi="宋体" w:eastAsia="宋体" w:cs="宋体"/>
                <w:b w:val="0"/>
                <w:color w:val="auto"/>
                <w:sz w:val="21"/>
                <w:szCs w:val="21"/>
              </w:rPr>
              <w:t>。</w:t>
            </w:r>
          </w:p>
          <w:p w14:paraId="0A7F6EA3">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本次</w:t>
            </w: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报价应为人民币含税全包价，包括</w:t>
            </w:r>
            <w:r>
              <w:rPr>
                <w:rFonts w:hint="eastAsia" w:ascii="宋体" w:hAnsi="宋体" w:eastAsia="宋体" w:cs="宋体"/>
                <w:color w:val="auto"/>
                <w:sz w:val="21"/>
                <w:szCs w:val="21"/>
                <w:lang w:val="en-US" w:eastAsia="zh-CN"/>
              </w:rPr>
              <w:t>货物</w:t>
            </w:r>
            <w:r>
              <w:rPr>
                <w:rFonts w:hint="eastAsia" w:ascii="宋体" w:hAnsi="宋体" w:eastAsia="宋体" w:cs="宋体"/>
                <w:color w:val="auto"/>
                <w:sz w:val="21"/>
                <w:szCs w:val="21"/>
              </w:rPr>
              <w:t>价格、包装费、运杂费、保险费、卸车费、配合费、检测费、配送费、税金</w:t>
            </w:r>
            <w:r>
              <w:rPr>
                <w:rFonts w:hint="eastAsia" w:ascii="宋体" w:hAnsi="宋体" w:eastAsia="宋体" w:cs="宋体"/>
                <w:color w:val="auto"/>
                <w:sz w:val="21"/>
                <w:szCs w:val="21"/>
                <w:lang w:eastAsia="zh-CN"/>
              </w:rPr>
              <w:t>以及</w:t>
            </w:r>
            <w:r>
              <w:rPr>
                <w:rFonts w:hint="eastAsia" w:ascii="宋体" w:hAnsi="宋体" w:eastAsia="宋体" w:cs="宋体"/>
                <w:color w:val="auto"/>
                <w:sz w:val="21"/>
                <w:szCs w:val="21"/>
                <w:lang w:val="en-US" w:eastAsia="zh-CN"/>
              </w:rPr>
              <w:t>本项目执行过程中</w:t>
            </w:r>
            <w:r>
              <w:rPr>
                <w:rFonts w:hint="eastAsia" w:ascii="宋体" w:hAnsi="宋体" w:eastAsia="宋体" w:cs="宋体"/>
                <w:color w:val="auto"/>
                <w:sz w:val="21"/>
                <w:szCs w:val="21"/>
              </w:rPr>
              <w:t>需要的其他费用</w:t>
            </w:r>
            <w:r>
              <w:rPr>
                <w:rFonts w:hint="eastAsia" w:ascii="宋体" w:hAnsi="宋体" w:eastAsia="宋体" w:cs="宋体"/>
                <w:i w:val="0"/>
                <w:iCs w:val="0"/>
                <w:caps w:val="0"/>
                <w:color w:val="auto"/>
                <w:spacing w:val="0"/>
                <w:sz w:val="21"/>
                <w:szCs w:val="21"/>
                <w:shd w:val="clear" w:fill="FFFFFF"/>
              </w:rPr>
              <w:t>或合同实施过程中不可预见的费用等，响应供应商不得再向采购人收取任何费用。</w:t>
            </w:r>
          </w:p>
          <w:p w14:paraId="699A4B3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响应供应商</w:t>
            </w:r>
            <w:r>
              <w:rPr>
                <w:rFonts w:hint="eastAsia" w:ascii="宋体" w:hAnsi="宋体" w:eastAsia="宋体" w:cs="宋体"/>
                <w:color w:val="auto"/>
                <w:sz w:val="21"/>
                <w:szCs w:val="21"/>
                <w:lang w:val="en-US" w:eastAsia="zh-CN"/>
              </w:rPr>
              <w:t>须对采购清单的内容进行整体响应</w:t>
            </w:r>
            <w:r>
              <w:rPr>
                <w:rFonts w:hint="eastAsia" w:ascii="宋体" w:hAnsi="宋体" w:eastAsia="宋体" w:cs="宋体"/>
                <w:color w:val="auto"/>
                <w:sz w:val="21"/>
                <w:szCs w:val="21"/>
              </w:rPr>
              <w:t>，</w:t>
            </w:r>
            <w:r>
              <w:rPr>
                <w:rFonts w:hint="eastAsia" w:ascii="宋体" w:hAnsi="宋体" w:eastAsia="宋体" w:cs="宋体"/>
                <w:b/>
                <w:bCs/>
                <w:color w:val="auto"/>
                <w:sz w:val="21"/>
                <w:szCs w:val="21"/>
                <w:lang w:val="en-US" w:eastAsia="zh-CN"/>
              </w:rPr>
              <w:t>注明产品品牌（如有）</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缺项、漏项</w:t>
            </w:r>
            <w:r>
              <w:rPr>
                <w:rFonts w:hint="eastAsia" w:ascii="宋体" w:hAnsi="宋体" w:eastAsia="宋体" w:cs="宋体"/>
                <w:color w:val="auto"/>
                <w:sz w:val="21"/>
                <w:szCs w:val="21"/>
                <w:lang w:val="en-US" w:eastAsia="zh-CN"/>
              </w:rPr>
              <w:t>、非统一下浮率的报价均</w:t>
            </w:r>
            <w:r>
              <w:rPr>
                <w:rFonts w:hint="eastAsia" w:ascii="宋体" w:hAnsi="宋体" w:eastAsia="宋体" w:cs="宋体"/>
                <w:color w:val="auto"/>
                <w:sz w:val="21"/>
                <w:szCs w:val="21"/>
              </w:rPr>
              <w:t>为无效报价。</w:t>
            </w:r>
          </w:p>
          <w:p w14:paraId="32739F36">
            <w:pPr>
              <w:numPr>
                <w:ilvl w:val="0"/>
                <w:numId w:val="0"/>
              </w:numPr>
              <w:jc w:val="left"/>
              <w:rPr>
                <w:rFonts w:hint="eastAsia" w:ascii="宋体" w:hAnsi="宋体" w:eastAsia="宋体" w:cs="宋体"/>
                <w:b w:val="0"/>
                <w:bCs w:val="0"/>
                <w:sz w:val="21"/>
                <w:szCs w:val="21"/>
                <w:lang w:val="en-US" w:eastAsia="zh-CN"/>
              </w:rPr>
            </w:pPr>
            <w:r>
              <w:rPr>
                <w:rFonts w:hint="eastAsia" w:ascii="宋体" w:hAnsi="宋体" w:eastAsia="宋体" w:cs="宋体"/>
                <w:b w:val="0"/>
                <w:bCs w:val="0"/>
                <w:color w:val="auto"/>
                <w:sz w:val="21"/>
                <w:szCs w:val="21"/>
                <w:lang w:val="en-US" w:eastAsia="zh-CN"/>
              </w:rPr>
              <w:t>4、响应供应商在响应报价文件中需提供近三年内同类项目业绩相关证明文件。</w:t>
            </w:r>
          </w:p>
        </w:tc>
        <w:tc>
          <w:tcPr>
            <w:tcW w:w="1541" w:type="dxa"/>
            <w:vAlign w:val="top"/>
          </w:tcPr>
          <w:p w14:paraId="41626F82">
            <w:pPr>
              <w:pStyle w:val="8"/>
              <w:rPr>
                <w:rFonts w:hint="eastAsia" w:ascii="宋体" w:hAnsi="宋体" w:eastAsia="宋体" w:cs="宋体"/>
                <w:sz w:val="21"/>
                <w:szCs w:val="21"/>
              </w:rPr>
            </w:pPr>
          </w:p>
        </w:tc>
        <w:tc>
          <w:tcPr>
            <w:tcW w:w="1510" w:type="dxa"/>
            <w:vAlign w:val="top"/>
          </w:tcPr>
          <w:p w14:paraId="03D77C60">
            <w:pPr>
              <w:pStyle w:val="8"/>
              <w:rPr>
                <w:rFonts w:hint="eastAsia" w:ascii="宋体" w:hAnsi="宋体" w:eastAsia="宋体" w:cs="宋体"/>
                <w:sz w:val="21"/>
                <w:szCs w:val="21"/>
              </w:rPr>
            </w:pPr>
          </w:p>
        </w:tc>
      </w:tr>
      <w:tr w14:paraId="59AC2A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2" w:hRule="atLeast"/>
        </w:trPr>
        <w:tc>
          <w:tcPr>
            <w:tcW w:w="705" w:type="dxa"/>
            <w:vAlign w:val="center"/>
          </w:tcPr>
          <w:p w14:paraId="5F60DF14">
            <w:pPr>
              <w:spacing w:before="65" w:line="270" w:lineRule="exac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4</w:t>
            </w:r>
          </w:p>
        </w:tc>
        <w:tc>
          <w:tcPr>
            <w:tcW w:w="5373" w:type="dxa"/>
            <w:vAlign w:val="top"/>
          </w:tcPr>
          <w:p w14:paraId="5948E6F0">
            <w:pPr>
              <w:spacing w:line="360" w:lineRule="auto"/>
              <w:outlineLvl w:val="1"/>
              <w:rPr>
                <w:rFonts w:hint="eastAsia" w:ascii="宋体" w:hAnsi="宋体" w:eastAsia="宋体" w:cs="宋体"/>
                <w:color w:val="auto"/>
                <w:sz w:val="21"/>
                <w:szCs w:val="21"/>
                <w:lang w:val="en-US" w:eastAsia="zh-CN"/>
              </w:rPr>
            </w:pPr>
            <w:r>
              <w:rPr>
                <w:rFonts w:hint="eastAsia" w:ascii="宋体" w:hAnsi="宋体" w:eastAsia="宋体" w:cs="宋体"/>
                <w:b/>
                <w:color w:val="auto"/>
                <w:sz w:val="21"/>
                <w:szCs w:val="21"/>
                <w:highlight w:val="none"/>
                <w:lang w:val="en-US" w:eastAsia="zh-CN"/>
              </w:rPr>
              <w:t>技术要求</w:t>
            </w:r>
          </w:p>
          <w:p w14:paraId="24D08E55">
            <w:pPr>
              <w:autoSpaceDE w:val="0"/>
              <w:autoSpaceDN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1.成交供应商应提供已注册品牌制造商原装、全新、符合国家及采购人提出的有关质量标准的产品。</w:t>
            </w:r>
          </w:p>
          <w:p w14:paraId="02FDEA92">
            <w:pPr>
              <w:autoSpaceDE w:val="0"/>
              <w:autoSpaceDN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2.所有货物在开箱检验时必须完好，无破损，配置与装箱单相符。</w:t>
            </w:r>
          </w:p>
          <w:p w14:paraId="2D237BB6">
            <w:pPr>
              <w:autoSpaceDE w:val="0"/>
              <w:autoSpaceDN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3.成交供应商所提供产品的性能、配置参数等不能低于采购文件所提出的要求。</w:t>
            </w:r>
          </w:p>
          <w:p w14:paraId="69D8FF8B">
            <w:pPr>
              <w:autoSpaceDE w:val="0"/>
              <w:autoSpaceDN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成交供应商所提供的货物必须符合国家有关规范和环保要求及采购人的技术要求。所有货物及服务不得侵犯第三方专利权、商标权、工业设计权、所有权和著作权（版权）等。否则，成交供应商须承担对第三方的专利、商标或版权等的侵权责任，并承担因此而发生的一切费用，采购人不承担与之相关的任何经济和法律责任。</w:t>
            </w:r>
          </w:p>
          <w:p w14:paraId="734FA813">
            <w:pPr>
              <w:numPr>
                <w:ilvl w:val="0"/>
                <w:numId w:val="0"/>
              </w:numPr>
              <w:ind w:leftChars="0"/>
              <w:jc w:val="left"/>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5.成交供应商不得经营未经注册、无合格证明、过期、失效或者淘汰的产品，如因产品质量原因造成的一切损失由成交供应商承担全部责任</w:t>
            </w:r>
          </w:p>
        </w:tc>
        <w:tc>
          <w:tcPr>
            <w:tcW w:w="1541" w:type="dxa"/>
            <w:vAlign w:val="top"/>
          </w:tcPr>
          <w:p w14:paraId="0A74B89D">
            <w:pPr>
              <w:pStyle w:val="8"/>
              <w:rPr>
                <w:rFonts w:hint="eastAsia" w:ascii="宋体" w:hAnsi="宋体" w:eastAsia="宋体" w:cs="宋体"/>
                <w:sz w:val="21"/>
                <w:szCs w:val="21"/>
              </w:rPr>
            </w:pPr>
          </w:p>
        </w:tc>
        <w:tc>
          <w:tcPr>
            <w:tcW w:w="1510" w:type="dxa"/>
            <w:vAlign w:val="top"/>
          </w:tcPr>
          <w:p w14:paraId="521DB8CF">
            <w:pPr>
              <w:pStyle w:val="8"/>
              <w:rPr>
                <w:rFonts w:hint="eastAsia" w:ascii="宋体" w:hAnsi="宋体" w:eastAsia="宋体" w:cs="宋体"/>
                <w:sz w:val="21"/>
                <w:szCs w:val="21"/>
              </w:rPr>
            </w:pPr>
          </w:p>
        </w:tc>
      </w:tr>
      <w:tr w14:paraId="059C53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trPr>
        <w:tc>
          <w:tcPr>
            <w:tcW w:w="705" w:type="dxa"/>
            <w:vAlign w:val="center"/>
          </w:tcPr>
          <w:p w14:paraId="5050866F">
            <w:pPr>
              <w:spacing w:before="65" w:line="270" w:lineRule="exac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5</w:t>
            </w:r>
          </w:p>
        </w:tc>
        <w:tc>
          <w:tcPr>
            <w:tcW w:w="5373" w:type="dxa"/>
            <w:vAlign w:val="top"/>
          </w:tcPr>
          <w:p w14:paraId="7E941CBA">
            <w:pPr>
              <w:spacing w:line="360" w:lineRule="auto"/>
              <w:outlineLvl w:val="1"/>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包装、装卸、运输及保险</w:t>
            </w:r>
          </w:p>
          <w:p w14:paraId="70ED0E52">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成交供应商所供货物包装质量必须符合国家相关标准，货物的包装均应有良好的防锈、防腐、防潮及防摔破等措施，货物要求有包装保护运至现场。凡由于包装不良造成的损失和由此产生的费用均由成交供应商承担。</w:t>
            </w:r>
          </w:p>
          <w:p w14:paraId="798F35CD">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2.成交供应商负责根据采购人指定的地点，将货物送到现场过程中的全部运输，包括装卸车、货物现场的搬运，由此产生的费用均由成交供应商承担。</w:t>
            </w:r>
          </w:p>
          <w:p w14:paraId="1B6D3EC7">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3.如货物运输过程中因事故造成货物短缺、损坏，成交供应商应及时安排补、换货，以保证合同货物及时交付，补、换货的相关费用由成交供应商承担。</w:t>
            </w:r>
          </w:p>
          <w:p w14:paraId="6405713B">
            <w:pPr>
              <w:jc w:val="both"/>
              <w:rPr>
                <w:rFonts w:hint="eastAsia" w:ascii="宋体" w:hAnsi="宋体" w:eastAsia="宋体" w:cs="宋体"/>
                <w:sz w:val="21"/>
                <w:szCs w:val="21"/>
                <w:lang w:val="en-US" w:eastAsia="zh-CN"/>
              </w:rPr>
            </w:pPr>
            <w:r>
              <w:rPr>
                <w:rFonts w:hint="eastAsia" w:ascii="宋体" w:hAnsi="宋体" w:eastAsia="宋体" w:cs="宋体"/>
                <w:color w:val="auto"/>
                <w:sz w:val="21"/>
                <w:szCs w:val="21"/>
                <w:highlight w:val="none"/>
                <w:lang w:val="en-US" w:eastAsia="zh-CN"/>
              </w:rPr>
              <w:t>4.货物的质量保险由成交供应商负责，成交供应商负责其派出的现场服务人员人身意外保险。</w:t>
            </w:r>
          </w:p>
        </w:tc>
        <w:tc>
          <w:tcPr>
            <w:tcW w:w="1541" w:type="dxa"/>
            <w:vAlign w:val="top"/>
          </w:tcPr>
          <w:p w14:paraId="659B76A9">
            <w:pPr>
              <w:pStyle w:val="8"/>
              <w:rPr>
                <w:rFonts w:hint="eastAsia" w:ascii="宋体" w:hAnsi="宋体" w:eastAsia="宋体" w:cs="宋体"/>
                <w:sz w:val="21"/>
                <w:szCs w:val="21"/>
              </w:rPr>
            </w:pPr>
          </w:p>
        </w:tc>
        <w:tc>
          <w:tcPr>
            <w:tcW w:w="1510" w:type="dxa"/>
            <w:vAlign w:val="top"/>
          </w:tcPr>
          <w:p w14:paraId="4B54845C">
            <w:pPr>
              <w:pStyle w:val="8"/>
              <w:rPr>
                <w:rFonts w:hint="eastAsia" w:ascii="宋体" w:hAnsi="宋体" w:eastAsia="宋体" w:cs="宋体"/>
                <w:sz w:val="21"/>
                <w:szCs w:val="21"/>
              </w:rPr>
            </w:pPr>
          </w:p>
        </w:tc>
      </w:tr>
      <w:tr w14:paraId="73A805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3" w:hRule="atLeast"/>
        </w:trPr>
        <w:tc>
          <w:tcPr>
            <w:tcW w:w="705" w:type="dxa"/>
            <w:vAlign w:val="center"/>
          </w:tcPr>
          <w:p w14:paraId="680C9119">
            <w:pPr>
              <w:spacing w:before="65" w:line="270" w:lineRule="exac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6</w:t>
            </w:r>
          </w:p>
        </w:tc>
        <w:tc>
          <w:tcPr>
            <w:tcW w:w="5373" w:type="dxa"/>
            <w:vAlign w:val="top"/>
          </w:tcPr>
          <w:p w14:paraId="4F58DAD6">
            <w:pPr>
              <w:pStyle w:val="9"/>
              <w:numPr>
                <w:ilvl w:val="0"/>
                <w:numId w:val="0"/>
              </w:numPr>
              <w:spacing w:line="360" w:lineRule="auto"/>
              <w:outlineLvl w:val="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验收方式</w:t>
            </w:r>
          </w:p>
          <w:p w14:paraId="0CD1A59B">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1.成交供应商将货物送货至采购人指定地点后，由采购人按照采购合同、相关采购文件要求、产品合格证和样品等进行核对，根据国家相关法律法规、质量标准，对货物的规格参数和质量进行验收。</w:t>
            </w:r>
          </w:p>
          <w:p w14:paraId="0083BDC3">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2.供货期间，采购人有权进行实时现场抽检测试交付货物，如不达标的，供应商需要无条件更换合格的产品。</w:t>
            </w:r>
            <w:r>
              <w:rPr>
                <w:rFonts w:hint="eastAsia" w:ascii="宋体" w:hAnsi="宋体" w:eastAsia="宋体" w:cs="宋体"/>
                <w:color w:val="auto"/>
                <w:sz w:val="21"/>
                <w:szCs w:val="21"/>
                <w:highlight w:val="none"/>
                <w:lang w:val="en-US" w:eastAsia="zh-CN"/>
              </w:rPr>
              <w:t>货物在验收过程中发现所交付的货物有短缺、次品、损坏或其他不符合相关采购文件、合同规定之情形者，采购人有权拒收并拒付该批货物的费用，成交供应商须无条件更换货物，并由成交供应商承担由此发生的一切费用和损失。</w:t>
            </w:r>
          </w:p>
          <w:p w14:paraId="13339D6D">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3.所有货物在使用过程中发现以次充好或使用假冒伪劣产品的，成交供应商须无条件更换货物并按假一赔三进行赔偿。此种情况超过2次或以上的，采购人有权单方终止合同，履约保证金不予退还。</w:t>
            </w:r>
          </w:p>
          <w:p w14:paraId="0BA1DB11">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因质量问题发生争议时，由地级市或以上的质检部门进行相关鉴定，鉴定费用先由成交供应商垫付，鉴定结果符合质量技术要求，发生的所有鉴定费由采购人承担；鉴定结果不符合质量技术要求，发生的所有鉴定费由成交供应商承担。</w:t>
            </w:r>
          </w:p>
          <w:p w14:paraId="2A17CF30">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5.若成交供应商提供的产品发生知识产权纠纷的，由成交供应商执行处置与原知识产权所有者协商解决，采购人不承担与之相关的任何经济和法律责任。</w:t>
            </w:r>
          </w:p>
          <w:p w14:paraId="43B3FBE1">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成交供应商应按双方约定的时间交付采购人购买的产品等，采购人应及时组织验收；对于符合合同约定的标的物予以接收，对不符合合同要求的质量、品种、规格、数量等，采购人有权拒绝接收。成交供应商应及时更换被拒绝的产品，但不得影响采购人的使用。如影响采购人使用并造成损失，采购人有权要求成交供应商赔偿由此造成的损失。</w:t>
            </w:r>
          </w:p>
          <w:p w14:paraId="269AE36A">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7.成交供应商提前交付采购人购买的产品等，必须事前得到采购人同意，否则由此引起的储存保管费用及标的物毁损灭失风险由成交供应商自行承担。</w:t>
            </w:r>
          </w:p>
          <w:p w14:paraId="47DE4BAA">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8成交供应商按采购人采购计划中指定医院的地址送货，费用由成交供应商承担。</w:t>
            </w:r>
          </w:p>
          <w:p w14:paraId="4F188A59">
            <w:pPr>
              <w:jc w:val="left"/>
              <w:rPr>
                <w:rFonts w:hint="eastAsia" w:ascii="宋体" w:hAnsi="宋体" w:eastAsia="宋体" w:cs="宋体"/>
                <w:sz w:val="21"/>
                <w:szCs w:val="21"/>
                <w:lang w:val="en-US" w:eastAsia="zh-CN"/>
              </w:rPr>
            </w:pPr>
          </w:p>
        </w:tc>
        <w:tc>
          <w:tcPr>
            <w:tcW w:w="1541" w:type="dxa"/>
            <w:vAlign w:val="top"/>
          </w:tcPr>
          <w:p w14:paraId="0F2EBC3F">
            <w:pPr>
              <w:pStyle w:val="8"/>
              <w:rPr>
                <w:rFonts w:hint="eastAsia" w:ascii="宋体" w:hAnsi="宋体" w:eastAsia="宋体" w:cs="宋体"/>
                <w:sz w:val="21"/>
                <w:szCs w:val="21"/>
              </w:rPr>
            </w:pPr>
          </w:p>
        </w:tc>
        <w:tc>
          <w:tcPr>
            <w:tcW w:w="1510" w:type="dxa"/>
            <w:vAlign w:val="top"/>
          </w:tcPr>
          <w:p w14:paraId="0FDABF3E">
            <w:pPr>
              <w:pStyle w:val="8"/>
              <w:rPr>
                <w:rFonts w:hint="eastAsia" w:ascii="宋体" w:hAnsi="宋体" w:eastAsia="宋体" w:cs="宋体"/>
                <w:sz w:val="21"/>
                <w:szCs w:val="21"/>
              </w:rPr>
            </w:pPr>
          </w:p>
        </w:tc>
      </w:tr>
      <w:tr w14:paraId="429147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3" w:hRule="atLeast"/>
        </w:trPr>
        <w:tc>
          <w:tcPr>
            <w:tcW w:w="705" w:type="dxa"/>
            <w:vAlign w:val="center"/>
          </w:tcPr>
          <w:p w14:paraId="652EB871">
            <w:pPr>
              <w:spacing w:before="65" w:line="270" w:lineRule="exac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7</w:t>
            </w:r>
          </w:p>
        </w:tc>
        <w:tc>
          <w:tcPr>
            <w:tcW w:w="5373" w:type="dxa"/>
            <w:vAlign w:val="top"/>
          </w:tcPr>
          <w:p w14:paraId="05A546AB">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售后服务要求</w:t>
            </w:r>
          </w:p>
          <w:p w14:paraId="21A5BB20">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成交供应商所提供的货物应是原厂生产或该品牌授权生产、销售的全新正品，其质量、规格、性能、品牌、有效期限等满足用户需求，无任何侵权行为，且必须符合国家行业生产及经营标准，货真价实，均能提供相应的合格证明资料。货物交付时，成交供应商应提供合同货物真实有效的生产日期，且成交供应商保证提供货物的生产日期距交付时的时间差不超过6个月。</w:t>
            </w:r>
          </w:p>
          <w:p w14:paraId="2297E5F0">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因成交供应商所供应的货物质量问题造成采购人设备故障、人身伤害或出现严重事故的，由成交供应商负责更换，所造成的一切损失及责任由成交供应商承担，同时采购人有权单方面终止合同且履约保证金不再退还。</w:t>
            </w:r>
          </w:p>
          <w:p w14:paraId="5022FB3F">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3.质保期：当次所提供的货物质保期为验收合格之日起</w:t>
            </w:r>
            <w:r>
              <w:rPr>
                <w:rFonts w:hint="eastAsia" w:ascii="宋体" w:hAnsi="宋体" w:eastAsia="宋体" w:cs="宋体"/>
                <w:b/>
                <w:bCs/>
                <w:color w:val="auto"/>
                <w:sz w:val="21"/>
                <w:szCs w:val="21"/>
                <w:highlight w:val="none"/>
                <w:u w:val="single"/>
                <w:lang w:val="en-US" w:eastAsia="zh-CN"/>
              </w:rPr>
              <w:t>壹</w:t>
            </w:r>
            <w:r>
              <w:rPr>
                <w:rFonts w:hint="eastAsia" w:ascii="宋体" w:hAnsi="宋体" w:eastAsia="宋体" w:cs="宋体"/>
                <w:b w:val="0"/>
                <w:bCs w:val="0"/>
                <w:color w:val="auto"/>
                <w:sz w:val="21"/>
                <w:szCs w:val="21"/>
                <w:highlight w:val="none"/>
                <w:lang w:val="en-US" w:eastAsia="zh-CN"/>
              </w:rPr>
              <w:t>年</w:t>
            </w:r>
            <w:r>
              <w:rPr>
                <w:rFonts w:hint="eastAsia" w:ascii="宋体" w:hAnsi="宋体" w:eastAsia="宋体" w:cs="宋体"/>
                <w:color w:val="auto"/>
                <w:sz w:val="21"/>
                <w:szCs w:val="21"/>
                <w:highlight w:val="none"/>
                <w:lang w:val="en-US" w:eastAsia="zh-CN"/>
              </w:rPr>
              <w:t>。质保期内，成交供应商须提供货物“包退、包换、包修”的质量“三包”服务。货物如不符合国家的有关质量技术标准、采购文件、合同参数要求的，采购人有权拒收，成交供应商应无条件退换货物，退换期限为2个自然日内，由此产生的一切费用由成交供应商承担，如造成采购人经济损失的，采购人有权进行索赔。</w:t>
            </w:r>
          </w:p>
          <w:p w14:paraId="0EFAB966">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highlight w:val="none"/>
                <w:lang w:val="en-US" w:eastAsia="zh-CN"/>
              </w:rPr>
              <w:t>质保期内，成交供应商提供24小时响应服务，指定一名人员为本项目负责人，负责人要保证服务电话24小时保持畅通。成交供应商必须对采购人提出的质量异议在1小时内予以响应并针对问题提出解决办法，货物非人为因素出现损坏、变形等情况的，成交供应商应在接到通知的1小时内派专业人员上门服务，解决问题的时限为到达现场后4小时内，保证按要求完成更换、送回等服务，确保所提供的货物合格率达到100%，并对造成的损失承担赔偿责任。若在到场4小时后仍未能有效解决，成交供应商应向采购人书面说明原因并经采购人同意后提供同档次或优于原参数的货物供采购人使用，未能及时完成修理或更换的，采购人有权自行购买更换，所支付费用从履约保证金中扣除。如因造成采购人损失的，由成交供应商承担赔偿责任。</w:t>
            </w:r>
          </w:p>
          <w:p w14:paraId="31822B65">
            <w:pPr>
              <w:jc w:val="left"/>
              <w:rPr>
                <w:rFonts w:hint="eastAsia" w:ascii="宋体" w:hAnsi="宋体" w:eastAsia="宋体" w:cs="宋体"/>
                <w:sz w:val="21"/>
                <w:szCs w:val="21"/>
              </w:rPr>
            </w:pPr>
            <w:r>
              <w:rPr>
                <w:rFonts w:hint="eastAsia" w:ascii="宋体" w:hAnsi="宋体" w:eastAsia="宋体" w:cs="宋体"/>
                <w:color w:val="auto"/>
                <w:sz w:val="21"/>
                <w:szCs w:val="21"/>
                <w:lang w:val="en-US" w:eastAsia="zh-CN"/>
              </w:rPr>
              <w:t>5.货物如不符合国家的有关质量标准或进货渠道不正规，或证实货物是有缺陷的，包括潜在的缺陷或使用不符合要求的材料等，采购人有权要求成交供应商无条件退换货物，退换期限为2个自然日内，由此产生的一切费用均由成交供应商承担，并赔偿因此造成采购人的经济损失。</w:t>
            </w:r>
          </w:p>
        </w:tc>
        <w:tc>
          <w:tcPr>
            <w:tcW w:w="1541" w:type="dxa"/>
            <w:vAlign w:val="top"/>
          </w:tcPr>
          <w:p w14:paraId="07F62CFD">
            <w:pPr>
              <w:pStyle w:val="8"/>
              <w:rPr>
                <w:rFonts w:hint="eastAsia" w:ascii="宋体" w:hAnsi="宋体" w:eastAsia="宋体" w:cs="宋体"/>
                <w:sz w:val="21"/>
                <w:szCs w:val="21"/>
              </w:rPr>
            </w:pPr>
          </w:p>
        </w:tc>
        <w:tc>
          <w:tcPr>
            <w:tcW w:w="1510" w:type="dxa"/>
            <w:vAlign w:val="top"/>
          </w:tcPr>
          <w:p w14:paraId="5AFF3CB9">
            <w:pPr>
              <w:pStyle w:val="8"/>
              <w:rPr>
                <w:rFonts w:hint="eastAsia" w:ascii="宋体" w:hAnsi="宋体" w:eastAsia="宋体" w:cs="宋体"/>
                <w:sz w:val="21"/>
                <w:szCs w:val="21"/>
              </w:rPr>
            </w:pPr>
          </w:p>
        </w:tc>
      </w:tr>
      <w:tr w14:paraId="7AD918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3" w:hRule="atLeast"/>
        </w:trPr>
        <w:tc>
          <w:tcPr>
            <w:tcW w:w="705" w:type="dxa"/>
            <w:vAlign w:val="center"/>
          </w:tcPr>
          <w:p w14:paraId="3DD9BAF4">
            <w:pPr>
              <w:spacing w:before="65" w:line="270" w:lineRule="exac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8</w:t>
            </w:r>
          </w:p>
        </w:tc>
        <w:tc>
          <w:tcPr>
            <w:tcW w:w="5373" w:type="dxa"/>
            <w:vAlign w:val="top"/>
          </w:tcPr>
          <w:p w14:paraId="68B22F70">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付款方式</w:t>
            </w:r>
          </w:p>
          <w:p w14:paraId="3BDDC05E">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1.签订合同后5个工作日内成交供应商需向采购人交合同总金额的</w:t>
            </w:r>
            <w:r>
              <w:rPr>
                <w:rFonts w:hint="eastAsia" w:ascii="宋体" w:hAnsi="宋体" w:eastAsia="宋体" w:cs="宋体"/>
                <w:b w:val="0"/>
                <w:bCs w:val="0"/>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作为履约保证金。保证金的退还为最后一批送货验收合格后一个月内一次性无息退还。</w:t>
            </w:r>
          </w:p>
          <w:p w14:paraId="024548C7">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（1）如有违约事项，采购人根据约定条款扣款，剩余款项予以无息退还。</w:t>
            </w:r>
          </w:p>
          <w:p w14:paraId="724C9265">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（2）如逾期未缴交履约保证金的，则每逾期一天按履约保证金金额的5‰支付违约金给采购人。</w:t>
            </w:r>
          </w:p>
          <w:p w14:paraId="1E1BF57D">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2.合同签订后，供货期内采购人可按照实际使用需要分批次要求成交供应商供货。合同无预付款，每批次订货无预付款。</w:t>
            </w:r>
          </w:p>
          <w:p w14:paraId="33192927">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按月结算。成交供应商接到采购人的下单通知后，按采购人要求的品种及数量提供货物，经双方确认验收合格后，成交供应商开具该月所供货物的有效全额增值税普通发票（含税），采购人在收到发票并审核无误后60个工作日内付款给成交供应商。</w:t>
            </w:r>
          </w:p>
          <w:p w14:paraId="6A5BB1CE">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b w:val="0"/>
                <w:bCs w:val="0"/>
                <w:color w:val="auto"/>
                <w:spacing w:val="-2"/>
                <w:sz w:val="21"/>
                <w:szCs w:val="21"/>
                <w:highlight w:val="none"/>
                <w:lang w:eastAsia="zh-CN"/>
              </w:rPr>
              <w:t>特别说明：合同约定的付款期限，遵守《保障中小企业款项支付条例》的规定。如成交供应商为中小企业，付款期限最长不超过60日。</w:t>
            </w:r>
          </w:p>
          <w:p w14:paraId="06082B51">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lang w:val="en-US" w:eastAsia="zh-CN"/>
              </w:rPr>
              <w:t>5.成交供应商须开具与响应文件中报价人名称、响应报价一致的有效全额增值税普通发票。</w:t>
            </w:r>
          </w:p>
        </w:tc>
        <w:tc>
          <w:tcPr>
            <w:tcW w:w="1541" w:type="dxa"/>
            <w:vAlign w:val="top"/>
          </w:tcPr>
          <w:p w14:paraId="412D516A">
            <w:pPr>
              <w:pStyle w:val="8"/>
              <w:rPr>
                <w:rFonts w:hint="eastAsia" w:ascii="宋体" w:hAnsi="宋体" w:eastAsia="宋体" w:cs="宋体"/>
                <w:sz w:val="21"/>
                <w:szCs w:val="21"/>
              </w:rPr>
            </w:pPr>
          </w:p>
        </w:tc>
        <w:tc>
          <w:tcPr>
            <w:tcW w:w="1510" w:type="dxa"/>
            <w:vAlign w:val="top"/>
          </w:tcPr>
          <w:p w14:paraId="3039B64F">
            <w:pPr>
              <w:pStyle w:val="8"/>
              <w:rPr>
                <w:rFonts w:hint="eastAsia" w:ascii="宋体" w:hAnsi="宋体" w:eastAsia="宋体" w:cs="宋体"/>
                <w:sz w:val="21"/>
                <w:szCs w:val="21"/>
              </w:rPr>
            </w:pPr>
          </w:p>
        </w:tc>
      </w:tr>
      <w:tr w14:paraId="4DD13F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3" w:hRule="atLeast"/>
        </w:trPr>
        <w:tc>
          <w:tcPr>
            <w:tcW w:w="705" w:type="dxa"/>
            <w:vAlign w:val="center"/>
          </w:tcPr>
          <w:p w14:paraId="2A28A670">
            <w:pPr>
              <w:spacing w:before="65" w:line="270" w:lineRule="exac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9</w:t>
            </w:r>
          </w:p>
        </w:tc>
        <w:tc>
          <w:tcPr>
            <w:tcW w:w="5373" w:type="dxa"/>
            <w:vAlign w:val="top"/>
          </w:tcPr>
          <w:p w14:paraId="375EBEDB">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违约责任</w:t>
            </w:r>
          </w:p>
          <w:p w14:paraId="6B8B6E8A">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1.采购人应在合同规定时间内，按合同执行进度向成交供应商支付货款，逾期支付的，采购人向成交供应商按合同订立时全国银行间同业拆借中心公布的一年期贷款市场报价利率支付违约金。</w:t>
            </w:r>
          </w:p>
          <w:p w14:paraId="18A3F4A0">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成交供应商未能按时交货，或未能在交货之日起10个自然日内提供该项目验收相关所必须的合法有效的文件，每拖延一天，须向采购人支付合同金额的5‰的违约金。如拖延10个自然日，经采购人书面通知后，成交供应商仍未履行的，视为成交供应商不能交货，则按合同总价30%支付违约金给采购人。同时，采购人有权单方面解除合同且履约保证金不再退还。如上述违约金及履约保证金的金额仍不足以补偿采购人因成交供应商违约造成的损失，采购人有权进一步向成交供应商提出索赔。</w:t>
            </w:r>
          </w:p>
          <w:p w14:paraId="45D94643">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3.成交供应商交付的货物不符合合同规定的，采购人有权拒收，成交供应商向采购人支付合同总价的20％的违约金。 </w:t>
            </w:r>
          </w:p>
          <w:p w14:paraId="2D506CBF">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4.采购人无正当理由拒收货物的，采购人向成交供应商支付当次送货金额的 5‰的违约金。 </w:t>
            </w:r>
          </w:p>
          <w:p w14:paraId="3056CEC6">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5.货物在保质期内如无法提供质保服务，成交供应商承担采购人就此造成的一切更换费用和其他损失。</w:t>
            </w:r>
          </w:p>
          <w:p w14:paraId="2C54918F">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6.所有货物在使用过程中发现以次充好或使用假冒伪劣产品的，成交供应商须无条件更换货物并按假一赔三进行赔偿。此种情况超过2次或以上的，履约保证金不予退还，采购人有权单方终止合同。</w:t>
            </w:r>
          </w:p>
          <w:p w14:paraId="062E8DB1">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7.若成交供应商提供的货物发生知识产权纠纷的，由成交供应商执行处置与原知识产权所有者协商解决，采购人不承担与之相关的任何经济和法律责任。</w:t>
            </w:r>
          </w:p>
          <w:p w14:paraId="7FA66910">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8.因成交供应商原因造成采购人货物无法按时正常使用，成交供应商承担合同标的金额20%的违约金，违约金不足以赔偿采购人损失的，应另行补足采购人损失。</w:t>
            </w:r>
          </w:p>
          <w:p w14:paraId="11CCE618">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9.双方对本项目（含涉及本项目相关通知和函电）内容应严格履行保密义务，未经一方书面同意或许可，均不得在任何时候以任何方式和理由向第三人泄露，否则，任何一方应赔偿由此给对方造成的一切损失。</w:t>
            </w:r>
          </w:p>
          <w:p w14:paraId="5D6A6F8A">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10.违约方给守约方造成的损失，守约方可采取必要的途径或方式追索，由此引起的费用由违约方承担，包括但不仅限于</w:t>
            </w:r>
            <w:bookmarkStart w:id="0" w:name="OLE_LINK1"/>
            <w:r>
              <w:rPr>
                <w:rFonts w:hint="eastAsia" w:ascii="宋体" w:hAnsi="宋体" w:eastAsia="宋体" w:cs="宋体"/>
                <w:color w:val="auto"/>
                <w:sz w:val="21"/>
                <w:szCs w:val="21"/>
                <w:highlight w:val="none"/>
                <w:lang w:val="en-US" w:eastAsia="zh-CN"/>
              </w:rPr>
              <w:t>律师费、查档费、鉴定费、公证费、交通费、诉讼费、财产保全责任保险费等</w:t>
            </w:r>
            <w:bookmarkEnd w:id="0"/>
            <w:r>
              <w:rPr>
                <w:rFonts w:hint="eastAsia" w:ascii="宋体" w:hAnsi="宋体" w:eastAsia="宋体" w:cs="宋体"/>
                <w:color w:val="auto"/>
                <w:sz w:val="21"/>
                <w:szCs w:val="21"/>
                <w:highlight w:val="none"/>
                <w:lang w:val="en-US" w:eastAsia="zh-CN"/>
              </w:rPr>
              <w:t>。</w:t>
            </w:r>
          </w:p>
          <w:p w14:paraId="492B23FD">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11.其他违约责任按《中华人民共和国民法典》处理。</w:t>
            </w:r>
          </w:p>
        </w:tc>
        <w:tc>
          <w:tcPr>
            <w:tcW w:w="1541" w:type="dxa"/>
            <w:vAlign w:val="top"/>
          </w:tcPr>
          <w:p w14:paraId="6757B0EB">
            <w:pPr>
              <w:pStyle w:val="8"/>
              <w:rPr>
                <w:rFonts w:hint="eastAsia" w:ascii="宋体" w:hAnsi="宋体" w:eastAsia="宋体" w:cs="宋体"/>
                <w:sz w:val="21"/>
                <w:szCs w:val="21"/>
              </w:rPr>
            </w:pPr>
          </w:p>
        </w:tc>
        <w:tc>
          <w:tcPr>
            <w:tcW w:w="1510" w:type="dxa"/>
            <w:vAlign w:val="top"/>
          </w:tcPr>
          <w:p w14:paraId="6DB794AA">
            <w:pPr>
              <w:pStyle w:val="8"/>
              <w:rPr>
                <w:rFonts w:hint="eastAsia" w:ascii="宋体" w:hAnsi="宋体" w:eastAsia="宋体" w:cs="宋体"/>
                <w:sz w:val="21"/>
                <w:szCs w:val="21"/>
              </w:rPr>
            </w:pPr>
          </w:p>
        </w:tc>
      </w:tr>
    </w:tbl>
    <w:p w14:paraId="382A3040">
      <w:pPr>
        <w:jc w:val="left"/>
        <w:rPr>
          <w:rFonts w:hint="eastAsia" w:ascii="宋体" w:hAnsi="宋体" w:eastAsia="宋体" w:cs="宋体"/>
          <w:snapToGrid w:val="0"/>
          <w:color w:val="000000"/>
          <w:spacing w:val="-2"/>
          <w:kern w:val="2"/>
          <w:sz w:val="21"/>
          <w:szCs w:val="21"/>
          <w:highlight w:val="none"/>
          <w:lang w:val="en-US" w:eastAsia="zh-CN" w:bidi="ar"/>
        </w:rPr>
      </w:pPr>
    </w:p>
    <w:p w14:paraId="347074B6">
      <w:pPr>
        <w:numPr>
          <w:ilvl w:val="0"/>
          <w:numId w:val="0"/>
        </w:numPr>
        <w:jc w:val="left"/>
        <w:rPr>
          <w:rFonts w:hint="eastAsia" w:ascii="宋体" w:hAnsi="宋体" w:eastAsia="宋体" w:cs="宋体"/>
          <w:b/>
          <w:bCs/>
          <w:snapToGrid w:val="0"/>
          <w:color w:val="000000"/>
          <w:spacing w:val="-2"/>
          <w:kern w:val="2"/>
          <w:sz w:val="32"/>
          <w:szCs w:val="32"/>
          <w:highlight w:val="none"/>
          <w:lang w:val="en-US" w:eastAsia="zh-CN" w:bidi="ar"/>
        </w:rPr>
      </w:pPr>
      <w:r>
        <w:rPr>
          <w:rFonts w:hint="eastAsia" w:ascii="宋体" w:hAnsi="宋体" w:eastAsia="宋体" w:cs="宋体"/>
          <w:b/>
          <w:bCs/>
          <w:snapToGrid w:val="0"/>
          <w:color w:val="000000"/>
          <w:spacing w:val="-2"/>
          <w:kern w:val="2"/>
          <w:sz w:val="32"/>
          <w:szCs w:val="32"/>
          <w:lang w:val="en-US" w:eastAsia="zh-CN" w:bidi="ar"/>
        </w:rPr>
        <w:t>二、</w:t>
      </w:r>
      <w:r>
        <w:rPr>
          <w:rFonts w:hint="eastAsia" w:ascii="宋体" w:hAnsi="宋体" w:eastAsia="宋体" w:cs="宋体"/>
          <w:b/>
          <w:bCs/>
          <w:snapToGrid w:val="0"/>
          <w:color w:val="000000"/>
          <w:spacing w:val="-2"/>
          <w:kern w:val="2"/>
          <w:sz w:val="32"/>
          <w:szCs w:val="32"/>
          <w:highlight w:val="none"/>
          <w:lang w:val="en-US" w:eastAsia="zh-CN" w:bidi="ar"/>
        </w:rPr>
        <w:t>如有项目需求补充请下面提出建议</w:t>
      </w:r>
    </w:p>
    <w:p w14:paraId="4C7E5F88">
      <w:pPr>
        <w:numPr>
          <w:ilvl w:val="0"/>
          <w:numId w:val="0"/>
        </w:numPr>
        <w:jc w:val="left"/>
        <w:rPr>
          <w:rFonts w:hint="eastAsia" w:ascii="宋体" w:hAnsi="宋体" w:eastAsia="宋体" w:cs="宋体"/>
          <w:b w:val="0"/>
          <w:bCs w:val="0"/>
          <w:snapToGrid w:val="0"/>
          <w:color w:val="000000"/>
          <w:spacing w:val="-2"/>
          <w:kern w:val="2"/>
          <w:sz w:val="28"/>
          <w:szCs w:val="28"/>
          <w:highlight w:val="none"/>
          <w:lang w:val="en-US" w:eastAsia="zh-CN" w:bidi="ar"/>
        </w:rPr>
      </w:pPr>
      <w:r>
        <w:rPr>
          <w:rFonts w:hint="eastAsia" w:ascii="宋体" w:hAnsi="宋体" w:eastAsia="宋体" w:cs="宋体"/>
          <w:b w:val="0"/>
          <w:bCs w:val="0"/>
          <w:snapToGrid w:val="0"/>
          <w:color w:val="000000"/>
          <w:spacing w:val="-2"/>
          <w:kern w:val="2"/>
          <w:sz w:val="28"/>
          <w:szCs w:val="28"/>
          <w:highlight w:val="none"/>
          <w:lang w:val="en-US" w:eastAsia="zh-CN" w:bidi="ar"/>
        </w:rPr>
        <w:t>1...</w:t>
      </w:r>
    </w:p>
    <w:p w14:paraId="3DF1D185">
      <w:pPr>
        <w:numPr>
          <w:ilvl w:val="0"/>
          <w:numId w:val="0"/>
        </w:numPr>
        <w:jc w:val="left"/>
        <w:rPr>
          <w:rFonts w:hint="eastAsia" w:ascii="宋体" w:hAnsi="宋体" w:eastAsia="宋体" w:cs="宋体"/>
          <w:b w:val="0"/>
          <w:bCs w:val="0"/>
          <w:snapToGrid w:val="0"/>
          <w:color w:val="000000"/>
          <w:spacing w:val="-2"/>
          <w:kern w:val="2"/>
          <w:sz w:val="28"/>
          <w:szCs w:val="28"/>
          <w:highlight w:val="none"/>
          <w:lang w:val="en-US" w:eastAsia="zh-CN" w:bidi="ar"/>
        </w:rPr>
      </w:pPr>
      <w:r>
        <w:rPr>
          <w:rFonts w:hint="eastAsia" w:ascii="宋体" w:hAnsi="宋体" w:eastAsia="宋体" w:cs="宋体"/>
          <w:b w:val="0"/>
          <w:bCs w:val="0"/>
          <w:snapToGrid w:val="0"/>
          <w:color w:val="000000"/>
          <w:spacing w:val="-2"/>
          <w:kern w:val="2"/>
          <w:sz w:val="28"/>
          <w:szCs w:val="28"/>
          <w:highlight w:val="none"/>
          <w:lang w:val="en-US" w:eastAsia="zh-CN" w:bidi="ar"/>
        </w:rPr>
        <w:t>2...</w:t>
      </w:r>
    </w:p>
    <w:p w14:paraId="0C5D9847">
      <w:pPr>
        <w:numPr>
          <w:ilvl w:val="0"/>
          <w:numId w:val="0"/>
        </w:numPr>
        <w:jc w:val="left"/>
        <w:rPr>
          <w:rFonts w:hint="default" w:ascii="宋体" w:hAnsi="宋体" w:eastAsia="宋体" w:cs="宋体"/>
          <w:b w:val="0"/>
          <w:bCs w:val="0"/>
          <w:snapToGrid w:val="0"/>
          <w:color w:val="000000"/>
          <w:spacing w:val="-2"/>
          <w:kern w:val="2"/>
          <w:sz w:val="28"/>
          <w:szCs w:val="28"/>
          <w:highlight w:val="none"/>
          <w:lang w:val="en-US" w:eastAsia="zh-CN" w:bidi="ar"/>
        </w:rPr>
      </w:pPr>
      <w:r>
        <w:rPr>
          <w:rFonts w:hint="eastAsia" w:ascii="宋体" w:hAnsi="宋体" w:eastAsia="宋体" w:cs="宋体"/>
          <w:b w:val="0"/>
          <w:bCs w:val="0"/>
          <w:snapToGrid w:val="0"/>
          <w:color w:val="000000"/>
          <w:spacing w:val="-2"/>
          <w:kern w:val="2"/>
          <w:sz w:val="28"/>
          <w:szCs w:val="28"/>
          <w:highlight w:val="none"/>
          <w:lang w:val="en-US" w:eastAsia="zh-CN" w:bidi="ar"/>
        </w:rPr>
        <w:t>3...</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867353"/>
    <w:rsid w:val="1C551F74"/>
    <w:rsid w:val="49630B18"/>
    <w:rsid w:val="4E5B2D9E"/>
    <w:rsid w:val="4FFF7C56"/>
    <w:rsid w:val="72867353"/>
    <w:rsid w:val="75807542"/>
    <w:rsid w:val="7A3C1F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rPr>
      <w:rFonts w:ascii="Arial" w:hAnsi="Arial" w:eastAsia="Arial" w:cs="Arial"/>
      <w:sz w:val="21"/>
      <w:szCs w:val="21"/>
      <w:lang w:val="en-US" w:eastAsia="en-US" w:bidi="ar-SA"/>
    </w:rPr>
  </w:style>
  <w:style w:type="paragraph" w:styleId="3">
    <w:name w:val="Normal (Web)"/>
    <w:basedOn w:val="1"/>
    <w:qFormat/>
    <w:uiPriority w:val="0"/>
    <w:pPr>
      <w:spacing w:before="100" w:beforeAutospacing="1" w:after="100" w:afterAutospacing="1"/>
      <w:ind w:left="0" w:right="0"/>
      <w:jc w:val="left"/>
    </w:pPr>
    <w:rPr>
      <w:kern w:val="0"/>
      <w:sz w:val="24"/>
      <w:lang w:val="en-US" w:eastAsia="zh-CN" w:bidi="ar"/>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7">
    <w:name w:val="Table Normal"/>
    <w:semiHidden/>
    <w:unhideWhenUsed/>
    <w:qFormat/>
    <w:uiPriority w:val="0"/>
    <w:tblPr>
      <w:tblCellMar>
        <w:top w:w="0" w:type="dxa"/>
        <w:left w:w="0" w:type="dxa"/>
        <w:bottom w:w="0" w:type="dxa"/>
        <w:right w:w="0" w:type="dxa"/>
      </w:tblCellMar>
    </w:tblPr>
  </w:style>
  <w:style w:type="paragraph" w:customStyle="1" w:styleId="8">
    <w:name w:val="Table Text"/>
    <w:basedOn w:val="1"/>
    <w:semiHidden/>
    <w:qFormat/>
    <w:uiPriority w:val="0"/>
    <w:rPr>
      <w:rFonts w:ascii="Arial" w:hAnsi="Arial" w:eastAsia="Arial" w:cs="Arial"/>
      <w:sz w:val="21"/>
      <w:szCs w:val="21"/>
      <w:lang w:val="en-US" w:eastAsia="en-US" w:bidi="ar-SA"/>
    </w:rPr>
  </w:style>
  <w:style w:type="paragraph" w:customStyle="1" w:styleId="9">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1835</Words>
  <Characters>1883</Characters>
  <Lines>0</Lines>
  <Paragraphs>0</Paragraphs>
  <TotalTime>0</TotalTime>
  <ScaleCrop>false</ScaleCrop>
  <LinksUpToDate>false</LinksUpToDate>
  <CharactersWithSpaces>1887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2026-03-04T07:41:00Z</dcterms:created>
  <dc:creator>18924981193</dc:creator>
  <cp:lastModifiedBy>18924981193</cp:lastModifiedBy>
  <dcterms:modified xsi:type="dcterms:W3CDTF">2026-04-21T09:59:48Z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8F9AE296E2D9497D98503E90364D4CE2_11</vt:lpwstr>
  </property>
  <property fmtid="{D5CDD505-2E9C-101B-9397-08002B2CF9AE}" pid="4" name="KSOTemplateDocerSaveRecord">
    <vt:lpwstr>eyJoZGlkIjoiMDI1YTQ0MGQ2NDc4NmQ3MjU4NTFkMzZmNDA5NDM5ODgiLCJ1c2VySWQiOiI3MDcxOTEyNjEifQ==</vt:lpwstr>
  </property>
</Properties>
</file>