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14EF8">
      <w:pPr>
        <w:pStyle w:val="4"/>
        <w:keepNext w:val="0"/>
        <w:keepLines w:val="0"/>
        <w:pageBreakBefore w:val="0"/>
        <w:widowControl/>
        <w:kinsoku/>
        <w:wordWrap/>
        <w:overflowPunct/>
        <w:topLinePunct w:val="0"/>
        <w:bidi w:val="0"/>
        <w:spacing w:beforeAutospacing="0" w:afterAutospacing="0" w:line="360" w:lineRule="auto"/>
        <w:jc w:val="center"/>
        <w:textAlignment w:val="baseline"/>
        <w:rPr>
          <w:rFonts w:hint="eastAsia" w:ascii="宋体" w:hAnsi="宋体" w:eastAsia="宋体" w:cs="宋体"/>
          <w:color w:val="auto"/>
          <w:kern w:val="0"/>
          <w:sz w:val="32"/>
          <w:szCs w:val="32"/>
          <w:shd w:val="clear" w:color="auto" w:fill="FFFFFF"/>
          <w:lang w:val="en-US" w:eastAsia="zh-CN"/>
        </w:rPr>
      </w:pPr>
      <w:r>
        <w:rPr>
          <w:rFonts w:hint="eastAsia" w:ascii="宋体" w:hAnsi="宋体" w:eastAsia="宋体" w:cs="宋体"/>
          <w:b/>
          <w:bCs/>
          <w:color w:val="auto"/>
          <w:sz w:val="32"/>
          <w:szCs w:val="32"/>
          <w:shd w:val="clear" w:color="auto" w:fill="FFFFFF"/>
        </w:rPr>
        <w:t>中山市东升医院食堂经营项目用户需求书</w:t>
      </w:r>
      <w:r>
        <w:rPr>
          <w:rFonts w:hint="eastAsia" w:cs="宋体"/>
          <w:b/>
          <w:bCs/>
          <w:color w:val="auto"/>
          <w:sz w:val="32"/>
          <w:szCs w:val="32"/>
          <w:shd w:val="clear" w:color="auto" w:fill="FFFFFF"/>
          <w:lang w:eastAsia="zh-CN"/>
        </w:rPr>
        <w:t>（暂定）</w:t>
      </w:r>
    </w:p>
    <w:p w14:paraId="6B040653">
      <w:pPr>
        <w:pStyle w:val="4"/>
        <w:keepNext w:val="0"/>
        <w:keepLines w:val="0"/>
        <w:pageBreakBefore w:val="0"/>
        <w:widowControl/>
        <w:kinsoku/>
        <w:wordWrap/>
        <w:overflowPunct/>
        <w:topLinePunct w:val="0"/>
        <w:bidi w:val="0"/>
        <w:spacing w:beforeAutospacing="0" w:afterAutospacing="0" w:line="360" w:lineRule="auto"/>
        <w:ind w:firstLine="562" w:firstLineChars="200"/>
        <w:jc w:val="both"/>
        <w:textAlignment w:val="baseline"/>
        <w:rPr>
          <w:rFonts w:ascii="宋体" w:hAnsi="宋体" w:eastAsia="宋体" w:cs="宋体"/>
          <w:b/>
          <w:bCs/>
          <w:color w:val="auto"/>
          <w:sz w:val="28"/>
          <w:szCs w:val="28"/>
          <w:shd w:val="clear" w:color="auto" w:fill="FFFFFF"/>
        </w:rPr>
      </w:pPr>
      <w:r>
        <w:rPr>
          <w:rFonts w:hint="eastAsia" w:ascii="宋体" w:hAnsi="宋体" w:eastAsia="宋体" w:cs="宋体"/>
          <w:b/>
          <w:bCs/>
          <w:color w:val="auto"/>
          <w:sz w:val="28"/>
          <w:szCs w:val="28"/>
          <w:shd w:val="clear" w:color="auto" w:fill="FFFFFF"/>
        </w:rPr>
        <w:t>一、项目概况</w:t>
      </w:r>
    </w:p>
    <w:p w14:paraId="17CC8313">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1.项目名称：中山市</w:t>
      </w:r>
      <w:r>
        <w:rPr>
          <w:rFonts w:hint="eastAsia" w:ascii="宋体" w:hAnsi="宋体" w:cs="宋体"/>
          <w:i w:val="0"/>
          <w:iCs w:val="0"/>
          <w:caps w:val="0"/>
          <w:color w:val="auto"/>
          <w:spacing w:val="0"/>
          <w:kern w:val="0"/>
          <w:sz w:val="24"/>
          <w:szCs w:val="24"/>
          <w:shd w:val="clear" w:color="auto" w:fill="FFFFFF"/>
          <w:lang w:val="en-US" w:eastAsia="zh-CN" w:bidi="ar"/>
        </w:rPr>
        <w:t>东升</w:t>
      </w:r>
      <w:r>
        <w:rPr>
          <w:rFonts w:hint="eastAsia" w:ascii="宋体" w:hAnsi="宋体" w:eastAsia="宋体" w:cs="宋体"/>
          <w:i w:val="0"/>
          <w:iCs w:val="0"/>
          <w:caps w:val="0"/>
          <w:color w:val="auto"/>
          <w:spacing w:val="0"/>
          <w:kern w:val="0"/>
          <w:sz w:val="24"/>
          <w:szCs w:val="24"/>
          <w:shd w:val="clear" w:color="auto" w:fill="FFFFFF"/>
          <w:lang w:val="en-US" w:eastAsia="zh-CN" w:bidi="ar"/>
        </w:rPr>
        <w:t>医院食堂经营项目</w:t>
      </w:r>
    </w:p>
    <w:p w14:paraId="59118DDC">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default" w:ascii="宋体" w:hAnsi="宋体" w:eastAsia="宋体" w:cs="宋体"/>
          <w:i w:val="0"/>
          <w:iCs w:val="0"/>
          <w:caps w:val="0"/>
          <w:color w:val="auto"/>
          <w:spacing w:val="0"/>
          <w:kern w:val="0"/>
          <w:sz w:val="24"/>
          <w:szCs w:val="24"/>
          <w:shd w:val="clear" w:color="auto" w:fill="FFFFFF"/>
          <w:lang w:val="en-US" w:eastAsia="zh-CN" w:bidi="ar"/>
        </w:rPr>
        <w:t>2</w:t>
      </w:r>
      <w:r>
        <w:rPr>
          <w:rFonts w:hint="eastAsia" w:ascii="宋体" w:hAnsi="宋体" w:eastAsia="宋体" w:cs="宋体"/>
          <w:i w:val="0"/>
          <w:iCs w:val="0"/>
          <w:caps w:val="0"/>
          <w:color w:val="auto"/>
          <w:spacing w:val="0"/>
          <w:kern w:val="0"/>
          <w:sz w:val="24"/>
          <w:szCs w:val="24"/>
          <w:shd w:val="clear" w:color="auto" w:fill="FFFFFF"/>
          <w:lang w:val="en-US" w:eastAsia="zh-CN" w:bidi="ar"/>
        </w:rPr>
        <w:t>.资金来源：由食堂经营服务商自负盈亏。</w:t>
      </w:r>
    </w:p>
    <w:p w14:paraId="261E993D">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3.本项目业主方不支付任何费用。</w:t>
      </w:r>
      <w:bookmarkStart w:id="0" w:name="_GoBack"/>
      <w:bookmarkEnd w:id="0"/>
    </w:p>
    <w:p w14:paraId="06DC0B91">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4.自服务合同生效之日起</w:t>
      </w:r>
      <w:r>
        <w:rPr>
          <w:rFonts w:hint="eastAsia" w:ascii="宋体" w:hAnsi="宋体" w:eastAsia="宋体" w:cs="宋体"/>
          <w:i w:val="0"/>
          <w:iCs w:val="0"/>
          <w:caps w:val="0"/>
          <w:color w:val="auto"/>
          <w:spacing w:val="0"/>
          <w:kern w:val="0"/>
          <w:sz w:val="24"/>
          <w:szCs w:val="24"/>
          <w:u w:val="single"/>
          <w:shd w:val="clear" w:color="auto" w:fill="FFFFFF"/>
          <w:lang w:val="en-US" w:eastAsia="zh-CN" w:bidi="ar"/>
        </w:rPr>
        <w:t xml:space="preserve"> </w:t>
      </w:r>
      <w:r>
        <w:rPr>
          <w:rFonts w:hint="eastAsia" w:ascii="宋体" w:hAnsi="宋体" w:cs="宋体"/>
          <w:i w:val="0"/>
          <w:iCs w:val="0"/>
          <w:caps w:val="0"/>
          <w:color w:val="auto"/>
          <w:spacing w:val="0"/>
          <w:kern w:val="0"/>
          <w:sz w:val="24"/>
          <w:szCs w:val="24"/>
          <w:u w:val="single"/>
          <w:shd w:val="clear" w:color="auto" w:fill="FFFFFF"/>
          <w:lang w:val="en-US" w:eastAsia="zh-CN" w:bidi="ar"/>
        </w:rPr>
        <w:t>三</w:t>
      </w:r>
      <w:r>
        <w:rPr>
          <w:rFonts w:hint="eastAsia" w:ascii="宋体" w:hAnsi="宋体" w:eastAsia="宋体" w:cs="宋体"/>
          <w:i w:val="0"/>
          <w:iCs w:val="0"/>
          <w:caps w:val="0"/>
          <w:color w:val="auto"/>
          <w:spacing w:val="0"/>
          <w:kern w:val="0"/>
          <w:sz w:val="24"/>
          <w:szCs w:val="24"/>
          <w:u w:val="single"/>
          <w:shd w:val="clear" w:color="auto" w:fill="FFFFFF"/>
          <w:lang w:val="en-US" w:eastAsia="zh-CN" w:bidi="ar"/>
        </w:rPr>
        <w:t xml:space="preserve"> </w:t>
      </w:r>
      <w:r>
        <w:rPr>
          <w:rFonts w:hint="eastAsia" w:ascii="宋体" w:hAnsi="宋体" w:eastAsia="宋体" w:cs="宋体"/>
          <w:i w:val="0"/>
          <w:iCs w:val="0"/>
          <w:caps w:val="0"/>
          <w:color w:val="auto"/>
          <w:spacing w:val="0"/>
          <w:kern w:val="0"/>
          <w:sz w:val="24"/>
          <w:szCs w:val="24"/>
          <w:shd w:val="clear" w:color="auto" w:fill="FFFFFF"/>
          <w:lang w:val="en-US" w:eastAsia="zh-CN" w:bidi="ar"/>
        </w:rPr>
        <w:t>年。</w:t>
      </w:r>
    </w:p>
    <w:p w14:paraId="1CA83842">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5.</w:t>
      </w:r>
      <w:r>
        <w:rPr>
          <w:rFonts w:hint="eastAsia" w:ascii="宋体" w:hAnsi="宋体" w:cs="宋体"/>
          <w:i w:val="0"/>
          <w:iCs w:val="0"/>
          <w:caps w:val="0"/>
          <w:color w:val="auto"/>
          <w:spacing w:val="0"/>
          <w:kern w:val="0"/>
          <w:sz w:val="24"/>
          <w:szCs w:val="24"/>
          <w:shd w:val="clear" w:color="auto" w:fill="FFFFFF"/>
          <w:lang w:val="en-US" w:eastAsia="zh-CN" w:bidi="ar"/>
        </w:rPr>
        <w:t>本项目不得转包。</w:t>
      </w:r>
    </w:p>
    <w:p w14:paraId="55A07F22">
      <w:pPr>
        <w:pStyle w:val="8"/>
        <w:spacing w:line="360" w:lineRule="auto"/>
        <w:ind w:firstLine="480" w:firstLineChars="200"/>
        <w:rPr>
          <w:rFonts w:hint="eastAsia" w:ascii="宋体" w:hAnsi="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6.本项目不接受联合体响应。</w:t>
      </w:r>
    </w:p>
    <w:p w14:paraId="5CF3CF9E">
      <w:pPr>
        <w:pStyle w:val="4"/>
        <w:keepNext w:val="0"/>
        <w:keepLines w:val="0"/>
        <w:pageBreakBefore w:val="0"/>
        <w:widowControl/>
        <w:kinsoku/>
        <w:wordWrap/>
        <w:overflowPunct/>
        <w:topLinePunct w:val="0"/>
        <w:bidi w:val="0"/>
        <w:spacing w:beforeAutospacing="0" w:afterAutospacing="0" w:line="360" w:lineRule="auto"/>
        <w:ind w:firstLine="562" w:firstLineChars="200"/>
        <w:jc w:val="both"/>
        <w:textAlignment w:val="baseline"/>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二、总 则</w:t>
      </w:r>
    </w:p>
    <w:p w14:paraId="0DECE490">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1、项目内容：中山市</w:t>
      </w:r>
      <w:r>
        <w:rPr>
          <w:rFonts w:hint="eastAsia" w:ascii="宋体" w:hAnsi="宋体" w:cs="宋体"/>
          <w:i w:val="0"/>
          <w:iCs w:val="0"/>
          <w:caps w:val="0"/>
          <w:color w:val="auto"/>
          <w:spacing w:val="0"/>
          <w:kern w:val="0"/>
          <w:sz w:val="24"/>
          <w:szCs w:val="24"/>
          <w:shd w:val="clear" w:color="auto" w:fill="FFFFFF"/>
          <w:lang w:val="en-US" w:eastAsia="zh-CN" w:bidi="ar"/>
        </w:rPr>
        <w:t>东升</w:t>
      </w:r>
      <w:r>
        <w:rPr>
          <w:rFonts w:hint="eastAsia" w:ascii="宋体" w:hAnsi="宋体" w:eastAsia="宋体" w:cs="宋体"/>
          <w:i w:val="0"/>
          <w:iCs w:val="0"/>
          <w:caps w:val="0"/>
          <w:color w:val="auto"/>
          <w:spacing w:val="0"/>
          <w:kern w:val="0"/>
          <w:sz w:val="24"/>
          <w:szCs w:val="24"/>
          <w:shd w:val="clear" w:color="auto" w:fill="FFFFFF"/>
          <w:lang w:val="en-US" w:eastAsia="zh-CN" w:bidi="ar"/>
        </w:rPr>
        <w:t>医院食堂经营项目，服务商必须按国家、行业的标准及遴选文件的要求对项目提供相关服务。</w:t>
      </w:r>
    </w:p>
    <w:p w14:paraId="351DD8CF">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2、服务年限：自合同签订日起叁年。</w:t>
      </w:r>
    </w:p>
    <w:p w14:paraId="08D0C6F8">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用户需求书》中，凡带“★”的条款为该项目的重要技术服务要求，必须完全满足，如有负偏离的遴选文件将被认定为无效投标；凡带“▲”标识的内容为评标的重要参数依据，响应服务商应对该标识项目按照要求进行真实应答描述，但不作为废标的实质性条款。</w:t>
      </w:r>
    </w:p>
    <w:p w14:paraId="539DD529">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项目采用全包干的方式承包，由中选服务商负责遴选文件对中选服务商要求的一切事宜责任，自负盈亏，业主方不支付任何费用或补贴给中选服务商。中选服务商及其工作人员所产生的一切费用及责任由中选服务商负责，与业主方无关。</w:t>
      </w:r>
    </w:p>
    <w:p w14:paraId="39AC0554">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5、响应服务商在响应遴选方案中对这部分内容应尽量列出具体参数或作出详细应答。如果响应服务商只简单注明“符合”或“满足”，将影响其技术商务得分。</w:t>
      </w:r>
    </w:p>
    <w:p w14:paraId="4E17E395">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6、中选服务商不得以任何方式转包或分包，否则业主方有权扣除履约保证金并自动终止合同。</w:t>
      </w:r>
    </w:p>
    <w:p w14:paraId="48D6D390">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7、本项目不接受联合体投标。</w:t>
      </w:r>
    </w:p>
    <w:p w14:paraId="6A8AC724">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本项目不设统一现场踏勘时间，响应服务商如需进行现场踏勘，可直接与业主方联系。响应服务商因对项目不了解而导致方案不合理或不完整的，业主方将不负任何责任。业主方不接受因响应服务商缺乏对项目情况的了解或掌握而提出的任何异议或索赔。</w:t>
      </w:r>
    </w:p>
    <w:p w14:paraId="15F22347">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9、响应服务商资质要求：</w:t>
      </w:r>
    </w:p>
    <w:p w14:paraId="4B69A725">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9.1具有独立承担民事责任的能力：提供在中华人民共和国境内注册的法人或其他组织的营业执照或事业单位法人证书或社会团体法人登记证书扫描件及食品经营许可证扫描件；如国家另有规定的，则从其规定。且营业范围包括餐饮管理或饮食管理或食品经营管理。</w:t>
      </w:r>
    </w:p>
    <w:p w14:paraId="12915958">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9.2有依法缴纳税收和社会保障资金的良好记录：报名截止日前6个月内任意1个月依法缴纳税收和社会保障资金的相关材料。如依法免税或不需要缴纳社会保障资金的，提供相应证明材料。</w:t>
      </w:r>
    </w:p>
    <w:p w14:paraId="5AF1F80C">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9.3具有良好的商业信誉和健全的财务会计制度：提供2024年度财务状况报告扫描件或报名截止日前6个月内任意1个月的财务报表扫描件或基本开户行出具的资信证明扫描件。</w:t>
      </w:r>
    </w:p>
    <w:p w14:paraId="0F1363D9">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9.4履行合同所必需的设备和专业技术能力：提供“具有履行合同所必需的设备和专业技术能力”的声明或承诺，或提供“具有设备和专业技术能力（人员）”的相关证明资料，或提供《设备和专业技术能力（人员）情况表》（格式自拟）。</w:t>
      </w:r>
    </w:p>
    <w:p w14:paraId="46E710F6">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9.5参加本次遴选活动前三年内，在经营活动中没有重大违法记录，提供承诺函。重大违法记录，是指供应商因违法经营受到刑事处罚或者责令停产停业、吊销许可证或者执照、较大数额罚款等行政处罚。若投标人同时提供承诺函和证明材料的，资格审查时以证明材料为准。（根据财库〔2022〕3号文，“较大数额罚款”认定为200万元以上的罚款，法律、行政法规以及国务院有关部门明确规定相关领域“较大数额罚款”标准高于200万元的，从其规定）。</w:t>
      </w:r>
    </w:p>
    <w:p w14:paraId="69A07D54">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9.6参选公司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79F855E4">
      <w:pPr>
        <w:pStyle w:val="8"/>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9.7单位负责人为同一人或存在直接控股、管理关系的不同供应商，不得同时参与本项目，供应商须提供承诺函。</w:t>
      </w:r>
    </w:p>
    <w:p w14:paraId="07123D6C">
      <w:pPr>
        <w:pStyle w:val="8"/>
        <w:spacing w:line="360" w:lineRule="auto"/>
        <w:ind w:firstLine="482" w:firstLineChars="200"/>
        <w:rPr>
          <w:rFonts w:hint="eastAsia" w:ascii="宋体" w:hAnsi="宋体" w:eastAsia="宋体" w:cs="宋体"/>
          <w:b/>
          <w:bCs/>
          <w:i w:val="0"/>
          <w:iCs w:val="0"/>
          <w:caps w:val="0"/>
          <w:color w:val="auto"/>
          <w:spacing w:val="0"/>
          <w:kern w:val="0"/>
          <w:sz w:val="24"/>
          <w:szCs w:val="24"/>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三、项目基本要求</w:t>
      </w:r>
    </w:p>
    <w:p w14:paraId="669C3538">
      <w:pPr>
        <w:pStyle w:val="4"/>
        <w:keepNext w:val="0"/>
        <w:keepLines w:val="0"/>
        <w:pageBreakBefore w:val="0"/>
        <w:widowControl/>
        <w:numPr>
          <w:ilvl w:val="0"/>
          <w:numId w:val="1"/>
        </w:numPr>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baseline"/>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服务范围：</w:t>
      </w:r>
    </w:p>
    <w:p w14:paraId="478935CA">
      <w:pPr>
        <w:spacing w:line="360" w:lineRule="auto"/>
        <w:ind w:firstLine="442" w:firstLineChars="20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 项目名称：中山市</w:t>
      </w:r>
      <w:r>
        <w:rPr>
          <w:rFonts w:hint="eastAsia" w:ascii="宋体" w:hAnsi="宋体" w:cs="宋体"/>
          <w:b/>
          <w:color w:val="auto"/>
          <w:sz w:val="22"/>
          <w:szCs w:val="22"/>
          <w:highlight w:val="none"/>
          <w:lang w:val="en-US" w:eastAsia="zh-CN"/>
        </w:rPr>
        <w:t>东升</w:t>
      </w:r>
      <w:r>
        <w:rPr>
          <w:rFonts w:hint="eastAsia" w:ascii="宋体" w:hAnsi="宋体" w:eastAsia="宋体" w:cs="宋体"/>
          <w:b/>
          <w:color w:val="auto"/>
          <w:sz w:val="22"/>
          <w:szCs w:val="22"/>
          <w:highlight w:val="none"/>
        </w:rPr>
        <w:t>医院食堂经营项目</w:t>
      </w:r>
    </w:p>
    <w:p w14:paraId="033A3C62">
      <w:pPr>
        <w:spacing w:line="360" w:lineRule="auto"/>
        <w:ind w:firstLine="442" w:firstLineChars="20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 项目清单：</w:t>
      </w:r>
    </w:p>
    <w:tbl>
      <w:tblPr>
        <w:tblStyle w:val="5"/>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769"/>
        <w:gridCol w:w="1500"/>
        <w:gridCol w:w="1909"/>
        <w:gridCol w:w="2509"/>
        <w:gridCol w:w="1198"/>
      </w:tblGrid>
      <w:tr w14:paraId="72DA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36" w:type="dxa"/>
            <w:vAlign w:val="center"/>
          </w:tcPr>
          <w:p w14:paraId="3565B75E">
            <w:pPr>
              <w:jc w:val="center"/>
              <w:rPr>
                <w:rFonts w:ascii="宋体" w:hAnsi="宋体" w:cs="宋体"/>
                <w:b/>
                <w:color w:val="auto"/>
                <w:sz w:val="22"/>
                <w:szCs w:val="22"/>
                <w:highlight w:val="none"/>
              </w:rPr>
            </w:pPr>
            <w:r>
              <w:rPr>
                <w:rFonts w:hint="eastAsia" w:ascii="宋体" w:hAnsi="宋体" w:cs="宋体"/>
                <w:b/>
                <w:color w:val="auto"/>
                <w:sz w:val="22"/>
                <w:szCs w:val="22"/>
                <w:highlight w:val="none"/>
              </w:rPr>
              <w:t>序号</w:t>
            </w:r>
          </w:p>
        </w:tc>
        <w:tc>
          <w:tcPr>
            <w:tcW w:w="1769" w:type="dxa"/>
            <w:vAlign w:val="center"/>
          </w:tcPr>
          <w:p w14:paraId="77446495">
            <w:pPr>
              <w:jc w:val="center"/>
              <w:rPr>
                <w:rFonts w:ascii="宋体" w:hAnsi="宋体" w:cs="宋体"/>
                <w:b/>
                <w:color w:val="auto"/>
                <w:sz w:val="22"/>
                <w:szCs w:val="22"/>
                <w:highlight w:val="none"/>
              </w:rPr>
            </w:pPr>
            <w:r>
              <w:rPr>
                <w:rFonts w:hint="eastAsia" w:ascii="宋体" w:hAnsi="宋体" w:cs="宋体"/>
                <w:b/>
                <w:color w:val="auto"/>
                <w:sz w:val="22"/>
                <w:szCs w:val="22"/>
                <w:highlight w:val="none"/>
                <w:lang w:eastAsia="zh-CN"/>
              </w:rPr>
              <w:t>业主方</w:t>
            </w:r>
          </w:p>
        </w:tc>
        <w:tc>
          <w:tcPr>
            <w:tcW w:w="1500" w:type="dxa"/>
            <w:vAlign w:val="center"/>
          </w:tcPr>
          <w:p w14:paraId="0264E54B">
            <w:pPr>
              <w:jc w:val="center"/>
              <w:rPr>
                <w:rFonts w:ascii="宋体" w:hAnsi="宋体" w:cs="宋体"/>
                <w:b/>
                <w:color w:val="auto"/>
                <w:sz w:val="22"/>
                <w:szCs w:val="22"/>
                <w:highlight w:val="none"/>
              </w:rPr>
            </w:pPr>
            <w:r>
              <w:rPr>
                <w:rFonts w:hint="eastAsia" w:ascii="宋体" w:hAnsi="宋体" w:cs="宋体"/>
                <w:b/>
                <w:color w:val="auto"/>
                <w:sz w:val="22"/>
                <w:szCs w:val="22"/>
                <w:highlight w:val="none"/>
                <w:lang w:val="en-US" w:eastAsia="zh-CN"/>
              </w:rPr>
              <w:t>遴选</w:t>
            </w:r>
            <w:r>
              <w:rPr>
                <w:rFonts w:hint="eastAsia" w:ascii="宋体" w:hAnsi="宋体" w:cs="宋体"/>
                <w:b/>
                <w:color w:val="auto"/>
                <w:sz w:val="22"/>
                <w:szCs w:val="22"/>
                <w:highlight w:val="none"/>
              </w:rPr>
              <w:t>内容</w:t>
            </w:r>
          </w:p>
        </w:tc>
        <w:tc>
          <w:tcPr>
            <w:tcW w:w="1909" w:type="dxa"/>
            <w:vAlign w:val="center"/>
          </w:tcPr>
          <w:p w14:paraId="26436795">
            <w:pPr>
              <w:jc w:val="center"/>
              <w:rPr>
                <w:rFonts w:hint="default" w:ascii="宋体" w:hAnsi="宋体" w:eastAsia="宋体" w:cs="宋体"/>
                <w:b/>
                <w:color w:val="auto"/>
                <w:sz w:val="22"/>
                <w:szCs w:val="22"/>
                <w:highlight w:val="none"/>
                <w:lang w:val="en-US" w:eastAsia="zh-CN"/>
              </w:rPr>
            </w:pPr>
            <w:r>
              <w:rPr>
                <w:rFonts w:hint="eastAsia" w:ascii="宋体" w:hAnsi="宋体" w:cs="宋体"/>
                <w:b/>
                <w:color w:val="auto"/>
                <w:sz w:val="22"/>
                <w:szCs w:val="22"/>
                <w:highlight w:val="none"/>
                <w:lang w:val="en-US" w:eastAsia="zh-CN"/>
              </w:rPr>
              <w:t>开展形式</w:t>
            </w:r>
          </w:p>
        </w:tc>
        <w:tc>
          <w:tcPr>
            <w:tcW w:w="2509" w:type="dxa"/>
            <w:vAlign w:val="center"/>
          </w:tcPr>
          <w:p w14:paraId="3BA706C1">
            <w:pPr>
              <w:jc w:val="center"/>
              <w:rPr>
                <w:rFonts w:ascii="宋体" w:hAnsi="宋体"/>
                <w:b/>
                <w:color w:val="auto"/>
                <w:sz w:val="22"/>
                <w:szCs w:val="22"/>
                <w:highlight w:val="none"/>
              </w:rPr>
            </w:pPr>
            <w:r>
              <w:rPr>
                <w:rFonts w:hint="eastAsia" w:ascii="宋体" w:hAnsi="宋体"/>
                <w:b/>
                <w:color w:val="auto"/>
                <w:sz w:val="22"/>
                <w:szCs w:val="22"/>
                <w:highlight w:val="none"/>
              </w:rPr>
              <w:t>技术参数要求</w:t>
            </w:r>
          </w:p>
        </w:tc>
        <w:tc>
          <w:tcPr>
            <w:tcW w:w="1198" w:type="dxa"/>
            <w:vAlign w:val="center"/>
          </w:tcPr>
          <w:p w14:paraId="602DE5D8">
            <w:pPr>
              <w:jc w:val="center"/>
              <w:rPr>
                <w:rFonts w:ascii="宋体" w:hAnsi="宋体" w:cs="宋体"/>
                <w:b/>
                <w:color w:val="auto"/>
                <w:sz w:val="22"/>
                <w:szCs w:val="22"/>
                <w:highlight w:val="none"/>
              </w:rPr>
            </w:pPr>
            <w:r>
              <w:rPr>
                <w:rFonts w:hint="eastAsia" w:ascii="宋体" w:hAnsi="宋体" w:cs="宋体"/>
                <w:b/>
                <w:color w:val="auto"/>
                <w:sz w:val="22"/>
                <w:szCs w:val="22"/>
                <w:highlight w:val="none"/>
              </w:rPr>
              <w:t>服务年限</w:t>
            </w:r>
          </w:p>
        </w:tc>
      </w:tr>
      <w:tr w14:paraId="730C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36" w:type="dxa"/>
            <w:vAlign w:val="center"/>
          </w:tcPr>
          <w:p w14:paraId="5FECC5A1">
            <w:pPr>
              <w:spacing w:line="360" w:lineRule="auto"/>
              <w:jc w:val="center"/>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w:t>
            </w:r>
          </w:p>
        </w:tc>
        <w:tc>
          <w:tcPr>
            <w:tcW w:w="1769" w:type="dxa"/>
            <w:vAlign w:val="center"/>
          </w:tcPr>
          <w:p w14:paraId="08C199F9">
            <w:pPr>
              <w:spacing w:line="360" w:lineRule="auto"/>
              <w:jc w:val="center"/>
              <w:rPr>
                <w:rFonts w:hint="eastAsia" w:ascii="宋体" w:hAnsi="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中山市</w:t>
            </w:r>
            <w:r>
              <w:rPr>
                <w:rFonts w:hint="eastAsia" w:ascii="宋体" w:hAnsi="宋体" w:cs="宋体"/>
                <w:i w:val="0"/>
                <w:iCs w:val="0"/>
                <w:caps w:val="0"/>
                <w:color w:val="auto"/>
                <w:spacing w:val="0"/>
                <w:kern w:val="0"/>
                <w:sz w:val="24"/>
                <w:szCs w:val="24"/>
                <w:shd w:val="clear" w:color="auto" w:fill="FFFFFF"/>
                <w:lang w:val="en-US" w:eastAsia="zh-CN" w:bidi="ar"/>
              </w:rPr>
              <w:t>东升</w:t>
            </w:r>
          </w:p>
          <w:p w14:paraId="781C499E">
            <w:pPr>
              <w:spacing w:line="360" w:lineRule="auto"/>
              <w:jc w:val="center"/>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医院</w:t>
            </w:r>
          </w:p>
        </w:tc>
        <w:tc>
          <w:tcPr>
            <w:tcW w:w="1500" w:type="dxa"/>
            <w:vAlign w:val="center"/>
          </w:tcPr>
          <w:p w14:paraId="4977B90E">
            <w:pPr>
              <w:spacing w:line="360" w:lineRule="auto"/>
              <w:jc w:val="center"/>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食堂经营</w:t>
            </w:r>
          </w:p>
        </w:tc>
        <w:tc>
          <w:tcPr>
            <w:tcW w:w="1909" w:type="dxa"/>
            <w:vAlign w:val="center"/>
          </w:tcPr>
          <w:p w14:paraId="361F5FD1">
            <w:pPr>
              <w:spacing w:line="360" w:lineRule="auto"/>
              <w:jc w:val="center"/>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菜品价格下浮</w:t>
            </w:r>
          </w:p>
        </w:tc>
        <w:tc>
          <w:tcPr>
            <w:tcW w:w="2509" w:type="dxa"/>
            <w:vAlign w:val="center"/>
          </w:tcPr>
          <w:p w14:paraId="343D40E4">
            <w:pPr>
              <w:spacing w:line="360" w:lineRule="auto"/>
              <w:jc w:val="center"/>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详见“用户需求书”</w:t>
            </w:r>
          </w:p>
        </w:tc>
        <w:tc>
          <w:tcPr>
            <w:tcW w:w="1198" w:type="dxa"/>
            <w:vAlign w:val="center"/>
          </w:tcPr>
          <w:p w14:paraId="55EB5CCC">
            <w:pPr>
              <w:spacing w:line="360" w:lineRule="auto"/>
              <w:jc w:val="center"/>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三年</w:t>
            </w:r>
          </w:p>
        </w:tc>
      </w:tr>
    </w:tbl>
    <w:p w14:paraId="30AADBD8">
      <w:pPr>
        <w:spacing w:line="360" w:lineRule="auto"/>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3、场地范围：</w:t>
      </w:r>
    </w:p>
    <w:p w14:paraId="696125F8">
      <w:pPr>
        <w:spacing w:line="360" w:lineRule="auto"/>
        <w:ind w:firstLine="480" w:firstLineChars="200"/>
        <w:rPr>
          <w:rFonts w:hint="default"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东升</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医院</w:t>
      </w:r>
      <w:r>
        <w:rPr>
          <w:rFonts w:hint="eastAsia" w:ascii="宋体" w:hAnsi="宋体" w:cs="宋体"/>
          <w:i w:val="0"/>
          <w:iCs w:val="0"/>
          <w:caps w:val="0"/>
          <w:color w:val="auto"/>
          <w:spacing w:val="0"/>
          <w:kern w:val="0"/>
          <w:sz w:val="24"/>
          <w:szCs w:val="24"/>
          <w:highlight w:val="none"/>
          <w:shd w:val="clear" w:color="auto" w:fill="FFFFFF"/>
          <w:lang w:val="en-US" w:eastAsia="zh-CN" w:bidi="ar"/>
        </w:rPr>
        <w:t>食堂</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就餐区建筑面积为</w:t>
      </w:r>
      <w:r>
        <w:rPr>
          <w:rFonts w:hint="eastAsia" w:ascii="宋体" w:hAnsi="宋体" w:cs="宋体"/>
          <w:i w:val="0"/>
          <w:iCs w:val="0"/>
          <w:caps w:val="0"/>
          <w:color w:val="auto"/>
          <w:spacing w:val="0"/>
          <w:kern w:val="0"/>
          <w:sz w:val="24"/>
          <w:szCs w:val="24"/>
          <w:highlight w:val="none"/>
          <w:shd w:val="clear" w:color="auto" w:fill="FFFFFF"/>
          <w:lang w:val="en-US" w:eastAsia="zh-CN" w:bidi="ar"/>
        </w:rPr>
        <w:t>253</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㎡（附图一）</w:t>
      </w:r>
      <w:r>
        <w:rPr>
          <w:rFonts w:hint="eastAsia" w:ascii="宋体" w:hAnsi="宋体" w:cs="宋体"/>
          <w:i w:val="0"/>
          <w:iCs w:val="0"/>
          <w:caps w:val="0"/>
          <w:color w:val="auto"/>
          <w:spacing w:val="0"/>
          <w:kern w:val="0"/>
          <w:sz w:val="24"/>
          <w:szCs w:val="24"/>
          <w:highlight w:val="none"/>
          <w:shd w:val="clear" w:color="auto" w:fill="FFFFFF"/>
          <w:lang w:val="en-US" w:eastAsia="zh-CN" w:bidi="ar"/>
        </w:rPr>
        <w:t>，改扩建后需拆除部分建筑物。</w:t>
      </w:r>
    </w:p>
    <w:p w14:paraId="025CEC51">
      <w:pPr>
        <w:spacing w:line="360" w:lineRule="auto"/>
        <w:ind w:firstLine="442" w:firstLineChars="20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★4、服务期限：</w:t>
      </w:r>
    </w:p>
    <w:p w14:paraId="1441813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即自合同签订日起叁年。服务期限采取1+1+1的方式。即先签订一年合同，如业主方对中选服务商的服务满意且考核合格（考核方案见附件一），在第一年合同期满后，经业主方考核合格后并同意后，则双方续签下一年度合同。如业主方对中选服务商所提供的服务不满意（即连续两个月考核结果低于80分的），业主方有权单方终止合同，不再续签。</w:t>
      </w:r>
    </w:p>
    <w:p w14:paraId="09242043">
      <w:pPr>
        <w:spacing w:line="360" w:lineRule="auto"/>
        <w:ind w:firstLine="442" w:firstLineChars="20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 </w:t>
      </w:r>
      <w:r>
        <w:rPr>
          <w:rFonts w:hint="eastAsia" w:ascii="宋体" w:hAnsi="宋体" w:eastAsia="宋体" w:cs="宋体"/>
          <w:b/>
          <w:color w:val="auto"/>
          <w:sz w:val="22"/>
          <w:szCs w:val="22"/>
          <w:highlight w:val="none"/>
          <w:lang w:val="en-US" w:eastAsia="zh-CN"/>
        </w:rPr>
        <w:t>经营</w:t>
      </w:r>
      <w:r>
        <w:rPr>
          <w:rFonts w:hint="eastAsia" w:ascii="宋体" w:hAnsi="宋体" w:eastAsia="宋体" w:cs="宋体"/>
          <w:b/>
          <w:color w:val="auto"/>
          <w:sz w:val="22"/>
          <w:szCs w:val="22"/>
          <w:highlight w:val="none"/>
        </w:rPr>
        <w:t>模式：</w:t>
      </w:r>
    </w:p>
    <w:p w14:paraId="22F39E11">
      <w:pPr>
        <w:spacing w:line="360" w:lineRule="auto"/>
        <w:ind w:firstLine="240" w:firstLineChars="100"/>
        <w:rPr>
          <w:rFonts w:hint="eastAsia" w:ascii="宋体" w:hAnsi="宋体" w:eastAsia="宋体" w:cs="宋体"/>
          <w:color w:val="auto"/>
          <w:sz w:val="22"/>
          <w:szCs w:val="22"/>
          <w:highlight w:val="none"/>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5.1</w:t>
      </w:r>
      <w:r>
        <w:rPr>
          <w:rFonts w:hint="eastAsia" w:ascii="宋体" w:hAnsi="宋体" w:eastAsia="宋体" w:cs="宋体"/>
          <w:i w:val="0"/>
          <w:iCs w:val="0"/>
          <w:caps w:val="0"/>
          <w:color w:val="auto"/>
          <w:spacing w:val="0"/>
          <w:kern w:val="0"/>
          <w:sz w:val="24"/>
          <w:szCs w:val="24"/>
          <w:shd w:val="clear" w:color="auto" w:fill="FFFFFF"/>
          <w:lang w:val="en-US" w:eastAsia="zh-CN" w:bidi="ar"/>
        </w:rPr>
        <w:t>由业主方向中选服务商提供经营场地，中选服务商应在每月5日前向业主方缴交</w:t>
      </w:r>
      <w:r>
        <w:rPr>
          <w:rFonts w:hint="eastAsia" w:ascii="宋体" w:hAnsi="宋体" w:eastAsia="宋体" w:cs="宋体"/>
          <w:b/>
          <w:bCs/>
          <w:i w:val="0"/>
          <w:iCs w:val="0"/>
          <w:caps w:val="0"/>
          <w:color w:val="auto"/>
          <w:spacing w:val="0"/>
          <w:kern w:val="0"/>
          <w:sz w:val="24"/>
          <w:szCs w:val="24"/>
          <w:shd w:val="clear" w:color="auto" w:fill="FFFFFF"/>
          <w:lang w:val="zh-CN" w:eastAsia="zh-CN" w:bidi="ar"/>
        </w:rPr>
        <w:t>上一个月的水、电费（</w:t>
      </w:r>
      <w:r>
        <w:rPr>
          <w:rFonts w:hint="eastAsia" w:ascii="宋体" w:hAnsi="宋体" w:eastAsia="宋体" w:cs="宋体"/>
          <w:b/>
          <w:bCs/>
          <w:i w:val="0"/>
          <w:iCs w:val="0"/>
          <w:caps w:val="0"/>
          <w:color w:val="auto"/>
          <w:spacing w:val="0"/>
          <w:kern w:val="0"/>
          <w:sz w:val="24"/>
          <w:szCs w:val="24"/>
          <w:shd w:val="clear" w:color="auto" w:fill="FFFFFF"/>
          <w:lang w:val="en-US" w:eastAsia="zh-CN" w:bidi="ar"/>
        </w:rPr>
        <w:t>按实结算</w:t>
      </w:r>
      <w:r>
        <w:rPr>
          <w:rFonts w:hint="eastAsia" w:ascii="宋体" w:hAnsi="宋体" w:eastAsia="宋体" w:cs="宋体"/>
          <w:b/>
          <w:bCs/>
          <w:i w:val="0"/>
          <w:iCs w:val="0"/>
          <w:caps w:val="0"/>
          <w:color w:val="auto"/>
          <w:spacing w:val="0"/>
          <w:kern w:val="0"/>
          <w:sz w:val="24"/>
          <w:szCs w:val="24"/>
          <w:shd w:val="clear" w:color="auto" w:fill="FFFFFF"/>
          <w:lang w:val="zh-CN" w:eastAsia="zh-CN" w:bidi="ar"/>
        </w:rPr>
        <w:t>）</w:t>
      </w:r>
      <w:r>
        <w:rPr>
          <w:rFonts w:hint="eastAsia" w:ascii="宋体" w:hAnsi="宋体" w:cs="宋体"/>
          <w:b/>
          <w:bCs/>
          <w:i w:val="0"/>
          <w:iCs w:val="0"/>
          <w:caps w:val="0"/>
          <w:color w:val="auto"/>
          <w:spacing w:val="0"/>
          <w:kern w:val="0"/>
          <w:sz w:val="24"/>
          <w:szCs w:val="24"/>
          <w:shd w:val="clear" w:color="auto" w:fill="FFFFFF"/>
          <w:lang w:val="en-US" w:eastAsia="zh-CN" w:bidi="ar"/>
        </w:rPr>
        <w:t>，</w:t>
      </w:r>
      <w:r>
        <w:rPr>
          <w:rFonts w:hint="eastAsia" w:ascii="宋体" w:hAnsi="宋体" w:eastAsia="宋体" w:cs="宋体"/>
          <w:b/>
          <w:bCs/>
          <w:i w:val="0"/>
          <w:iCs w:val="0"/>
          <w:caps w:val="0"/>
          <w:color w:val="auto"/>
          <w:spacing w:val="0"/>
          <w:kern w:val="0"/>
          <w:sz w:val="24"/>
          <w:szCs w:val="24"/>
          <w:shd w:val="clear" w:color="auto" w:fill="FFFFFF"/>
          <w:lang w:val="en-US" w:eastAsia="zh-CN" w:bidi="ar"/>
        </w:rPr>
        <w:t>厨余垃圾由中选服务商自行与具有收运资质的第三方公司签订收运合同，</w:t>
      </w:r>
      <w:r>
        <w:rPr>
          <w:rFonts w:hint="eastAsia" w:ascii="宋体" w:hAnsi="宋体" w:eastAsia="宋体" w:cs="宋体"/>
          <w:i w:val="0"/>
          <w:iCs w:val="0"/>
          <w:caps w:val="0"/>
          <w:color w:val="auto"/>
          <w:spacing w:val="0"/>
          <w:kern w:val="0"/>
          <w:sz w:val="24"/>
          <w:szCs w:val="24"/>
          <w:shd w:val="clear" w:color="auto" w:fill="FFFFFF"/>
          <w:lang w:val="zh-CN" w:eastAsia="zh-CN" w:bidi="ar"/>
        </w:rPr>
        <w:t>中选服务商负责自主经营、自主管理、独立核算。</w:t>
      </w:r>
    </w:p>
    <w:p w14:paraId="6C8C719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5.2</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每天（全年不间断）为医院员工（含进修生、实习生、后勤服务公司员工及其他工作人员的工作人员）、患者及家属提供早餐、中餐、晚餐及以成本价提供医院体检餐、公务餐、会议餐、职工包餐、会议盒饭、业主方需要的各类临时性用餐和应急配餐服务。</w:t>
      </w:r>
    </w:p>
    <w:p w14:paraId="7406C0F9">
      <w:pPr>
        <w:spacing w:line="360" w:lineRule="auto"/>
        <w:ind w:firstLine="240" w:firstLineChars="1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5.3</w:t>
      </w:r>
      <w:r>
        <w:rPr>
          <w:rFonts w:hint="eastAsia" w:ascii="宋体" w:hAnsi="宋体" w:eastAsia="宋体" w:cs="宋体"/>
          <w:i w:val="0"/>
          <w:iCs w:val="0"/>
          <w:caps w:val="0"/>
          <w:color w:val="auto"/>
          <w:spacing w:val="0"/>
          <w:kern w:val="0"/>
          <w:sz w:val="24"/>
          <w:szCs w:val="24"/>
          <w:shd w:val="clear" w:color="auto" w:fill="FFFFFF"/>
          <w:lang w:val="en-US" w:eastAsia="zh-CN" w:bidi="ar"/>
        </w:rPr>
        <w:t>采用堂食和配送餐服务相结合的模式。中选服务商须有完善的线上订餐系统（含订餐自取）</w:t>
      </w:r>
      <w:r>
        <w:rPr>
          <w:rFonts w:hint="eastAsia" w:ascii="宋体" w:hAnsi="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b/>
          <w:bCs/>
          <w:i w:val="0"/>
          <w:iCs w:val="0"/>
          <w:caps w:val="0"/>
          <w:color w:val="auto"/>
          <w:spacing w:val="0"/>
          <w:kern w:val="0"/>
          <w:sz w:val="24"/>
          <w:szCs w:val="24"/>
          <w:shd w:val="clear" w:color="auto" w:fill="FFFFFF"/>
          <w:lang w:val="en-US" w:eastAsia="zh-CN" w:bidi="ar"/>
        </w:rPr>
        <w:t>配备足够的送餐服务人员。</w:t>
      </w:r>
    </w:p>
    <w:p w14:paraId="2E411F0E">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5.4</w:t>
      </w:r>
      <w:r>
        <w:rPr>
          <w:rFonts w:hint="eastAsia" w:ascii="宋体" w:hAnsi="宋体" w:eastAsia="宋体" w:cs="宋体"/>
          <w:i w:val="0"/>
          <w:iCs w:val="0"/>
          <w:caps w:val="0"/>
          <w:color w:val="auto"/>
          <w:spacing w:val="0"/>
          <w:kern w:val="0"/>
          <w:sz w:val="24"/>
          <w:szCs w:val="24"/>
          <w:shd w:val="clear" w:color="auto" w:fill="FFFFFF"/>
          <w:lang w:val="en-US" w:eastAsia="zh-CN" w:bidi="ar"/>
        </w:rPr>
        <w:t>供餐时间：早餐应于早上06：45</w:t>
      </w:r>
      <w:r>
        <w:rPr>
          <w:rFonts w:hint="eastAsia" w:ascii="宋体" w:hAnsi="宋体" w:cs="宋体"/>
          <w:i w:val="0"/>
          <w:iCs w:val="0"/>
          <w:caps w:val="0"/>
          <w:color w:val="auto"/>
          <w:spacing w:val="0"/>
          <w:kern w:val="0"/>
          <w:sz w:val="24"/>
          <w:szCs w:val="24"/>
          <w:shd w:val="clear" w:color="auto" w:fill="FFFFFF"/>
          <w:lang w:val="en-US" w:eastAsia="zh-CN" w:bidi="ar"/>
        </w:rPr>
        <w:t>-8:30</w:t>
      </w:r>
      <w:r>
        <w:rPr>
          <w:rFonts w:hint="eastAsia" w:ascii="宋体" w:hAnsi="宋体" w:eastAsia="宋体" w:cs="宋体"/>
          <w:i w:val="0"/>
          <w:iCs w:val="0"/>
          <w:caps w:val="0"/>
          <w:color w:val="auto"/>
          <w:spacing w:val="0"/>
          <w:kern w:val="0"/>
          <w:sz w:val="24"/>
          <w:szCs w:val="24"/>
          <w:shd w:val="clear" w:color="auto" w:fill="FFFFFF"/>
          <w:lang w:val="en-US" w:eastAsia="zh-CN" w:bidi="ar"/>
        </w:rPr>
        <w:t>分出餐、中餐应于中午11：00</w:t>
      </w:r>
      <w:r>
        <w:rPr>
          <w:rFonts w:hint="eastAsia" w:ascii="宋体" w:hAnsi="宋体" w:cs="宋体"/>
          <w:i w:val="0"/>
          <w:iCs w:val="0"/>
          <w:caps w:val="0"/>
          <w:color w:val="auto"/>
          <w:spacing w:val="0"/>
          <w:kern w:val="0"/>
          <w:sz w:val="24"/>
          <w:szCs w:val="24"/>
          <w:shd w:val="clear" w:color="auto" w:fill="FFFFFF"/>
          <w:lang w:val="en-US" w:eastAsia="zh-CN" w:bidi="ar"/>
        </w:rPr>
        <w:t>—13:00</w:t>
      </w:r>
      <w:r>
        <w:rPr>
          <w:rFonts w:hint="eastAsia" w:ascii="宋体" w:hAnsi="宋体" w:eastAsia="宋体" w:cs="宋体"/>
          <w:i w:val="0"/>
          <w:iCs w:val="0"/>
          <w:caps w:val="0"/>
          <w:color w:val="auto"/>
          <w:spacing w:val="0"/>
          <w:kern w:val="0"/>
          <w:sz w:val="24"/>
          <w:szCs w:val="24"/>
          <w:shd w:val="clear" w:color="auto" w:fill="FFFFFF"/>
          <w:lang w:val="en-US" w:eastAsia="zh-CN" w:bidi="ar"/>
        </w:rPr>
        <w:t>分出餐、晚餐应于下午</w:t>
      </w:r>
      <w:r>
        <w:rPr>
          <w:rFonts w:hint="eastAsia" w:ascii="宋体" w:hAnsi="宋体" w:cs="宋体"/>
          <w:i w:val="0"/>
          <w:iCs w:val="0"/>
          <w:caps w:val="0"/>
          <w:color w:val="auto"/>
          <w:spacing w:val="0"/>
          <w:kern w:val="0"/>
          <w:sz w:val="24"/>
          <w:szCs w:val="24"/>
          <w:shd w:val="clear" w:color="auto" w:fill="FFFFFF"/>
          <w:lang w:val="en-US" w:eastAsia="zh-CN" w:bidi="ar"/>
        </w:rPr>
        <w:t>16</w:t>
      </w:r>
      <w:r>
        <w:rPr>
          <w:rFonts w:hint="eastAsia" w:ascii="宋体" w:hAnsi="宋体" w:eastAsia="宋体" w:cs="宋体"/>
          <w:i w:val="0"/>
          <w:iCs w:val="0"/>
          <w:caps w:val="0"/>
          <w:color w:val="auto"/>
          <w:spacing w:val="0"/>
          <w:kern w:val="0"/>
          <w:sz w:val="24"/>
          <w:szCs w:val="24"/>
          <w:shd w:val="clear" w:color="auto" w:fill="FFFFFF"/>
          <w:lang w:val="en-US" w:eastAsia="zh-CN" w:bidi="ar"/>
        </w:rPr>
        <w:t>:30</w:t>
      </w:r>
      <w:r>
        <w:rPr>
          <w:rFonts w:hint="eastAsia" w:ascii="宋体" w:hAnsi="宋体" w:cs="宋体"/>
          <w:i w:val="0"/>
          <w:iCs w:val="0"/>
          <w:caps w:val="0"/>
          <w:color w:val="auto"/>
          <w:spacing w:val="0"/>
          <w:kern w:val="0"/>
          <w:sz w:val="24"/>
          <w:szCs w:val="24"/>
          <w:shd w:val="clear" w:color="auto" w:fill="FFFFFF"/>
          <w:lang w:val="en-US" w:eastAsia="zh-CN" w:bidi="ar"/>
        </w:rPr>
        <w:t>—19:00</w:t>
      </w:r>
      <w:r>
        <w:rPr>
          <w:rFonts w:hint="eastAsia" w:ascii="宋体" w:hAnsi="宋体" w:eastAsia="宋体" w:cs="宋体"/>
          <w:i w:val="0"/>
          <w:iCs w:val="0"/>
          <w:caps w:val="0"/>
          <w:color w:val="auto"/>
          <w:spacing w:val="0"/>
          <w:kern w:val="0"/>
          <w:sz w:val="24"/>
          <w:szCs w:val="24"/>
          <w:shd w:val="clear" w:color="auto" w:fill="FFFFFF"/>
          <w:lang w:val="en-US" w:eastAsia="zh-CN" w:bidi="ar"/>
        </w:rPr>
        <w:t>分出餐。（中标人必须提供环保材料的餐具）。</w:t>
      </w:r>
    </w:p>
    <w:p w14:paraId="0D010E8A">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5.5</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中选服务商自觉接受业主方及餐饮主管部门的监督管理。</w:t>
      </w:r>
    </w:p>
    <w:p w14:paraId="16A235E0">
      <w:pPr>
        <w:spacing w:line="360" w:lineRule="auto"/>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6、</w:t>
      </w:r>
      <w:r>
        <w:rPr>
          <w:rFonts w:hint="eastAsia" w:ascii="宋体" w:hAnsi="宋体" w:cs="宋体"/>
          <w:b/>
          <w:color w:val="auto"/>
          <w:sz w:val="22"/>
          <w:szCs w:val="22"/>
          <w:highlight w:val="none"/>
          <w:lang w:eastAsia="zh-CN"/>
        </w:rPr>
        <w:t>中选服务商</w:t>
      </w:r>
      <w:r>
        <w:rPr>
          <w:rFonts w:hint="eastAsia" w:ascii="宋体" w:hAnsi="宋体" w:cs="宋体"/>
          <w:b/>
          <w:color w:val="auto"/>
          <w:sz w:val="22"/>
          <w:szCs w:val="22"/>
          <w:highlight w:val="none"/>
        </w:rPr>
        <w:t>应承担费用，包括但不限于：</w:t>
      </w:r>
    </w:p>
    <w:p w14:paraId="39B78C57">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6.1</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中选服务商负责按食品安全的要求购买食物原材料、加工和水、电、气的费用及其员工的一切工资、福利、保险、健康体检和所产生事故、责任和纠纷的处理。</w:t>
      </w:r>
    </w:p>
    <w:p w14:paraId="304EC0C8">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6.2</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中选服务商每年须为医院食堂购买不少于 500 万保额的食品安全责任险和不少于 200 万保额的公众责任险。</w:t>
      </w:r>
    </w:p>
    <w:p w14:paraId="788A8073">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6.3</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中选服务商负责办理合法经营所需的各类相关证件资料。</w:t>
      </w:r>
    </w:p>
    <w:p w14:paraId="032E0262">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6.4</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中选服务商负责对</w:t>
      </w:r>
      <w:r>
        <w:rPr>
          <w:rFonts w:hint="eastAsia" w:ascii="宋体" w:hAnsi="宋体" w:cs="宋体"/>
          <w:i w:val="0"/>
          <w:iCs w:val="0"/>
          <w:caps w:val="0"/>
          <w:color w:val="auto"/>
          <w:spacing w:val="0"/>
          <w:kern w:val="0"/>
          <w:sz w:val="24"/>
          <w:szCs w:val="24"/>
          <w:shd w:val="clear" w:color="auto" w:fill="FFFFFF"/>
          <w:lang w:val="en-US" w:eastAsia="zh-CN" w:bidi="ar"/>
        </w:rPr>
        <w:t>食堂</w:t>
      </w:r>
      <w:r>
        <w:rPr>
          <w:rFonts w:hint="eastAsia" w:ascii="宋体" w:hAnsi="宋体" w:eastAsia="宋体" w:cs="宋体"/>
          <w:i w:val="0"/>
          <w:iCs w:val="0"/>
          <w:caps w:val="0"/>
          <w:color w:val="auto"/>
          <w:spacing w:val="0"/>
          <w:kern w:val="0"/>
          <w:sz w:val="24"/>
          <w:szCs w:val="24"/>
          <w:shd w:val="clear" w:color="auto" w:fill="FFFFFF"/>
          <w:lang w:val="en-US" w:eastAsia="zh-CN" w:bidi="ar"/>
        </w:rPr>
        <w:t>经营场所</w:t>
      </w:r>
      <w:r>
        <w:rPr>
          <w:rFonts w:hint="eastAsia" w:ascii="宋体" w:hAnsi="宋体" w:cs="宋体"/>
          <w:i w:val="0"/>
          <w:iCs w:val="0"/>
          <w:caps w:val="0"/>
          <w:color w:val="auto"/>
          <w:spacing w:val="0"/>
          <w:kern w:val="0"/>
          <w:sz w:val="24"/>
          <w:szCs w:val="24"/>
          <w:shd w:val="clear" w:color="auto" w:fill="FFFFFF"/>
          <w:lang w:val="en-US" w:eastAsia="zh-CN" w:bidi="ar"/>
        </w:rPr>
        <w:t>改造、</w:t>
      </w:r>
      <w:r>
        <w:rPr>
          <w:rFonts w:hint="eastAsia" w:ascii="宋体" w:hAnsi="宋体" w:eastAsia="宋体" w:cs="宋体"/>
          <w:i w:val="0"/>
          <w:iCs w:val="0"/>
          <w:caps w:val="0"/>
          <w:color w:val="auto"/>
          <w:spacing w:val="0"/>
          <w:kern w:val="0"/>
          <w:sz w:val="24"/>
          <w:szCs w:val="24"/>
          <w:shd w:val="clear" w:color="auto" w:fill="FFFFFF"/>
          <w:lang w:val="en-US" w:eastAsia="zh-CN" w:bidi="ar"/>
        </w:rPr>
        <w:t>重新装修</w:t>
      </w:r>
      <w:r>
        <w:rPr>
          <w:rFonts w:hint="eastAsia" w:ascii="宋体" w:hAnsi="宋体" w:cs="宋体"/>
          <w:i w:val="0"/>
          <w:iCs w:val="0"/>
          <w:caps w:val="0"/>
          <w:color w:val="auto"/>
          <w:spacing w:val="0"/>
          <w:kern w:val="0"/>
          <w:sz w:val="24"/>
          <w:szCs w:val="24"/>
          <w:shd w:val="clear" w:color="auto" w:fill="FFFFFF"/>
          <w:lang w:val="en-US" w:eastAsia="zh-CN" w:bidi="ar"/>
        </w:rPr>
        <w:t>（扩建装修面积不低于200平方米）</w:t>
      </w:r>
      <w:r>
        <w:rPr>
          <w:rFonts w:hint="eastAsia" w:ascii="宋体" w:hAnsi="宋体" w:eastAsia="宋体" w:cs="宋体"/>
          <w:i w:val="0"/>
          <w:iCs w:val="0"/>
          <w:caps w:val="0"/>
          <w:color w:val="auto"/>
          <w:spacing w:val="0"/>
          <w:kern w:val="0"/>
          <w:sz w:val="24"/>
          <w:szCs w:val="24"/>
          <w:shd w:val="clear" w:color="auto" w:fill="FFFFFF"/>
          <w:lang w:val="en-US" w:eastAsia="zh-CN" w:bidi="ar"/>
        </w:rPr>
        <w:t>及其基础设备、设施的</w:t>
      </w:r>
      <w:r>
        <w:rPr>
          <w:rFonts w:hint="eastAsia" w:ascii="宋体" w:hAnsi="宋体" w:cs="宋体"/>
          <w:i w:val="0"/>
          <w:iCs w:val="0"/>
          <w:caps w:val="0"/>
          <w:color w:val="auto"/>
          <w:spacing w:val="0"/>
          <w:kern w:val="0"/>
          <w:sz w:val="24"/>
          <w:szCs w:val="24"/>
          <w:shd w:val="clear" w:color="auto" w:fill="FFFFFF"/>
          <w:lang w:val="en-US" w:eastAsia="zh-CN" w:bidi="ar"/>
        </w:rPr>
        <w:t>添置、</w:t>
      </w:r>
      <w:r>
        <w:rPr>
          <w:rFonts w:hint="eastAsia" w:ascii="宋体" w:hAnsi="宋体" w:eastAsia="宋体" w:cs="宋体"/>
          <w:i w:val="0"/>
          <w:iCs w:val="0"/>
          <w:caps w:val="0"/>
          <w:color w:val="auto"/>
          <w:spacing w:val="0"/>
          <w:kern w:val="0"/>
          <w:sz w:val="24"/>
          <w:szCs w:val="24"/>
          <w:shd w:val="clear" w:color="auto" w:fill="FFFFFF"/>
          <w:lang w:val="en-US" w:eastAsia="zh-CN" w:bidi="ar"/>
        </w:rPr>
        <w:t>改造、翻新、维修和保养（包括但不限于医院</w:t>
      </w:r>
      <w:r>
        <w:rPr>
          <w:rFonts w:hint="eastAsia" w:ascii="宋体" w:hAnsi="宋体" w:cs="宋体"/>
          <w:i w:val="0"/>
          <w:iCs w:val="0"/>
          <w:caps w:val="0"/>
          <w:color w:val="auto"/>
          <w:spacing w:val="0"/>
          <w:kern w:val="0"/>
          <w:sz w:val="24"/>
          <w:szCs w:val="24"/>
          <w:shd w:val="clear" w:color="auto" w:fill="FFFFFF"/>
          <w:lang w:val="en-US" w:eastAsia="zh-CN" w:bidi="ar"/>
        </w:rPr>
        <w:t>食堂扩建、各项厨房设施、桌</w:t>
      </w:r>
      <w:r>
        <w:rPr>
          <w:rFonts w:hint="eastAsia" w:ascii="宋体" w:hAnsi="宋体" w:eastAsia="宋体" w:cs="宋体"/>
          <w:i w:val="0"/>
          <w:iCs w:val="0"/>
          <w:caps w:val="0"/>
          <w:color w:val="auto"/>
          <w:spacing w:val="0"/>
          <w:kern w:val="0"/>
          <w:sz w:val="24"/>
          <w:szCs w:val="24"/>
          <w:shd w:val="clear" w:color="auto" w:fill="FFFFFF"/>
          <w:lang w:val="en-US" w:eastAsia="zh-CN" w:bidi="ar"/>
        </w:rPr>
        <w:t>椅等），所需费用和物品的更新、增设和日常维修保养等一切费用由中选服务商自行承担，具体要求如下：</w:t>
      </w:r>
    </w:p>
    <w:p w14:paraId="5EC8BBBE">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6.4.1</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中选服务商中标后1个月内必须按业主方要求，在满足食品安全管理和消防安全管理的相关法律法规要求下，</w:t>
      </w:r>
      <w:r>
        <w:rPr>
          <w:rFonts w:hint="eastAsia" w:ascii="宋体" w:hAnsi="宋体" w:cs="宋体"/>
          <w:i w:val="0"/>
          <w:iCs w:val="0"/>
          <w:caps w:val="0"/>
          <w:color w:val="auto"/>
          <w:spacing w:val="0"/>
          <w:kern w:val="0"/>
          <w:sz w:val="24"/>
          <w:szCs w:val="24"/>
          <w:shd w:val="clear" w:color="auto" w:fill="FFFFFF"/>
          <w:lang w:val="en-US" w:eastAsia="zh-CN" w:bidi="ar"/>
        </w:rPr>
        <w:t>负责原饭堂部分建筑物拆除，</w:t>
      </w:r>
      <w:r>
        <w:rPr>
          <w:rFonts w:hint="eastAsia" w:ascii="宋体" w:hAnsi="宋体" w:eastAsia="宋体" w:cs="宋体"/>
          <w:i w:val="0"/>
          <w:iCs w:val="0"/>
          <w:caps w:val="0"/>
          <w:color w:val="auto"/>
          <w:spacing w:val="0"/>
          <w:kern w:val="0"/>
          <w:sz w:val="24"/>
          <w:szCs w:val="24"/>
          <w:shd w:val="clear" w:color="auto" w:fill="FFFFFF"/>
          <w:lang w:val="en-US" w:eastAsia="zh-CN" w:bidi="ar"/>
        </w:rPr>
        <w:t>对饭堂进行</w:t>
      </w:r>
      <w:r>
        <w:rPr>
          <w:rFonts w:hint="eastAsia" w:ascii="宋体" w:hAnsi="宋体" w:cs="宋体"/>
          <w:i w:val="0"/>
          <w:iCs w:val="0"/>
          <w:caps w:val="0"/>
          <w:color w:val="auto"/>
          <w:spacing w:val="0"/>
          <w:kern w:val="0"/>
          <w:sz w:val="24"/>
          <w:szCs w:val="24"/>
          <w:shd w:val="clear" w:color="auto" w:fill="FFFFFF"/>
          <w:lang w:val="en-US" w:eastAsia="zh-CN" w:bidi="ar"/>
        </w:rPr>
        <w:t>扩建、</w:t>
      </w:r>
      <w:r>
        <w:rPr>
          <w:rFonts w:hint="eastAsia" w:ascii="宋体" w:hAnsi="宋体" w:eastAsia="宋体" w:cs="宋体"/>
          <w:i w:val="0"/>
          <w:iCs w:val="0"/>
          <w:caps w:val="0"/>
          <w:color w:val="auto"/>
          <w:spacing w:val="0"/>
          <w:kern w:val="0"/>
          <w:sz w:val="24"/>
          <w:szCs w:val="24"/>
          <w:shd w:val="clear" w:color="auto" w:fill="FFFFFF"/>
          <w:lang w:val="en-US" w:eastAsia="zh-CN" w:bidi="ar"/>
        </w:rPr>
        <w:t>装修、和流程优化，包括但不限于：饭堂</w:t>
      </w:r>
      <w:r>
        <w:rPr>
          <w:rFonts w:hint="eastAsia" w:ascii="宋体" w:hAnsi="宋体" w:cs="宋体"/>
          <w:i w:val="0"/>
          <w:iCs w:val="0"/>
          <w:caps w:val="0"/>
          <w:color w:val="auto"/>
          <w:spacing w:val="0"/>
          <w:kern w:val="0"/>
          <w:sz w:val="24"/>
          <w:szCs w:val="24"/>
          <w:shd w:val="clear" w:color="auto" w:fill="FFFFFF"/>
          <w:lang w:val="en-US" w:eastAsia="zh-CN" w:bidi="ar"/>
        </w:rPr>
        <w:t>钢结构扩建装修、</w:t>
      </w:r>
      <w:r>
        <w:rPr>
          <w:rFonts w:hint="eastAsia" w:ascii="宋体" w:hAnsi="宋体" w:eastAsia="宋体" w:cs="宋体"/>
          <w:i w:val="0"/>
          <w:iCs w:val="0"/>
          <w:caps w:val="0"/>
          <w:color w:val="auto"/>
          <w:spacing w:val="0"/>
          <w:kern w:val="0"/>
          <w:sz w:val="24"/>
          <w:szCs w:val="24"/>
          <w:shd w:val="clear" w:color="auto" w:fill="FFFFFF"/>
          <w:lang w:val="en-US" w:eastAsia="zh-CN" w:bidi="ar"/>
        </w:rPr>
        <w:t>布局调整、地面墙身翻新、管道走向调整、消防设备设施增设等</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w:t>
      </w:r>
    </w:p>
    <w:p w14:paraId="442EDD11">
      <w:pPr>
        <w:spacing w:line="360" w:lineRule="auto"/>
        <w:ind w:firstLine="240" w:firstLineChars="1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6.4.2</w:t>
      </w: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中选服务商在装修前必须提交书面装修申请和图纸（含平面设计图、装修效果图等）、预算明细表、施工方案等交给业主方审批同意后方可进行，装修所产生的一切费用由中选服务商负责。批准施工之日起，</w:t>
      </w:r>
      <w:r>
        <w:rPr>
          <w:rFonts w:hint="eastAsia" w:ascii="宋体" w:hAnsi="宋体" w:cs="宋体"/>
          <w:i w:val="0"/>
          <w:iCs w:val="0"/>
          <w:caps w:val="0"/>
          <w:color w:val="auto"/>
          <w:spacing w:val="0"/>
          <w:kern w:val="0"/>
          <w:sz w:val="24"/>
          <w:szCs w:val="24"/>
          <w:shd w:val="clear" w:color="auto" w:fill="FFFFFF"/>
          <w:lang w:val="en-US" w:eastAsia="zh-CN" w:bidi="ar"/>
        </w:rPr>
        <w:t>一</w:t>
      </w:r>
      <w:r>
        <w:rPr>
          <w:rFonts w:hint="eastAsia" w:ascii="宋体" w:hAnsi="宋体" w:eastAsia="宋体" w:cs="宋体"/>
          <w:i w:val="0"/>
          <w:iCs w:val="0"/>
          <w:caps w:val="0"/>
          <w:color w:val="auto"/>
          <w:spacing w:val="0"/>
          <w:kern w:val="0"/>
          <w:sz w:val="24"/>
          <w:szCs w:val="24"/>
          <w:shd w:val="clear" w:color="auto" w:fill="FFFFFF"/>
          <w:lang w:val="en-US" w:eastAsia="zh-CN" w:bidi="ar"/>
        </w:rPr>
        <w:t>个月内完成施工，若遇特殊情况需要延期，书面说明延期原因。</w:t>
      </w:r>
    </w:p>
    <w:p w14:paraId="02390A15">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6.4.3</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必须选择具备装修、消防建设资质的公司进行施工，材料、工艺必须符合环保要求及国家相关要求，业主方有权对装修公司及施工材料、工艺、环节进行监督管理，一旦发现不符合要求或以次充好的情形，业主方有权要求中选服务商立即停工整改。因中选服务商原因造成一切装修事故或安全隐患，所有责任及损失由中选服务商自行承担，对业主方造成经济或其他损失的，业主方有权进行索赔。</w:t>
      </w:r>
    </w:p>
    <w:p w14:paraId="12A526C2">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6.4.4</w:t>
      </w:r>
      <w:r>
        <w:rPr>
          <w:rFonts w:hint="eastAsia" w:ascii="宋体" w:hAnsi="宋体" w:eastAsia="宋体" w:cs="宋体"/>
          <w:i w:val="0"/>
          <w:iCs w:val="0"/>
          <w:caps w:val="0"/>
          <w:color w:val="auto"/>
          <w:spacing w:val="0"/>
          <w:kern w:val="0"/>
          <w:sz w:val="24"/>
          <w:szCs w:val="24"/>
          <w:shd w:val="clear" w:color="auto" w:fill="FFFFFF"/>
          <w:lang w:val="en-US" w:eastAsia="zh-CN" w:bidi="ar"/>
        </w:rPr>
        <w:t>装修改造不得对原建筑构成损害及造成环境的不协调，合同期满中选服务商可以拆除商标标牌及其他属于中选服务商的可移动的设备设施，但房屋内的固定装卸设施（如隔墙、门窗、天花、地板、消防设施等）归业主方所有，中选服务商不得拆除或破坏。</w:t>
      </w:r>
    </w:p>
    <w:p w14:paraId="02B5A6A9">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6.4.5</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中选服务商应制定装修期间的可行供餐方案，必须确保装修改造期间的正常供餐且应符合食品安全管理要求。</w:t>
      </w:r>
    </w:p>
    <w:p w14:paraId="312E9AB1">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中选服务商</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应当具备订餐系统、IC卡消费系统功能开发、配置能力，IC卡具有移动刷卡、个人充值、</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兼容业主方现有</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门禁等功能，结算报表能区分招标人充值和个人充值。</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若需接入医院的相关系统，费用由中选服务商承担。饭堂信息系统应具备以下功能：</w:t>
      </w:r>
    </w:p>
    <w:p w14:paraId="11C5455E">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6.5.1</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具有饭堂APP网上订餐系统（提供该即将上线APP的相关材料，例如操作界面截图、运行方案等）：</w:t>
      </w:r>
    </w:p>
    <w:p w14:paraId="5F6D8BF5">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6.5.2</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 xml:space="preserve"> 具备专有订餐APP且可直接网上订餐。业主方的员工可通过手机号或员工代码登录APP，患者或家属通过手机号登录。APP网上订餐系统应可以接受患者信息（病区、姓名、住院号、床号）和员工信息（员工姓名、工号或手机号等）进行订餐，并出具菜品单价明细小票。</w:t>
      </w:r>
    </w:p>
    <w:p w14:paraId="7D4AD53F">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6.5.3</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从饭堂APP网上订餐后，消费者可以查询所订餐食的物流进度，订单完成后还可以在APP网上订餐系统进行消费评价（具有图片上传功能）。</w:t>
      </w:r>
    </w:p>
    <w:p w14:paraId="4BD8EAEE">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6.5.4</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饭堂APP网上订餐系统应有预约点餐（例如提前1天下单）、临时取消订单及增加订单的功能，还具有配送餐方式（有堂食、配送、自提或他人代取，如由他人代取，需设置核对确认环节如随机取餐码）等多种配送方式的选择。</w:t>
      </w:r>
    </w:p>
    <w:p w14:paraId="25DC3997">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6.5.5</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饭堂信息化系统应具备医院员工在饭堂消费时，系统应具有：“按医院员工就餐补助规则，在系统中直接扣减补贴金额后，再从员工个人饭卡账号收取差额”的功能（即员工在饭堂消费时，饭堂信息系统从员工的个人账号中收取的金额是减去医院补助后的金额），无需再另行统计并集中发放补助。中选服务商应配合用餐补助规则的变化而调整。</w:t>
      </w:r>
    </w:p>
    <w:p w14:paraId="0B0B31BC">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6.5.6</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饭堂信息系统应具备移动刷卡系统或手机网上消费（绑定饭卡）功能，让无法到食堂现场就餐的员工在病房订餐也能享受到员工消费补助。APP可对全院员工进行科室分组。</w:t>
      </w:r>
    </w:p>
    <w:p w14:paraId="55A7CB7C">
      <w:pPr>
        <w:spacing w:line="360" w:lineRule="auto"/>
        <w:ind w:firstLine="240" w:firstLineChars="1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6.5.7</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饭堂信息系统应具备直接通过员工手机或个人账号进行网上充值和无卡手机扫码消费等功能，应具有通过识别员工出示的手机代码直接扣费（员工在食堂一楼消费可享受对应的优惠折扣）的功能。</w:t>
      </w:r>
    </w:p>
    <w:p w14:paraId="0883AB86">
      <w:pPr>
        <w:spacing w:line="360" w:lineRule="auto"/>
        <w:ind w:firstLine="240" w:firstLineChars="100"/>
        <w:rPr>
          <w:rFonts w:hint="eastAsia" w:ascii="宋体" w:hAnsi="宋体" w:eastAsia="宋体" w:cs="宋体"/>
          <w:i w:val="0"/>
          <w:iCs w:val="0"/>
          <w:caps w:val="0"/>
          <w:color w:val="auto"/>
          <w:spacing w:val="0"/>
          <w:kern w:val="0"/>
          <w:sz w:val="24"/>
          <w:szCs w:val="24"/>
          <w:highlight w:val="yellow"/>
          <w:shd w:val="clear" w:color="auto" w:fill="FFFFFF"/>
          <w:lang w:val="en-US" w:eastAsia="zh-CN" w:bidi="ar"/>
        </w:rPr>
      </w:pPr>
      <w:r>
        <w:rPr>
          <w:rFonts w:hint="eastAsia" w:ascii="宋体" w:hAnsi="宋体" w:cs="宋体"/>
          <w:i w:val="0"/>
          <w:iCs w:val="0"/>
          <w:caps w:val="0"/>
          <w:color w:val="auto"/>
          <w:spacing w:val="0"/>
          <w:kern w:val="0"/>
          <w:sz w:val="24"/>
          <w:szCs w:val="24"/>
          <w:highlight w:val="none"/>
          <w:shd w:val="clear" w:color="auto" w:fill="FFFFFF"/>
          <w:lang w:val="en-US" w:eastAsia="zh-CN" w:bidi="ar"/>
        </w:rPr>
        <w:t>6.5.8采购人目前使用公众号进行就餐扣费，如</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中选服务商</w:t>
      </w:r>
      <w:r>
        <w:rPr>
          <w:rFonts w:hint="eastAsia" w:ascii="宋体" w:hAnsi="宋体" w:cs="宋体"/>
          <w:i w:val="0"/>
          <w:iCs w:val="0"/>
          <w:caps w:val="0"/>
          <w:color w:val="auto"/>
          <w:spacing w:val="0"/>
          <w:kern w:val="0"/>
          <w:sz w:val="24"/>
          <w:szCs w:val="24"/>
          <w:highlight w:val="none"/>
          <w:shd w:val="clear" w:color="auto" w:fill="FFFFFF"/>
          <w:lang w:val="en-US" w:eastAsia="zh-CN" w:bidi="ar"/>
        </w:rPr>
        <w:t>消费方式为识别IC卡，</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所有卡均由中标方提供，由业主方录入信息、发放、补办、取消等。并且在合同期内负责我院的饭卡、工牌（IC、ID一体卡）的制作</w:t>
      </w:r>
      <w:r>
        <w:rPr>
          <w:rFonts w:hint="eastAsia" w:ascii="宋体" w:hAnsi="宋体" w:cs="宋体"/>
          <w:i w:val="0"/>
          <w:iCs w:val="0"/>
          <w:caps w:val="0"/>
          <w:color w:val="auto"/>
          <w:spacing w:val="0"/>
          <w:kern w:val="0"/>
          <w:sz w:val="24"/>
          <w:szCs w:val="24"/>
          <w:highlight w:val="none"/>
          <w:shd w:val="clear" w:color="auto" w:fill="FFFFFF"/>
          <w:lang w:val="en-US" w:eastAsia="zh-CN" w:bidi="ar"/>
        </w:rPr>
        <w:t>。</w:t>
      </w:r>
    </w:p>
    <w:p w14:paraId="392E4F27">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6.6</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中选服务商在正常营业时配备充足的消毒碗柜，以保证各类餐具的清洁消毒效果</w:t>
      </w:r>
    </w:p>
    <w:p w14:paraId="56879D1B">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6.7</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中选服务商在正常营业前应配备饭菜保温设备，以保证饭菜的保温效果。</w:t>
      </w:r>
    </w:p>
    <w:p w14:paraId="5238FF19">
      <w:pPr>
        <w:pStyle w:val="2"/>
        <w:spacing w:line="360" w:lineRule="auto"/>
        <w:rPr>
          <w:rFonts w:ascii="宋体" w:hAnsi="宋体" w:cs="宋体"/>
          <w:color w:val="auto"/>
          <w:kern w:val="2"/>
          <w:sz w:val="22"/>
          <w:szCs w:val="22"/>
          <w:highlight w:val="none"/>
        </w:rPr>
      </w:pPr>
      <w:r>
        <w:rPr>
          <w:rFonts w:hint="eastAsia" w:ascii="宋体" w:hAnsi="宋体" w:cs="宋体"/>
          <w:color w:val="auto"/>
          <w:sz w:val="22"/>
          <w:szCs w:val="22"/>
          <w:highlight w:val="none"/>
        </w:rPr>
        <w:t xml:space="preserve">  </w:t>
      </w:r>
      <w:r>
        <w:rPr>
          <w:rFonts w:hint="eastAsia" w:ascii="宋体" w:hAnsi="宋体" w:cs="宋体"/>
          <w:b/>
          <w:bCs/>
          <w:color w:val="auto"/>
          <w:sz w:val="22"/>
          <w:szCs w:val="22"/>
          <w:highlight w:val="none"/>
        </w:rPr>
        <w:t xml:space="preserve"> </w:t>
      </w:r>
      <w:r>
        <w:rPr>
          <w:rFonts w:hint="eastAsia" w:ascii="宋体" w:hAnsi="宋体" w:cs="宋体"/>
          <w:b/>
          <w:bCs/>
          <w:color w:val="auto"/>
          <w:kern w:val="2"/>
          <w:sz w:val="22"/>
          <w:szCs w:val="22"/>
          <w:highlight w:val="none"/>
        </w:rPr>
        <w:t>7、监控设备的安装</w:t>
      </w:r>
      <w:r>
        <w:rPr>
          <w:rFonts w:hint="eastAsia" w:ascii="宋体" w:hAnsi="宋体" w:cs="宋体"/>
          <w:color w:val="auto"/>
          <w:kern w:val="2"/>
          <w:sz w:val="22"/>
          <w:szCs w:val="22"/>
          <w:highlight w:val="none"/>
        </w:rPr>
        <w:t>：</w:t>
      </w:r>
    </w:p>
    <w:p w14:paraId="72965AF7">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7.1</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中选服务商应该在正常营业前在饭堂关键操作间及重点区域完成监控设备的安装，达到全方位监控，以确保对规范操作及食品质量安全进行24小时监督管理，存储时间达到</w:t>
      </w:r>
      <w:r>
        <w:rPr>
          <w:rFonts w:hint="eastAsia" w:ascii="宋体" w:hAnsi="宋体" w:cs="宋体"/>
          <w:i w:val="0"/>
          <w:iCs w:val="0"/>
          <w:caps w:val="0"/>
          <w:color w:val="auto"/>
          <w:spacing w:val="0"/>
          <w:kern w:val="0"/>
          <w:sz w:val="24"/>
          <w:szCs w:val="24"/>
          <w:shd w:val="clear" w:color="auto" w:fill="FFFFFF"/>
          <w:lang w:val="en-US" w:eastAsia="zh-CN" w:bidi="ar"/>
        </w:rPr>
        <w:t>30</w:t>
      </w:r>
      <w:r>
        <w:rPr>
          <w:rFonts w:hint="eastAsia" w:ascii="宋体" w:hAnsi="宋体" w:eastAsia="宋体" w:cs="宋体"/>
          <w:i w:val="0"/>
          <w:iCs w:val="0"/>
          <w:caps w:val="0"/>
          <w:color w:val="auto"/>
          <w:spacing w:val="0"/>
          <w:kern w:val="0"/>
          <w:sz w:val="24"/>
          <w:szCs w:val="24"/>
          <w:shd w:val="clear" w:color="auto" w:fill="FFFFFF"/>
          <w:lang w:val="en-US" w:eastAsia="zh-CN" w:bidi="ar"/>
        </w:rPr>
        <w:t>天以上。具体包括且不仅限于以下区域：各操作间（烹饪间、分餐区、洗消间等）；就餐区；收银处；各出入口。</w:t>
      </w:r>
    </w:p>
    <w:p w14:paraId="7E366714">
      <w:pPr>
        <w:spacing w:line="360" w:lineRule="auto"/>
        <w:ind w:firstLine="240" w:firstLineChars="1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7.2</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按照业主方主管部门的要求，在共同进行现场勘查确定后，按照在合理的位置，如业主方主管部门要求需安装的位置或在合同期内根据实际情况需加装监控设备的，中选服务商应按照要求安装，设备及安装等所有费用由中选服务商承担。</w:t>
      </w:r>
    </w:p>
    <w:p w14:paraId="27058049">
      <w:pPr>
        <w:spacing w:line="360" w:lineRule="auto"/>
        <w:ind w:firstLine="482"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★8、履约保证金：</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中标后在签订正式合同之日起一个月内，向业主方缴纳10万元履约保证金，作为其全面履行合同义务（包括食品安全、服务质量、设备维护、人员管理等）的担保。若中选服务商发生违约行为，业主方有权扣减履约保证金。待中选服务商合同期后，无发生突发事件或严重的不良事件的，等双方交接完毕并评价优秀后，业主方将会无息退还履约保证金。</w:t>
      </w:r>
    </w:p>
    <w:p w14:paraId="27BF5FE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★9、中选服务商应该在正常营业时投入使用“智慧餐厅”系统，并实现以下功能：</w:t>
      </w:r>
    </w:p>
    <w:p w14:paraId="6FA1EFF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（1）自助称重，开放式一菜一价自由餐，自由、透明、公道、灵活。</w:t>
      </w:r>
    </w:p>
    <w:p w14:paraId="7AF86079">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（2）智慧餐盘结算，高效、便捷的结算方式，减少就餐高峰期的排队情况。</w:t>
      </w:r>
    </w:p>
    <w:p w14:paraId="3996126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（3）提供便捷操作如下：</w:t>
      </w:r>
    </w:p>
    <w:p w14:paraId="67683B5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①关注公众号，自行注册充值</w:t>
      </w:r>
    </w:p>
    <w:p w14:paraId="1AE707B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②取托盘，到绑卡机处刷脸绑定托盘</w:t>
      </w:r>
    </w:p>
    <w:p w14:paraId="1993E46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③绑定成功，拿取托盘到各菜盘处自行取菜 </w:t>
      </w:r>
    </w:p>
    <w:p w14:paraId="3C7A789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④完成取菜后托盘放在下面感应盘上面，自动生成订单</w:t>
      </w:r>
    </w:p>
    <w:p w14:paraId="5082826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⑤自动余额结算</w:t>
      </w:r>
    </w:p>
    <w:p w14:paraId="03C7400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10、中选服务商所投入的装修、固定资产类设备设施（不包含餐具用具等低值易耗品）按6年计算折旧，后三年的折旧费用由下一服务期的中选服务商承担。中选服务商需向业主方提供固定资产类设备设施的目录清单、采购发票及其他相关凭证，业主方可委托第三方审计机构进行审计，最终确定拟进行折旧的资产清单和资产总额。合同期内，中选服务商负责折旧设备设施的保管、维修维护、更换，合同到期后，须将折旧目录清单内的所有设备设施移交给下一期服务商，如有缺失的，由中选服务商负责补充，或者将缺失的设备设施移出折旧资产清单。</w:t>
      </w:r>
    </w:p>
    <w:p w14:paraId="397ECAAD">
      <w:pPr>
        <w:spacing w:line="360" w:lineRule="auto"/>
        <w:ind w:firstLine="480" w:firstLineChars="2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11、按加速折旧法中的“年数总和法”进行折旧，每年折旧率约为：第一年28.57%、第二年23.80%、第三年19.05%、第四年14.30%、第五年9.52%、第六年4.76%，从合同起始日开始计算折旧，折旧完后，所有设备设施产权归业主方所有。</w:t>
      </w:r>
    </w:p>
    <w:p w14:paraId="55434ED2">
      <w:pPr>
        <w:pStyle w:val="4"/>
        <w:keepNext w:val="0"/>
        <w:keepLines w:val="0"/>
        <w:pageBreakBefore w:val="0"/>
        <w:widowControl/>
        <w:numPr>
          <w:ilvl w:val="0"/>
          <w:numId w:val="0"/>
        </w:numPr>
        <w:kinsoku/>
        <w:wordWrap/>
        <w:overflowPunct/>
        <w:topLinePunct w:val="0"/>
        <w:bidi w:val="0"/>
        <w:spacing w:beforeAutospacing="0" w:afterAutospacing="0" w:line="360" w:lineRule="auto"/>
        <w:ind w:firstLine="562" w:firstLineChars="200"/>
        <w:jc w:val="both"/>
        <w:textAlignment w:val="baseline"/>
        <w:rPr>
          <w:rFonts w:hint="eastAsia" w:ascii="宋体" w:hAnsi="宋体" w:eastAsia="宋体" w:cs="宋体"/>
          <w:b/>
          <w:color w:val="auto"/>
          <w:sz w:val="28"/>
          <w:szCs w:val="28"/>
        </w:rPr>
      </w:pPr>
      <w:r>
        <w:rPr>
          <w:rFonts w:hint="eastAsia" w:ascii="宋体" w:hAnsi="宋体" w:eastAsia="宋体" w:cs="宋体"/>
          <w:b/>
          <w:color w:val="auto"/>
          <w:kern w:val="0"/>
          <w:sz w:val="28"/>
          <w:szCs w:val="28"/>
          <w:lang w:val="en-US" w:eastAsia="zh-CN" w:bidi="ar-SA"/>
        </w:rPr>
        <w:t>四、服务要求：</w:t>
      </w:r>
    </w:p>
    <w:p w14:paraId="26D486B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1、中选服务商供应“由消费者自选菜品”的供餐模式。每餐供应食品的种类应包括（但不限于）：粤菜、湘菜、川菜、粥、粉、面类和各类风味小吃等，并提供各种调味料如：糖、酱油、辣椒圈/酱等；午、晚餐</w:t>
      </w:r>
      <w:r>
        <w:rPr>
          <w:rFonts w:hint="eastAsia" w:ascii="宋体" w:hAnsi="宋体" w:eastAsia="宋体" w:cs="宋体"/>
          <w:i w:val="0"/>
          <w:iCs w:val="0"/>
          <w:caps w:val="0"/>
          <w:color w:val="auto"/>
          <w:spacing w:val="0"/>
          <w:kern w:val="0"/>
          <w:sz w:val="24"/>
          <w:szCs w:val="24"/>
          <w:shd w:val="clear" w:color="auto" w:fill="FFFFFF"/>
          <w:lang w:val="zh-CN" w:eastAsia="zh-CN" w:bidi="ar"/>
        </w:rPr>
        <w:t>米饭和例汤</w:t>
      </w:r>
      <w:r>
        <w:rPr>
          <w:rFonts w:hint="eastAsia" w:ascii="宋体" w:hAnsi="宋体" w:eastAsia="宋体" w:cs="宋体"/>
          <w:i w:val="0"/>
          <w:iCs w:val="0"/>
          <w:caps w:val="0"/>
          <w:color w:val="auto"/>
          <w:spacing w:val="0"/>
          <w:kern w:val="0"/>
          <w:sz w:val="24"/>
          <w:szCs w:val="24"/>
          <w:shd w:val="clear" w:color="auto" w:fill="FFFFFF"/>
          <w:lang w:val="en-US" w:eastAsia="zh-CN" w:bidi="ar"/>
        </w:rPr>
        <w:t>可无限</w:t>
      </w:r>
      <w:r>
        <w:rPr>
          <w:rFonts w:hint="eastAsia" w:ascii="宋体" w:hAnsi="宋体" w:eastAsia="宋体" w:cs="宋体"/>
          <w:i w:val="0"/>
          <w:iCs w:val="0"/>
          <w:caps w:val="0"/>
          <w:color w:val="auto"/>
          <w:spacing w:val="0"/>
          <w:kern w:val="0"/>
          <w:sz w:val="24"/>
          <w:szCs w:val="24"/>
          <w:shd w:val="clear" w:color="auto" w:fill="FFFFFF"/>
          <w:lang w:val="zh-CN" w:eastAsia="zh-CN" w:bidi="ar"/>
        </w:rPr>
        <w:t>添加，</w:t>
      </w:r>
      <w:r>
        <w:rPr>
          <w:rFonts w:hint="eastAsia" w:ascii="宋体" w:hAnsi="宋体" w:eastAsia="宋体" w:cs="宋体"/>
          <w:i w:val="0"/>
          <w:iCs w:val="0"/>
          <w:caps w:val="0"/>
          <w:color w:val="auto"/>
          <w:spacing w:val="0"/>
          <w:kern w:val="0"/>
          <w:sz w:val="24"/>
          <w:szCs w:val="24"/>
          <w:shd w:val="clear" w:color="auto" w:fill="FFFFFF"/>
          <w:lang w:val="en-US" w:eastAsia="zh-CN" w:bidi="ar"/>
        </w:rPr>
        <w:t>职工饭堂不少于</w:t>
      </w:r>
      <w:r>
        <w:rPr>
          <w:rFonts w:hint="eastAsia" w:ascii="宋体" w:hAnsi="宋体" w:cs="宋体"/>
          <w:i w:val="0"/>
          <w:iCs w:val="0"/>
          <w:caps w:val="0"/>
          <w:color w:val="auto"/>
          <w:spacing w:val="0"/>
          <w:kern w:val="0"/>
          <w:sz w:val="24"/>
          <w:szCs w:val="24"/>
          <w:shd w:val="clear" w:color="auto" w:fill="FFFFFF"/>
          <w:lang w:val="en-US" w:eastAsia="zh-CN" w:bidi="ar"/>
        </w:rPr>
        <w:t>8</w:t>
      </w:r>
      <w:r>
        <w:rPr>
          <w:rFonts w:hint="eastAsia" w:ascii="宋体" w:hAnsi="宋体" w:eastAsia="宋体" w:cs="宋体"/>
          <w:i w:val="0"/>
          <w:iCs w:val="0"/>
          <w:caps w:val="0"/>
          <w:color w:val="auto"/>
          <w:spacing w:val="0"/>
          <w:kern w:val="0"/>
          <w:sz w:val="24"/>
          <w:szCs w:val="24"/>
          <w:shd w:val="clear" w:color="auto" w:fill="FFFFFF"/>
          <w:lang w:val="en-US" w:eastAsia="zh-CN" w:bidi="ar"/>
        </w:rPr>
        <w:t>个菜品</w:t>
      </w:r>
      <w:r>
        <w:rPr>
          <w:rFonts w:hint="eastAsia" w:ascii="宋体" w:hAnsi="宋体" w:eastAsia="宋体" w:cs="宋体"/>
          <w:i w:val="0"/>
          <w:iCs w:val="0"/>
          <w:caps w:val="0"/>
          <w:color w:val="auto"/>
          <w:spacing w:val="0"/>
          <w:kern w:val="0"/>
          <w:sz w:val="24"/>
          <w:szCs w:val="24"/>
          <w:shd w:val="clear" w:color="auto" w:fill="FFFFFF"/>
          <w:lang w:val="zh-CN" w:eastAsia="zh-CN" w:bidi="ar"/>
        </w:rPr>
        <w:t>。</w:t>
      </w:r>
    </w:p>
    <w:p w14:paraId="25C9F4F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2、按照我院的要求，需要提供不少于以下的餐品类型（必要时营养科协助制定相关的餐食标准）：</w:t>
      </w:r>
    </w:p>
    <w:p w14:paraId="17B2BA8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2.1</w:t>
      </w:r>
      <w:r>
        <w:rPr>
          <w:rFonts w:hint="eastAsia" w:ascii="宋体" w:hAnsi="宋体" w:eastAsia="宋体" w:cs="宋体"/>
          <w:i w:val="0"/>
          <w:iCs w:val="0"/>
          <w:caps w:val="0"/>
          <w:color w:val="auto"/>
          <w:spacing w:val="0"/>
          <w:kern w:val="0"/>
          <w:sz w:val="24"/>
          <w:szCs w:val="24"/>
          <w:shd w:val="clear" w:color="auto" w:fill="FFFFFF"/>
          <w:lang w:val="en-US" w:eastAsia="zh-CN" w:bidi="ar"/>
        </w:rPr>
        <w:t>住院患者基本膳食；</w:t>
      </w:r>
    </w:p>
    <w:p w14:paraId="2F04982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2.2</w:t>
      </w:r>
      <w:r>
        <w:rPr>
          <w:rFonts w:hint="eastAsia" w:ascii="宋体" w:hAnsi="宋体" w:eastAsia="宋体" w:cs="宋体"/>
          <w:i w:val="0"/>
          <w:iCs w:val="0"/>
          <w:caps w:val="0"/>
          <w:color w:val="auto"/>
          <w:spacing w:val="0"/>
          <w:kern w:val="0"/>
          <w:sz w:val="24"/>
          <w:szCs w:val="24"/>
          <w:shd w:val="clear" w:color="auto" w:fill="FFFFFF"/>
          <w:lang w:val="en-US" w:eastAsia="zh-CN" w:bidi="ar"/>
        </w:rPr>
        <w:t>住院患者特殊治疗膳食（低糖餐、减脂餐、流质等）；</w:t>
      </w:r>
    </w:p>
    <w:p w14:paraId="6DAD52AC">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2.3</w:t>
      </w:r>
      <w:r>
        <w:rPr>
          <w:rFonts w:hint="eastAsia" w:ascii="宋体" w:hAnsi="宋体" w:eastAsia="宋体" w:cs="宋体"/>
          <w:i w:val="0"/>
          <w:iCs w:val="0"/>
          <w:caps w:val="0"/>
          <w:color w:val="auto"/>
          <w:spacing w:val="0"/>
          <w:kern w:val="0"/>
          <w:sz w:val="24"/>
          <w:szCs w:val="24"/>
          <w:shd w:val="clear" w:color="auto" w:fill="FFFFFF"/>
          <w:lang w:val="en-US" w:eastAsia="zh-CN" w:bidi="ar"/>
        </w:rPr>
        <w:t>住院产妇月子餐；</w:t>
      </w:r>
    </w:p>
    <w:p w14:paraId="06EC77E1">
      <w:pPr>
        <w:spacing w:line="360" w:lineRule="auto"/>
        <w:ind w:firstLine="480" w:firstLineChars="2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2.4</w:t>
      </w:r>
      <w:r>
        <w:rPr>
          <w:rFonts w:hint="eastAsia" w:ascii="宋体" w:hAnsi="宋体" w:eastAsia="宋体" w:cs="宋体"/>
          <w:i w:val="0"/>
          <w:iCs w:val="0"/>
          <w:caps w:val="0"/>
          <w:color w:val="auto"/>
          <w:spacing w:val="0"/>
          <w:kern w:val="0"/>
          <w:sz w:val="24"/>
          <w:szCs w:val="24"/>
          <w:shd w:val="clear" w:color="auto" w:fill="FFFFFF"/>
          <w:lang w:val="en-US" w:eastAsia="zh-CN" w:bidi="ar"/>
        </w:rPr>
        <w:t>体检餐（业主方指定体检餐标，中选服务商按需进行供应）；</w:t>
      </w:r>
    </w:p>
    <w:p w14:paraId="29EB17D9">
      <w:pPr>
        <w:spacing w:line="360" w:lineRule="auto"/>
        <w:ind w:firstLine="480" w:firstLineChars="2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2.5</w:t>
      </w:r>
      <w:r>
        <w:rPr>
          <w:rFonts w:hint="eastAsia" w:ascii="宋体" w:hAnsi="宋体" w:eastAsia="宋体" w:cs="宋体"/>
          <w:i w:val="0"/>
          <w:iCs w:val="0"/>
          <w:caps w:val="0"/>
          <w:color w:val="auto"/>
          <w:spacing w:val="0"/>
          <w:kern w:val="0"/>
          <w:sz w:val="24"/>
          <w:szCs w:val="24"/>
          <w:shd w:val="clear" w:color="auto" w:fill="FFFFFF"/>
          <w:lang w:val="en-US" w:eastAsia="zh-CN" w:bidi="ar"/>
        </w:rPr>
        <w:t>职工的基本膳食（早餐、午餐、晚餐）；</w:t>
      </w:r>
    </w:p>
    <w:p w14:paraId="6AB5F32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2.6</w:t>
      </w:r>
      <w:r>
        <w:rPr>
          <w:rFonts w:hint="eastAsia" w:ascii="宋体" w:hAnsi="宋体" w:eastAsia="宋体" w:cs="宋体"/>
          <w:i w:val="0"/>
          <w:iCs w:val="0"/>
          <w:caps w:val="0"/>
          <w:color w:val="auto"/>
          <w:spacing w:val="0"/>
          <w:kern w:val="0"/>
          <w:sz w:val="24"/>
          <w:szCs w:val="24"/>
          <w:shd w:val="clear" w:color="auto" w:fill="FFFFFF"/>
          <w:lang w:val="en-US" w:eastAsia="zh-CN" w:bidi="ar"/>
        </w:rPr>
        <w:t>患者的基本膳食（早餐、午餐、晚餐），不限于快餐、煲仔饭、汤粉面等；</w:t>
      </w:r>
    </w:p>
    <w:p w14:paraId="3AA12C9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2.7</w:t>
      </w:r>
      <w:r>
        <w:rPr>
          <w:rFonts w:hint="eastAsia" w:ascii="宋体" w:hAnsi="宋体" w:eastAsia="宋体" w:cs="宋体"/>
          <w:i w:val="0"/>
          <w:iCs w:val="0"/>
          <w:caps w:val="0"/>
          <w:color w:val="auto"/>
          <w:spacing w:val="0"/>
          <w:kern w:val="0"/>
          <w:sz w:val="24"/>
          <w:szCs w:val="24"/>
          <w:shd w:val="clear" w:color="auto" w:fill="FFFFFF"/>
          <w:lang w:val="en-US" w:eastAsia="zh-CN" w:bidi="ar"/>
        </w:rPr>
        <w:t>特殊地方风味膳食；</w:t>
      </w:r>
    </w:p>
    <w:p w14:paraId="46375B5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zh-CN" w:eastAsia="zh-CN" w:bidi="ar"/>
        </w:rPr>
      </w:pPr>
      <w:r>
        <w:rPr>
          <w:rFonts w:hint="eastAsia" w:ascii="宋体" w:hAnsi="宋体" w:eastAsia="宋体" w:cs="宋体"/>
          <w:i w:val="0"/>
          <w:iCs w:val="0"/>
          <w:caps w:val="0"/>
          <w:color w:val="auto"/>
          <w:spacing w:val="0"/>
          <w:kern w:val="0"/>
          <w:sz w:val="24"/>
          <w:szCs w:val="24"/>
          <w:shd w:val="clear" w:color="auto" w:fill="FFFFFF"/>
          <w:lang w:val="zh-CN" w:eastAsia="zh-CN" w:bidi="ar"/>
        </w:rPr>
        <w:t>打包送餐额外加收</w:t>
      </w:r>
      <w:r>
        <w:rPr>
          <w:rFonts w:hint="eastAsia" w:ascii="宋体" w:hAnsi="宋体" w:eastAsia="宋体" w:cs="宋体"/>
          <w:i w:val="0"/>
          <w:iCs w:val="0"/>
          <w:caps w:val="0"/>
          <w:color w:val="auto"/>
          <w:spacing w:val="0"/>
          <w:kern w:val="0"/>
          <w:sz w:val="24"/>
          <w:szCs w:val="24"/>
          <w:shd w:val="clear" w:color="auto" w:fill="FFFFFF"/>
          <w:lang w:val="en-US" w:eastAsia="zh-CN" w:bidi="ar"/>
        </w:rPr>
        <w:t>打包费不得高于</w:t>
      </w:r>
      <w:r>
        <w:rPr>
          <w:rFonts w:hint="eastAsia" w:ascii="宋体" w:hAnsi="宋体" w:eastAsia="宋体" w:cs="宋体"/>
          <w:i w:val="0"/>
          <w:iCs w:val="0"/>
          <w:caps w:val="0"/>
          <w:color w:val="auto"/>
          <w:spacing w:val="0"/>
          <w:kern w:val="0"/>
          <w:sz w:val="24"/>
          <w:szCs w:val="24"/>
          <w:shd w:val="clear" w:color="auto" w:fill="FFFFFF"/>
          <w:lang w:val="zh-CN" w:eastAsia="zh-CN" w:bidi="ar"/>
        </w:rPr>
        <w:t>1元，</w:t>
      </w:r>
      <w:r>
        <w:rPr>
          <w:rFonts w:hint="eastAsia" w:ascii="宋体" w:hAnsi="宋体" w:eastAsia="宋体" w:cs="宋体"/>
          <w:i w:val="0"/>
          <w:iCs w:val="0"/>
          <w:caps w:val="0"/>
          <w:color w:val="auto"/>
          <w:spacing w:val="0"/>
          <w:kern w:val="0"/>
          <w:sz w:val="24"/>
          <w:szCs w:val="24"/>
          <w:shd w:val="clear" w:color="auto" w:fill="FFFFFF"/>
          <w:lang w:val="en-US" w:eastAsia="zh-CN" w:bidi="ar"/>
        </w:rPr>
        <w:t>早中晚餐外卖配送不设置起送门槛。</w:t>
      </w:r>
    </w:p>
    <w:p w14:paraId="2340DA3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★3、响应服务商需在供应方案中列明所供应的早餐的每个品种菜式、午晚餐的荤菜、半荤菜以及素菜的菜式、价格以及供应方案，至少包含以下内容：</w:t>
      </w:r>
    </w:p>
    <w:p w14:paraId="3CFE9D5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①计划供应的早餐所有品种菜式名录</w:t>
      </w:r>
    </w:p>
    <w:p w14:paraId="30EEFCB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zh-CN"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②计</w:t>
      </w:r>
      <w:r>
        <w:rPr>
          <w:rFonts w:hint="eastAsia" w:ascii="宋体" w:hAnsi="宋体" w:eastAsia="宋体" w:cs="宋体"/>
          <w:i w:val="0"/>
          <w:iCs w:val="0"/>
          <w:caps w:val="0"/>
          <w:color w:val="auto"/>
          <w:spacing w:val="0"/>
          <w:kern w:val="0"/>
          <w:sz w:val="24"/>
          <w:szCs w:val="24"/>
          <w:shd w:val="clear" w:color="auto" w:fill="FFFFFF"/>
          <w:lang w:val="zh-CN" w:eastAsia="zh-CN" w:bidi="ar"/>
        </w:rPr>
        <w:t>划供应的所有荤菜菜式名录</w:t>
      </w:r>
    </w:p>
    <w:p w14:paraId="2EB4045C">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zh-CN"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③</w:t>
      </w:r>
      <w:r>
        <w:rPr>
          <w:rFonts w:hint="eastAsia" w:ascii="宋体" w:hAnsi="宋体" w:eastAsia="宋体" w:cs="宋体"/>
          <w:i w:val="0"/>
          <w:iCs w:val="0"/>
          <w:caps w:val="0"/>
          <w:color w:val="auto"/>
          <w:spacing w:val="0"/>
          <w:kern w:val="0"/>
          <w:sz w:val="24"/>
          <w:szCs w:val="24"/>
          <w:shd w:val="clear" w:color="auto" w:fill="FFFFFF"/>
          <w:lang w:val="zh-CN" w:eastAsia="zh-CN" w:bidi="ar"/>
        </w:rPr>
        <w:t>计划供应的所有半荤菜菜式名录</w:t>
      </w:r>
    </w:p>
    <w:p w14:paraId="65DE5C52">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zh-CN"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④</w:t>
      </w:r>
      <w:r>
        <w:rPr>
          <w:rFonts w:hint="eastAsia" w:ascii="宋体" w:hAnsi="宋体" w:eastAsia="宋体" w:cs="宋体"/>
          <w:i w:val="0"/>
          <w:iCs w:val="0"/>
          <w:caps w:val="0"/>
          <w:color w:val="auto"/>
          <w:spacing w:val="0"/>
          <w:kern w:val="0"/>
          <w:sz w:val="24"/>
          <w:szCs w:val="24"/>
          <w:shd w:val="clear" w:color="auto" w:fill="FFFFFF"/>
          <w:lang w:val="zh-CN" w:eastAsia="zh-CN" w:bidi="ar"/>
        </w:rPr>
        <w:t>计划供应的所有素菜菜式名录</w:t>
      </w:r>
    </w:p>
    <w:p w14:paraId="6FC60F6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zh-CN"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⑤</w:t>
      </w:r>
      <w:r>
        <w:rPr>
          <w:rFonts w:hint="eastAsia" w:ascii="宋体" w:hAnsi="宋体" w:eastAsia="宋体" w:cs="宋体"/>
          <w:i w:val="0"/>
          <w:iCs w:val="0"/>
          <w:caps w:val="0"/>
          <w:color w:val="auto"/>
          <w:spacing w:val="0"/>
          <w:kern w:val="0"/>
          <w:sz w:val="24"/>
          <w:szCs w:val="24"/>
          <w:shd w:val="clear" w:color="auto" w:fill="FFFFFF"/>
          <w:lang w:val="zh-CN" w:eastAsia="zh-CN" w:bidi="ar"/>
        </w:rPr>
        <w:t>计划供应的例汤名录</w:t>
      </w:r>
    </w:p>
    <w:p w14:paraId="4B30CCCE">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⑥计划供应的煲仔饭名录</w:t>
      </w:r>
    </w:p>
    <w:p w14:paraId="7132B6A9">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⑦计划供应的炖汤名录</w:t>
      </w:r>
    </w:p>
    <w:p w14:paraId="20A7D43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⑧计划供应的地方特色风味餐名录（如北方特色面食、水煮鱼/牛肉等）</w:t>
      </w:r>
    </w:p>
    <w:p w14:paraId="39BBA3B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zh-CN" w:eastAsia="zh-CN" w:bidi="ar"/>
        </w:rPr>
        <w:t>⑨每天供应的菜式计划表（按照每周为一个周期进行计划）</w:t>
      </w: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w:t>
      </w:r>
    </w:p>
    <w:p w14:paraId="14D4C71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为产妇、患者及家属提供的餐饮食品价格不得高于市场同等水平，中选服务商在投标时提供供应患者及家属的菜品定价报价（包含但不限于：点心类、煲仔饭类、粥粉面类、快餐、月子餐套餐、低糖餐等）。具体价格可根据市场的价格浮动，由中选服务商提出书面申请，经双方核定确认后方可浮动，中选服务商不得私自调整价格。中选服务商应配合和接受业主方主管部门有权检查和监督中选服务商的进货价格、成本、会计账单等台账资料的监督和管理。</w:t>
      </w:r>
    </w:p>
    <w:p w14:paraId="41FF79F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5、职工餐（含职工、规培、实习人员、进修人员、研究生等）的菜品单价根据现供应的菜品单价进行下浮，下浮区间为10%～30%（即折扣率70%～90%）（详见附表），未在附表内的菜品，以现有同品类菜品下浮后的价格定价销售。</w:t>
      </w:r>
    </w:p>
    <w:p w14:paraId="3F4EDC7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zh-CN"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6、中选服务商需配合和接受业主方对进货价格、成本、会计账单等台账资料的监督和管理，业主方有权指定第三方审计机构对食堂的经营状况进行审计。医院享有食堂运营系统的数据报表监管权限，中选服务商需开放系统权限给业主方，业主方可随时查阅以下数据：营业收入、经营成本、实时食材溯源情况、库存数量、产品销量、收据等，以上数据不得弄虚作假。</w:t>
      </w:r>
      <w:r>
        <w:rPr>
          <w:rFonts w:hint="eastAsia" w:ascii="宋体" w:hAnsi="宋体" w:eastAsia="宋体" w:cs="宋体"/>
          <w:i w:val="0"/>
          <w:iCs w:val="0"/>
          <w:caps w:val="0"/>
          <w:color w:val="auto"/>
          <w:spacing w:val="0"/>
          <w:kern w:val="0"/>
          <w:sz w:val="24"/>
          <w:szCs w:val="24"/>
          <w:shd w:val="clear" w:color="auto" w:fill="FFFFFF"/>
          <w:lang w:val="zh-CN" w:eastAsia="zh-CN" w:bidi="ar"/>
        </w:rPr>
        <w:t>如发现有偷水、偷电、</w:t>
      </w:r>
      <w:r>
        <w:rPr>
          <w:rFonts w:hint="eastAsia" w:ascii="宋体" w:hAnsi="宋体" w:eastAsia="宋体" w:cs="宋体"/>
          <w:i w:val="0"/>
          <w:iCs w:val="0"/>
          <w:caps w:val="0"/>
          <w:color w:val="auto"/>
          <w:spacing w:val="0"/>
          <w:kern w:val="0"/>
          <w:sz w:val="24"/>
          <w:szCs w:val="24"/>
          <w:shd w:val="clear" w:color="auto" w:fill="FFFFFF"/>
          <w:lang w:val="en-US" w:eastAsia="zh-CN" w:bidi="ar"/>
        </w:rPr>
        <w:t>偷汽等</w:t>
      </w:r>
      <w:r>
        <w:rPr>
          <w:rFonts w:hint="eastAsia" w:ascii="宋体" w:hAnsi="宋体" w:eastAsia="宋体" w:cs="宋体"/>
          <w:i w:val="0"/>
          <w:iCs w:val="0"/>
          <w:caps w:val="0"/>
          <w:color w:val="auto"/>
          <w:spacing w:val="0"/>
          <w:kern w:val="0"/>
          <w:sz w:val="24"/>
          <w:szCs w:val="24"/>
          <w:shd w:val="clear" w:color="auto" w:fill="FFFFFF"/>
          <w:lang w:val="zh-CN" w:eastAsia="zh-CN" w:bidi="ar"/>
        </w:rPr>
        <w:t>行为业主方有权按当月</w:t>
      </w:r>
      <w:r>
        <w:rPr>
          <w:rFonts w:hint="eastAsia" w:ascii="宋体" w:hAnsi="宋体" w:eastAsia="宋体" w:cs="宋体"/>
          <w:i w:val="0"/>
          <w:iCs w:val="0"/>
          <w:caps w:val="0"/>
          <w:color w:val="auto"/>
          <w:spacing w:val="0"/>
          <w:kern w:val="0"/>
          <w:sz w:val="24"/>
          <w:szCs w:val="24"/>
          <w:shd w:val="clear" w:color="auto" w:fill="FFFFFF"/>
          <w:lang w:val="en-US" w:eastAsia="zh-CN" w:bidi="ar"/>
        </w:rPr>
        <w:t>应付</w:t>
      </w:r>
      <w:r>
        <w:rPr>
          <w:rFonts w:hint="eastAsia" w:ascii="宋体" w:hAnsi="宋体" w:eastAsia="宋体" w:cs="宋体"/>
          <w:i w:val="0"/>
          <w:iCs w:val="0"/>
          <w:caps w:val="0"/>
          <w:color w:val="auto"/>
          <w:spacing w:val="0"/>
          <w:kern w:val="0"/>
          <w:sz w:val="24"/>
          <w:szCs w:val="24"/>
          <w:shd w:val="clear" w:color="auto" w:fill="FFFFFF"/>
          <w:lang w:val="zh-CN" w:eastAsia="zh-CN" w:bidi="ar"/>
        </w:rPr>
        <w:t>费的10倍扣罚。</w:t>
      </w:r>
    </w:p>
    <w:p w14:paraId="2BC0FBFF">
      <w:pPr>
        <w:spacing w:line="360" w:lineRule="auto"/>
        <w:ind w:firstLine="480" w:firstLineChars="2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7、中选服务商每月 10 号前需向业主方提交食堂上一月份的经营报表。</w:t>
      </w:r>
    </w:p>
    <w:p w14:paraId="68B7EE9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8、消费结算方式：医院的员工（含实习生、进修生、医院内其他工作人员）就餐时以个人饭卡或信息代码进行结算的方式结算，</w:t>
      </w:r>
      <w:r>
        <w:rPr>
          <w:rFonts w:hint="eastAsia" w:ascii="宋体" w:hAnsi="宋体" w:cs="宋体"/>
          <w:i w:val="0"/>
          <w:iCs w:val="0"/>
          <w:caps w:val="0"/>
          <w:color w:val="auto"/>
          <w:spacing w:val="0"/>
          <w:kern w:val="0"/>
          <w:sz w:val="24"/>
          <w:szCs w:val="24"/>
          <w:shd w:val="clear" w:color="auto" w:fill="FFFFFF"/>
          <w:lang w:val="en-US" w:eastAsia="zh-CN" w:bidi="ar"/>
        </w:rPr>
        <w:t>医院在职员工</w:t>
      </w:r>
      <w:r>
        <w:rPr>
          <w:rFonts w:hint="eastAsia" w:ascii="宋体" w:hAnsi="宋体" w:eastAsia="宋体" w:cs="宋体"/>
          <w:i w:val="0"/>
          <w:iCs w:val="0"/>
          <w:caps w:val="0"/>
          <w:color w:val="auto"/>
          <w:spacing w:val="0"/>
          <w:kern w:val="0"/>
          <w:sz w:val="24"/>
          <w:szCs w:val="24"/>
          <w:shd w:val="clear" w:color="auto" w:fill="FFFFFF"/>
          <w:lang w:val="en-US" w:eastAsia="zh-CN" w:bidi="ar"/>
        </w:rPr>
        <w:t>不得收取现金。医院的</w:t>
      </w:r>
      <w:r>
        <w:rPr>
          <w:rFonts w:hint="eastAsia" w:ascii="宋体" w:hAnsi="宋体" w:cs="宋体"/>
          <w:i w:val="0"/>
          <w:iCs w:val="0"/>
          <w:caps w:val="0"/>
          <w:color w:val="auto"/>
          <w:spacing w:val="0"/>
          <w:kern w:val="0"/>
          <w:sz w:val="24"/>
          <w:szCs w:val="24"/>
          <w:shd w:val="clear" w:color="auto" w:fill="FFFFFF"/>
          <w:lang w:val="en-US" w:eastAsia="zh-CN" w:bidi="ar"/>
        </w:rPr>
        <w:t>其他</w:t>
      </w:r>
      <w:r>
        <w:rPr>
          <w:rFonts w:hint="eastAsia" w:ascii="宋体" w:hAnsi="宋体" w:eastAsia="宋体" w:cs="宋体"/>
          <w:i w:val="0"/>
          <w:iCs w:val="0"/>
          <w:caps w:val="0"/>
          <w:color w:val="auto"/>
          <w:spacing w:val="0"/>
          <w:kern w:val="0"/>
          <w:sz w:val="24"/>
          <w:szCs w:val="24"/>
          <w:shd w:val="clear" w:color="auto" w:fill="FFFFFF"/>
          <w:lang w:val="en-US" w:eastAsia="zh-CN" w:bidi="ar"/>
        </w:rPr>
        <w:t>员工（含实习生、进修生、医院内其他工作人员）在就餐按菜品下浮定价价格结算，包餐费用以签单形式支付，患者、家属及外来人员就餐以现金、微信等方式结算。业主方需要支付的费用，当月的费用在下一个月下旬凭发票支付。</w:t>
      </w:r>
    </w:p>
    <w:p w14:paraId="16AD35A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9、送餐服务：应为患者及家属、医院值班员工、特殊需求的员工和患者及家属、特殊科室（手术室、ICU、新生儿、产房、介入室、胃肠镜室等）提供电话/微信订餐、上门订餐、APP订餐等多种方式，</w:t>
      </w:r>
      <w:r>
        <w:rPr>
          <w:rFonts w:hint="eastAsia" w:ascii="宋体" w:hAnsi="宋体" w:eastAsia="宋体" w:cs="宋体"/>
          <w:b/>
          <w:bCs/>
          <w:i w:val="0"/>
          <w:iCs w:val="0"/>
          <w:caps w:val="0"/>
          <w:color w:val="auto"/>
          <w:spacing w:val="0"/>
          <w:kern w:val="0"/>
          <w:sz w:val="24"/>
          <w:szCs w:val="24"/>
          <w:shd w:val="clear" w:color="auto" w:fill="FFFFFF"/>
          <w:lang w:val="en-US" w:eastAsia="zh-CN" w:bidi="ar"/>
        </w:rPr>
        <w:t>外卖订餐时间</w:t>
      </w:r>
      <w:r>
        <w:rPr>
          <w:rFonts w:hint="eastAsia" w:ascii="宋体" w:hAnsi="宋体" w:cs="宋体"/>
          <w:b/>
          <w:bCs/>
          <w:i w:val="0"/>
          <w:iCs w:val="0"/>
          <w:caps w:val="0"/>
          <w:color w:val="auto"/>
          <w:spacing w:val="0"/>
          <w:kern w:val="0"/>
          <w:sz w:val="24"/>
          <w:szCs w:val="24"/>
          <w:shd w:val="clear" w:color="auto" w:fill="FFFFFF"/>
          <w:lang w:val="en-US" w:eastAsia="zh-CN" w:bidi="ar"/>
        </w:rPr>
        <w:t>与就餐时间一致</w:t>
      </w:r>
      <w:r>
        <w:rPr>
          <w:rFonts w:hint="eastAsia" w:ascii="宋体" w:hAnsi="宋体" w:eastAsia="宋体" w:cs="宋体"/>
          <w:b/>
          <w:bCs/>
          <w:i w:val="0"/>
          <w:iCs w:val="0"/>
          <w:caps w:val="0"/>
          <w:color w:val="auto"/>
          <w:spacing w:val="0"/>
          <w:kern w:val="0"/>
          <w:sz w:val="24"/>
          <w:szCs w:val="24"/>
          <w:shd w:val="clear" w:color="auto" w:fill="FFFFFF"/>
          <w:lang w:val="en-US" w:eastAsia="zh-CN" w:bidi="ar"/>
        </w:rPr>
        <w:t>，</w:t>
      </w:r>
      <w:r>
        <w:rPr>
          <w:rFonts w:hint="eastAsia" w:ascii="宋体" w:hAnsi="宋体" w:eastAsia="宋体" w:cs="宋体"/>
          <w:i w:val="0"/>
          <w:iCs w:val="0"/>
          <w:caps w:val="0"/>
          <w:color w:val="auto"/>
          <w:spacing w:val="0"/>
          <w:kern w:val="0"/>
          <w:sz w:val="24"/>
          <w:szCs w:val="24"/>
          <w:shd w:val="clear" w:color="auto" w:fill="FFFFFF"/>
          <w:lang w:val="en-US" w:eastAsia="zh-CN" w:bidi="ar"/>
        </w:rPr>
        <w:t>并提供送餐上门服务及各类应急供餐服务，要求送餐时间为45分钟内送达。有专人负责订餐工作，一日三餐上门订餐服务需在规定时间内由专人到科室。</w:t>
      </w:r>
    </w:p>
    <w:p w14:paraId="4AE20D2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10、中选服务商应保证一日三餐正点、足量（每个品种应设定标准份量）、优质、新鲜、品种多样、价格合理，能适应不同口味的职工和患者及家属就餐。中选服务商供应的食物应能满足每天的用餐需求，在供餐时间不得出现食物供应不足的现象；严禁出售变质、变味以及剩饭菜。经营期间若收到餐品中出现异物或出餐错误的反馈，需退换餐品或补差价处理。</w:t>
      </w:r>
    </w:p>
    <w:p w14:paraId="0BA8A370">
      <w:pPr>
        <w:spacing w:line="360" w:lineRule="auto"/>
        <w:ind w:firstLine="480" w:firstLineChars="2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11、中选服务商可提供已粗加工的半成品新鲜食材（如：切配好的蔬菜、新鲜腌制的肉片、已发酵好的面包胚等）。</w:t>
      </w:r>
    </w:p>
    <w:p w14:paraId="117C1AB3">
      <w:pPr>
        <w:spacing w:line="360" w:lineRule="auto"/>
        <w:ind w:firstLine="480" w:firstLineChars="200"/>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▲12、除以上要求的内容，响应服务商可在遴选文件中提供额外增值服务。</w:t>
      </w:r>
    </w:p>
    <w:p w14:paraId="41174C52">
      <w:pPr>
        <w:pStyle w:val="4"/>
        <w:keepNext w:val="0"/>
        <w:keepLines w:val="0"/>
        <w:pageBreakBefore w:val="0"/>
        <w:widowControl/>
        <w:kinsoku/>
        <w:wordWrap/>
        <w:overflowPunct/>
        <w:topLinePunct w:val="0"/>
        <w:bidi w:val="0"/>
        <w:spacing w:beforeAutospacing="0" w:afterAutospacing="0" w:line="360" w:lineRule="auto"/>
        <w:ind w:firstLine="562" w:firstLineChars="200"/>
        <w:jc w:val="both"/>
        <w:textAlignment w:val="baseline"/>
        <w:rPr>
          <w:rFonts w:hint="eastAsia" w:ascii="宋体" w:hAnsi="宋体" w:eastAsia="宋体" w:cs="宋体"/>
          <w:b/>
          <w:bCs/>
          <w:color w:val="auto"/>
          <w:sz w:val="28"/>
          <w:szCs w:val="28"/>
          <w:shd w:val="clear" w:color="auto" w:fill="FFFFFF"/>
        </w:rPr>
      </w:pPr>
      <w:r>
        <w:rPr>
          <w:rFonts w:hint="eastAsia" w:ascii="宋体" w:hAnsi="宋体" w:eastAsia="宋体" w:cs="宋体"/>
          <w:b/>
          <w:bCs/>
          <w:color w:val="auto"/>
          <w:sz w:val="28"/>
          <w:szCs w:val="28"/>
          <w:shd w:val="clear" w:color="auto" w:fill="FFFFFF"/>
          <w:lang w:val="en-US" w:eastAsia="zh-CN"/>
        </w:rPr>
        <w:t>五、饮食质量要求</w:t>
      </w:r>
    </w:p>
    <w:p w14:paraId="53737DB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所有的食品、副食品及配料等必须由正常渠道购进，确保食材安全、无农药、无添加、确保最佳产地、确保非转基因，中选服务商在采购粮油、肉蛋类、禽类、鱼类、蔬菜类、副食品类、调味类、食品添加剂等原料和物品必须符合《中华人民共和国食品安全法》、《中华人民共和国动物防疫法》等相关规定，符合卫生标准和营养要求。</w:t>
      </w:r>
    </w:p>
    <w:p w14:paraId="3F6082A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设有专职采购员,每次采购，严格做好进货验收和索票索证工作，建立采购台账（必须专人规范填写）、索证验收台账、响应服务商资质证明台账等，索取响应服务商有效的资质、检验检测合格证明等文件，包括但不仅限于《营业执照》、《食品卫生许可证》、《产品质量检验报告》、《出厂检验报告》、《动物检疫合格证明》、《肉品品质检验合格证》、《送货清单》、《购货凭据》；饮料、乳制品、调味品等食品每批次的检验合格证或检验单；蔬菜等散装农副食品及鱼类等鲜活产品检验合格证明；一次性餐具检验合格证；清洁剂检验合格证明等。随时接受业主方及上级部门的检查。</w:t>
      </w:r>
    </w:p>
    <w:p w14:paraId="5431201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3、保证每天每餐的饮食质量、份量、菜式，做到食材新鲜、饭熟菜香，营养搭配科学合理，调配比例均匀，味道可口，保证营养。</w:t>
      </w:r>
    </w:p>
    <w:p w14:paraId="0587A7D2">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 4、设专门人员负责留样，每餐食品按相关规定的份量、时间、保存条件等做好留样工作。至少保存48小时，留样份量每样至少100克，在5℃以下冷藏专柜专放并按要求做好食品留样管理工作等，具体根据相关规定实施。</w:t>
      </w:r>
    </w:p>
    <w:p w14:paraId="6D96BE7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5、从食品原材料入手，建立食品安全追溯体系。所有肉类、蔬菜类、粮油类等由具备供应资格、信誉良好的响应服务商提供可追溯食品，不能采用散装原料，实行集中统一采购或分大类集中采购，采用无公害食品。中选服务商应加入“中山市肉类蔬菜流通追溯体系”，并要确保食品原材料进货渠道正规，服务商证件齐全。</w:t>
      </w:r>
    </w:p>
    <w:p w14:paraId="364E8D7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6、所有食品响应服务商须经业主方审核同意，并接受业主方监管，对服务、供货质量等不能达到业主方要求的响应服务商，业主方有权提出更换，中选服务商必须配合执行。</w:t>
      </w:r>
    </w:p>
    <w:p w14:paraId="766A9F5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7、设置食品安全信息公示栏，公示食品安全信息，员工健康信息（健康证等）、经营主体责任人、监管部门责任人及电话、微信服务综合满意度调查或意见箱等，接受员工监督。</w:t>
      </w:r>
    </w:p>
    <w:p w14:paraId="0F3B829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8、业主方有权指定食品品牌、质量，中选服务商须无条件配合，部分重点食品要求如下： </w:t>
      </w:r>
    </w:p>
    <w:p w14:paraId="767A68A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8.1、大米、面粉质量标准：</w:t>
      </w:r>
    </w:p>
    <w:p w14:paraId="07F433D2">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不得采购有“QS”标志，须采购具有新食品生产编号的产品。标明加工厂名称、品名、生产日期、保质期或保存期，供货时的剩余保质期不少于三分之二，质量等级、产品标准号、产品合格证，质量符合大米国家标准与国家粮食卫生标准。</w:t>
      </w:r>
    </w:p>
    <w:p w14:paraId="1B48F78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具有固有色泽和香味，无污染、无虫害，色泽、气味、口味正常，无异味或霉味（霉变），无虫蛀结块挂丝或杂质异物等。面粉类要新鲜、色泽呈现乳白色或微黄色、手感细腻、颗粒均匀，自然浓厚的麦香味，手抓后自然流出，松开手不成团，用它制成的成品和馒头有麦香味、香甜入口不粘牙，符合国家食品卫生标准。</w:t>
      </w:r>
    </w:p>
    <w:p w14:paraId="0797EFD9">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▲（3）粮食品牌参照标准：中粮、中储粮、益海嘉里集团等产品。</w:t>
      </w:r>
    </w:p>
    <w:p w14:paraId="649CC38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8.2食用油、酱油：</w:t>
      </w:r>
    </w:p>
    <w:p w14:paraId="01F2AC2E">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（1）不得采购有“QS”标志，须采购具有新食品生产编号的产品。外包装完好，标明品名、厂名、重量、生产日期、保质期或保存期、执行标准等，剩余保质期不少于三分之二，具有产品合格证。</w:t>
      </w:r>
    </w:p>
    <w:p w14:paraId="595807F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（2）必须提供进货渠道及提供当地食品卫生监督部门抽样检测报告。 </w:t>
      </w:r>
    </w:p>
    <w:p w14:paraId="0A4C9DA9">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▲（3）食油品牌参照标准：中粮、金龙鱼、鲁花等；调味类品牌参照标准：海天、李锦记、东古等。</w:t>
      </w:r>
    </w:p>
    <w:p w14:paraId="35A7BD45">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▲8.3调味料：味精、鸡精、鸡粉等建议不用或尽量少用。</w:t>
      </w:r>
    </w:p>
    <w:p w14:paraId="2BEC9C4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8.4食盐：符合食品安全卫生标准及营养要求。</w:t>
      </w:r>
    </w:p>
    <w:p w14:paraId="4378A2A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8.5肉类：生鲜肉类经过屠宰卫生检疫，符合国家食品部门的有关标准，肉类保证来源于正规肉联厂，供货时提交肉联厂的验收单及当批次有效的动物检疫合格证复印件（原件备查）和分割肉凭证，鲜肉确保每日新鲜、无异味及变质。肉色根据种类的不同而呈现其特有的颜色，如猪肉鲜红色、牛羊肉深红色、鸡肉淡红色、鸭肉深红色等，且都有光泽、富有弹性，闻起来没有异味者（不得采购冷冻生肉僵尸肉）。肉制品包装完整，有完整标识，标明品名、内容物名称，重量或数量、食品添加物、制造厂商名称、地址、保存期限或保存条件、进品的还应加注进品商名称、地址等信息。保证鱼肉类每天新鲜购入及配送。</w:t>
      </w:r>
    </w:p>
    <w:p w14:paraId="568D3FA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8.6蔬菜：蔬菜形态饱满、色泽新鲜、无腐烂变质、无泥沙、无老梗、无老叶及无农药超标等情况。</w:t>
      </w:r>
    </w:p>
    <w:p w14:paraId="25960A4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8.7干货：保持其固有的鲜美味道，有干货的本味。动物类、植物类、菌类、藻类，能从味觉上分辨新鲜及优品；干爽没有霉迹；色泽鲜明，没有虫蛀与杂质。</w:t>
      </w:r>
    </w:p>
    <w:p w14:paraId="748148F9">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8.8猪、牛肉类、家禽类，肉制品，水产品须按照《中华人民共和国食品安全法》的要求提供食品生产许可证、检疫合格证明、产品合格证等资料。蔬菜类需要根据《中华人民共和国农产品质量安全法》等相关法律法规，产品必须符合安全卫生标准，蔬菜中污染物残留量、农药的最大残留限量以及其他有害物质含量都必须控制在国家规定的范围内。</w:t>
      </w:r>
    </w:p>
    <w:p w14:paraId="616FD2DB">
      <w:pPr>
        <w:spacing w:line="360" w:lineRule="auto"/>
        <w:jc w:val="center"/>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（1）生产（供应）企业资质证明（首次供应时提供）</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3"/>
        <w:gridCol w:w="6949"/>
      </w:tblGrid>
      <w:tr w14:paraId="188C4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Align w:val="center"/>
          </w:tcPr>
          <w:p w14:paraId="2C6D9E87">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类别</w:t>
            </w:r>
          </w:p>
        </w:tc>
        <w:tc>
          <w:tcPr>
            <w:tcW w:w="6949" w:type="dxa"/>
            <w:vAlign w:val="center"/>
          </w:tcPr>
          <w:p w14:paraId="7404DCBD">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资质证明</w:t>
            </w:r>
          </w:p>
        </w:tc>
      </w:tr>
      <w:tr w14:paraId="067E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Align w:val="center"/>
          </w:tcPr>
          <w:p w14:paraId="144AB56A">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畜禽冻肉类</w:t>
            </w:r>
          </w:p>
        </w:tc>
        <w:tc>
          <w:tcPr>
            <w:tcW w:w="6949" w:type="dxa"/>
            <w:vAlign w:val="center"/>
          </w:tcPr>
          <w:p w14:paraId="1CE9FB7B">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企业法人营业执照》、《动物防疫合格证》、《食品生产许可证》或《食品经营许可证》或含同类意思表述证书。如响应服务商的许可证书与营业执照合并办理的，提供扫描营业执照二维码后的有效备案信息截图。</w:t>
            </w:r>
          </w:p>
        </w:tc>
      </w:tr>
      <w:tr w14:paraId="0F8C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Align w:val="center"/>
          </w:tcPr>
          <w:p w14:paraId="4F402290">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肉制品</w:t>
            </w:r>
          </w:p>
        </w:tc>
        <w:tc>
          <w:tcPr>
            <w:tcW w:w="6949" w:type="dxa"/>
            <w:vAlign w:val="center"/>
          </w:tcPr>
          <w:p w14:paraId="48A94CD2">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《企业法人营业执照》、《食品生产许可证》或《食品经营许可证》或含同类意思表述证书。如响应服务商的许可证书与营业执照</w:t>
            </w:r>
          </w:p>
          <w:p w14:paraId="08A7DCC1">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合并办理的，提供扫描营业执照二维码后的有效备案信息截图。</w:t>
            </w:r>
          </w:p>
        </w:tc>
      </w:tr>
      <w:tr w14:paraId="40DF0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Align w:val="center"/>
          </w:tcPr>
          <w:p w14:paraId="529118F9">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水产品</w:t>
            </w:r>
          </w:p>
        </w:tc>
        <w:tc>
          <w:tcPr>
            <w:tcW w:w="6949" w:type="dxa"/>
            <w:vAlign w:val="center"/>
          </w:tcPr>
          <w:p w14:paraId="27A7E460">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《企业法人营业执照》</w:t>
            </w:r>
          </w:p>
        </w:tc>
      </w:tr>
    </w:tbl>
    <w:p w14:paraId="00EB44E1">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（2）新鲜肉类票证要求</w:t>
      </w:r>
    </w:p>
    <w:tbl>
      <w:tblPr>
        <w:tblStyle w:val="6"/>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3225"/>
        <w:gridCol w:w="4425"/>
      </w:tblGrid>
      <w:tr w14:paraId="21EA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Align w:val="center"/>
          </w:tcPr>
          <w:p w14:paraId="0D5FFCAB">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货物类别</w:t>
            </w:r>
          </w:p>
        </w:tc>
        <w:tc>
          <w:tcPr>
            <w:tcW w:w="3225" w:type="dxa"/>
            <w:vAlign w:val="center"/>
          </w:tcPr>
          <w:p w14:paraId="789AFDA3">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产品票证名称</w:t>
            </w:r>
          </w:p>
        </w:tc>
        <w:tc>
          <w:tcPr>
            <w:tcW w:w="4425" w:type="dxa"/>
            <w:vAlign w:val="center"/>
          </w:tcPr>
          <w:p w14:paraId="03608D46">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验收索证要求</w:t>
            </w:r>
          </w:p>
        </w:tc>
      </w:tr>
      <w:tr w14:paraId="6CBE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vAlign w:val="center"/>
          </w:tcPr>
          <w:p w14:paraId="78BCBBE7">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猪肉类</w:t>
            </w:r>
          </w:p>
        </w:tc>
        <w:tc>
          <w:tcPr>
            <w:tcW w:w="3225" w:type="dxa"/>
            <w:vAlign w:val="center"/>
          </w:tcPr>
          <w:p w14:paraId="7E6B2FAB">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《动物产品检疫合格证》</w:t>
            </w:r>
          </w:p>
        </w:tc>
        <w:tc>
          <w:tcPr>
            <w:tcW w:w="4425" w:type="dxa"/>
            <w:vAlign w:val="center"/>
          </w:tcPr>
          <w:p w14:paraId="4B93C4D2">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要求有生产名称、地址、产品名称、产地和目的地，官方兽医签字、盖检验检疫专用章。</w:t>
            </w:r>
          </w:p>
        </w:tc>
      </w:tr>
      <w:tr w14:paraId="6620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vAlign w:val="center"/>
          </w:tcPr>
          <w:p w14:paraId="7BC62BB1">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p>
        </w:tc>
        <w:tc>
          <w:tcPr>
            <w:tcW w:w="3225" w:type="dxa"/>
            <w:vAlign w:val="center"/>
          </w:tcPr>
          <w:p w14:paraId="7C2E535E">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《畜产品检验合格证》</w:t>
            </w:r>
          </w:p>
        </w:tc>
        <w:tc>
          <w:tcPr>
            <w:tcW w:w="4425" w:type="dxa"/>
            <w:vAlign w:val="center"/>
          </w:tcPr>
          <w:p w14:paraId="6B9F96C2">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有委托方、送往单位、屠宰场检验专用章、出厂时间和单号。</w:t>
            </w:r>
          </w:p>
        </w:tc>
      </w:tr>
      <w:tr w14:paraId="3066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Align w:val="center"/>
          </w:tcPr>
          <w:p w14:paraId="107EAD55">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三鸟类</w:t>
            </w:r>
          </w:p>
        </w:tc>
        <w:tc>
          <w:tcPr>
            <w:tcW w:w="3225" w:type="dxa"/>
            <w:vAlign w:val="center"/>
          </w:tcPr>
          <w:p w14:paraId="242013CA">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《动物产品检疫合格证》</w:t>
            </w:r>
          </w:p>
        </w:tc>
        <w:tc>
          <w:tcPr>
            <w:tcW w:w="4425" w:type="dxa"/>
            <w:vAlign w:val="center"/>
          </w:tcPr>
          <w:p w14:paraId="0016B945">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要求有生产名称、地址、产品名称、产地和目的地，官方兽医签字、盖检验检疫专用章。</w:t>
            </w:r>
          </w:p>
        </w:tc>
      </w:tr>
      <w:tr w14:paraId="50ACA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Align w:val="center"/>
          </w:tcPr>
          <w:p w14:paraId="50A59FD7">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牛肉、羊肉</w:t>
            </w:r>
          </w:p>
        </w:tc>
        <w:tc>
          <w:tcPr>
            <w:tcW w:w="3225" w:type="dxa"/>
            <w:vAlign w:val="center"/>
          </w:tcPr>
          <w:p w14:paraId="46271849">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《动物产品检疫合格证》</w:t>
            </w:r>
          </w:p>
        </w:tc>
        <w:tc>
          <w:tcPr>
            <w:tcW w:w="4425" w:type="dxa"/>
            <w:vAlign w:val="center"/>
          </w:tcPr>
          <w:p w14:paraId="14D9F392">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要求有生产名称、地址、产品名称、产地和目的地，官方兽医签字、盖检验检疫专用章。</w:t>
            </w:r>
          </w:p>
        </w:tc>
      </w:tr>
      <w:tr w14:paraId="21BB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7" w:type="dxa"/>
            <w:vAlign w:val="center"/>
          </w:tcPr>
          <w:p w14:paraId="4BA32055">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水产品</w:t>
            </w:r>
          </w:p>
        </w:tc>
        <w:tc>
          <w:tcPr>
            <w:tcW w:w="3225" w:type="dxa"/>
            <w:vAlign w:val="center"/>
          </w:tcPr>
          <w:p w14:paraId="2531A39E">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贮存地的出入库检疫证明，水产品成型标准为个体单独冷冻成型</w:t>
            </w:r>
          </w:p>
        </w:tc>
        <w:tc>
          <w:tcPr>
            <w:tcW w:w="4425" w:type="dxa"/>
            <w:vAlign w:val="center"/>
          </w:tcPr>
          <w:p w14:paraId="04759CBA">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交货时提供本批次产品的出厂（库）检验合格证，随车同行。</w:t>
            </w:r>
          </w:p>
        </w:tc>
      </w:tr>
    </w:tbl>
    <w:p w14:paraId="7C7BCA0B">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（3）蔬菜卫生质量要求</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BEA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B342F7E">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项目</w:t>
            </w:r>
          </w:p>
        </w:tc>
        <w:tc>
          <w:tcPr>
            <w:tcW w:w="4261" w:type="dxa"/>
            <w:vAlign w:val="center"/>
          </w:tcPr>
          <w:p w14:paraId="1D3FE5DE">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指标（mg/kg）</w:t>
            </w:r>
          </w:p>
        </w:tc>
      </w:tr>
      <w:tr w14:paraId="5184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9064059">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甲胺磷 </w:t>
            </w:r>
          </w:p>
        </w:tc>
        <w:tc>
          <w:tcPr>
            <w:tcW w:w="4261" w:type="dxa"/>
            <w:vAlign w:val="center"/>
          </w:tcPr>
          <w:p w14:paraId="00780908">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不得检出 </w:t>
            </w:r>
          </w:p>
        </w:tc>
      </w:tr>
      <w:tr w14:paraId="5082E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CDB63CF">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甲拌磷 </w:t>
            </w:r>
          </w:p>
        </w:tc>
        <w:tc>
          <w:tcPr>
            <w:tcW w:w="4261" w:type="dxa"/>
            <w:vAlign w:val="center"/>
          </w:tcPr>
          <w:p w14:paraId="3778C3E7">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不得检出</w:t>
            </w:r>
          </w:p>
        </w:tc>
      </w:tr>
      <w:tr w14:paraId="342B9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728FC64">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氧化乐果 </w:t>
            </w:r>
          </w:p>
        </w:tc>
        <w:tc>
          <w:tcPr>
            <w:tcW w:w="4261" w:type="dxa"/>
            <w:vAlign w:val="center"/>
          </w:tcPr>
          <w:p w14:paraId="2D92D794">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不得检出</w:t>
            </w:r>
          </w:p>
        </w:tc>
      </w:tr>
      <w:tr w14:paraId="5148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B97860E">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甲基对硫磷 </w:t>
            </w:r>
          </w:p>
        </w:tc>
        <w:tc>
          <w:tcPr>
            <w:tcW w:w="4261" w:type="dxa"/>
            <w:vAlign w:val="center"/>
          </w:tcPr>
          <w:p w14:paraId="67D3D041">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不得检出 </w:t>
            </w:r>
          </w:p>
        </w:tc>
      </w:tr>
      <w:tr w14:paraId="79C7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29AACE6">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呋喃丹</w:t>
            </w:r>
          </w:p>
        </w:tc>
        <w:tc>
          <w:tcPr>
            <w:tcW w:w="4261" w:type="dxa"/>
            <w:vAlign w:val="center"/>
          </w:tcPr>
          <w:p w14:paraId="6E55FD33">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不得检出 </w:t>
            </w:r>
          </w:p>
        </w:tc>
      </w:tr>
      <w:tr w14:paraId="0E44E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261" w:type="dxa"/>
            <w:vAlign w:val="center"/>
          </w:tcPr>
          <w:p w14:paraId="1B4C68EC">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百菌清 </w:t>
            </w:r>
          </w:p>
        </w:tc>
        <w:tc>
          <w:tcPr>
            <w:tcW w:w="4261" w:type="dxa"/>
            <w:vAlign w:val="center"/>
          </w:tcPr>
          <w:p w14:paraId="6A8EDF51">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≤1.0</w:t>
            </w:r>
          </w:p>
        </w:tc>
      </w:tr>
      <w:tr w14:paraId="4EDD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81768EE">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多菌灵</w:t>
            </w:r>
          </w:p>
        </w:tc>
        <w:tc>
          <w:tcPr>
            <w:tcW w:w="4261" w:type="dxa"/>
            <w:vAlign w:val="center"/>
          </w:tcPr>
          <w:p w14:paraId="1491F246">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default" w:ascii="宋体" w:hAnsi="宋体" w:eastAsia="宋体" w:cs="宋体"/>
                <w:i w:val="0"/>
                <w:iCs w:val="0"/>
                <w:caps w:val="0"/>
                <w:color w:val="auto"/>
                <w:spacing w:val="0"/>
                <w:kern w:val="0"/>
                <w:sz w:val="24"/>
                <w:szCs w:val="24"/>
                <w:shd w:val="clear" w:color="auto" w:fill="FFFFFF"/>
                <w:lang w:val="en-US" w:eastAsia="zh-CN" w:bidi="ar"/>
              </w:rPr>
              <w:t>≤0.5</w:t>
            </w:r>
          </w:p>
        </w:tc>
      </w:tr>
      <w:tr w14:paraId="01E40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8F72C29">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汞（以</w:t>
            </w:r>
            <w:r>
              <w:rPr>
                <w:rFonts w:hint="default" w:ascii="宋体" w:hAnsi="宋体" w:eastAsia="宋体" w:cs="宋体"/>
                <w:i w:val="0"/>
                <w:iCs w:val="0"/>
                <w:caps w:val="0"/>
                <w:color w:val="auto"/>
                <w:spacing w:val="0"/>
                <w:kern w:val="0"/>
                <w:sz w:val="24"/>
                <w:szCs w:val="24"/>
                <w:shd w:val="clear" w:color="auto" w:fill="FFFFFF"/>
                <w:lang w:val="en-US" w:eastAsia="zh-CN" w:bidi="ar"/>
              </w:rPr>
              <w:t>Hg</w:t>
            </w: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计） </w:t>
            </w:r>
          </w:p>
        </w:tc>
        <w:tc>
          <w:tcPr>
            <w:tcW w:w="4261" w:type="dxa"/>
            <w:vAlign w:val="center"/>
          </w:tcPr>
          <w:p w14:paraId="76B57461">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default" w:ascii="宋体" w:hAnsi="宋体" w:eastAsia="宋体" w:cs="宋体"/>
                <w:i w:val="0"/>
                <w:iCs w:val="0"/>
                <w:caps w:val="0"/>
                <w:color w:val="auto"/>
                <w:spacing w:val="0"/>
                <w:kern w:val="0"/>
                <w:sz w:val="24"/>
                <w:szCs w:val="24"/>
                <w:shd w:val="clear" w:color="auto" w:fill="FFFFFF"/>
                <w:lang w:val="en-US" w:eastAsia="zh-CN" w:bidi="ar"/>
              </w:rPr>
              <w:t>≤0.01</w:t>
            </w:r>
          </w:p>
        </w:tc>
      </w:tr>
      <w:tr w14:paraId="4854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FA419A4">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铅（以</w:t>
            </w:r>
            <w:r>
              <w:rPr>
                <w:rFonts w:hint="default" w:ascii="宋体" w:hAnsi="宋体" w:eastAsia="宋体" w:cs="宋体"/>
                <w:i w:val="0"/>
                <w:iCs w:val="0"/>
                <w:caps w:val="0"/>
                <w:color w:val="auto"/>
                <w:spacing w:val="0"/>
                <w:kern w:val="0"/>
                <w:sz w:val="24"/>
                <w:szCs w:val="24"/>
                <w:shd w:val="clear" w:color="auto" w:fill="FFFFFF"/>
                <w:lang w:val="en-US" w:eastAsia="zh-CN" w:bidi="ar"/>
              </w:rPr>
              <w:t>Pb</w:t>
            </w:r>
            <w:r>
              <w:rPr>
                <w:rFonts w:hint="eastAsia" w:ascii="宋体" w:hAnsi="宋体" w:eastAsia="宋体" w:cs="宋体"/>
                <w:i w:val="0"/>
                <w:iCs w:val="0"/>
                <w:caps w:val="0"/>
                <w:color w:val="auto"/>
                <w:spacing w:val="0"/>
                <w:kern w:val="0"/>
                <w:sz w:val="24"/>
                <w:szCs w:val="24"/>
                <w:shd w:val="clear" w:color="auto" w:fill="FFFFFF"/>
                <w:lang w:val="en-US" w:eastAsia="zh-CN" w:bidi="ar"/>
              </w:rPr>
              <w:t>计）</w:t>
            </w:r>
          </w:p>
        </w:tc>
        <w:tc>
          <w:tcPr>
            <w:tcW w:w="4261" w:type="dxa"/>
            <w:vAlign w:val="center"/>
          </w:tcPr>
          <w:p w14:paraId="12E09062">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default" w:ascii="宋体" w:hAnsi="宋体" w:eastAsia="宋体" w:cs="宋体"/>
                <w:i w:val="0"/>
                <w:iCs w:val="0"/>
                <w:caps w:val="0"/>
                <w:color w:val="auto"/>
                <w:spacing w:val="0"/>
                <w:kern w:val="0"/>
                <w:sz w:val="24"/>
                <w:szCs w:val="24"/>
                <w:shd w:val="clear" w:color="auto" w:fill="FFFFFF"/>
                <w:lang w:val="en-US" w:eastAsia="zh-CN" w:bidi="ar"/>
              </w:rPr>
              <w:t xml:space="preserve">≤0.2 </w:t>
            </w:r>
          </w:p>
        </w:tc>
      </w:tr>
      <w:tr w14:paraId="7181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A4268AB">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砷（以</w:t>
            </w:r>
            <w:r>
              <w:rPr>
                <w:rFonts w:hint="default" w:ascii="宋体" w:hAnsi="宋体" w:eastAsia="宋体" w:cs="宋体"/>
                <w:i w:val="0"/>
                <w:iCs w:val="0"/>
                <w:caps w:val="0"/>
                <w:color w:val="auto"/>
                <w:spacing w:val="0"/>
                <w:kern w:val="0"/>
                <w:sz w:val="24"/>
                <w:szCs w:val="24"/>
                <w:shd w:val="clear" w:color="auto" w:fill="FFFFFF"/>
                <w:lang w:val="en-US" w:eastAsia="zh-CN" w:bidi="ar"/>
              </w:rPr>
              <w:t>As</w:t>
            </w:r>
            <w:r>
              <w:rPr>
                <w:rFonts w:hint="eastAsia" w:ascii="宋体" w:hAnsi="宋体" w:eastAsia="宋体" w:cs="宋体"/>
                <w:i w:val="0"/>
                <w:iCs w:val="0"/>
                <w:caps w:val="0"/>
                <w:color w:val="auto"/>
                <w:spacing w:val="0"/>
                <w:kern w:val="0"/>
                <w:sz w:val="24"/>
                <w:szCs w:val="24"/>
                <w:shd w:val="clear" w:color="auto" w:fill="FFFFFF"/>
                <w:lang w:val="en-US" w:eastAsia="zh-CN" w:bidi="ar"/>
              </w:rPr>
              <w:t>计）</w:t>
            </w:r>
          </w:p>
        </w:tc>
        <w:tc>
          <w:tcPr>
            <w:tcW w:w="4261" w:type="dxa"/>
            <w:vAlign w:val="center"/>
          </w:tcPr>
          <w:p w14:paraId="73423227">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default" w:ascii="宋体" w:hAnsi="宋体" w:eastAsia="宋体" w:cs="宋体"/>
                <w:i w:val="0"/>
                <w:iCs w:val="0"/>
                <w:caps w:val="0"/>
                <w:color w:val="auto"/>
                <w:spacing w:val="0"/>
                <w:kern w:val="0"/>
                <w:sz w:val="24"/>
                <w:szCs w:val="24"/>
                <w:shd w:val="clear" w:color="auto" w:fill="FFFFFF"/>
                <w:lang w:val="en-US" w:eastAsia="zh-CN" w:bidi="ar"/>
              </w:rPr>
              <w:t>≤0.5</w:t>
            </w:r>
          </w:p>
        </w:tc>
      </w:tr>
      <w:tr w14:paraId="764F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F3D596B">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氟（以</w:t>
            </w:r>
            <w:r>
              <w:rPr>
                <w:rFonts w:hint="default" w:ascii="宋体" w:hAnsi="宋体" w:eastAsia="宋体" w:cs="宋体"/>
                <w:i w:val="0"/>
                <w:iCs w:val="0"/>
                <w:caps w:val="0"/>
                <w:color w:val="auto"/>
                <w:spacing w:val="0"/>
                <w:kern w:val="0"/>
                <w:sz w:val="24"/>
                <w:szCs w:val="24"/>
                <w:shd w:val="clear" w:color="auto" w:fill="FFFFFF"/>
                <w:lang w:val="en-US" w:eastAsia="zh-CN" w:bidi="ar"/>
              </w:rPr>
              <w:t>F</w:t>
            </w:r>
            <w:r>
              <w:rPr>
                <w:rFonts w:hint="eastAsia" w:ascii="宋体" w:hAnsi="宋体" w:eastAsia="宋体" w:cs="宋体"/>
                <w:i w:val="0"/>
                <w:iCs w:val="0"/>
                <w:caps w:val="0"/>
                <w:color w:val="auto"/>
                <w:spacing w:val="0"/>
                <w:kern w:val="0"/>
                <w:sz w:val="24"/>
                <w:szCs w:val="24"/>
                <w:shd w:val="clear" w:color="auto" w:fill="FFFFFF"/>
                <w:lang w:val="en-US" w:eastAsia="zh-CN" w:bidi="ar"/>
              </w:rPr>
              <w:t>计）</w:t>
            </w:r>
          </w:p>
        </w:tc>
        <w:tc>
          <w:tcPr>
            <w:tcW w:w="4261" w:type="dxa"/>
            <w:vAlign w:val="center"/>
          </w:tcPr>
          <w:p w14:paraId="4482D12F">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default" w:ascii="宋体" w:hAnsi="宋体" w:eastAsia="宋体" w:cs="宋体"/>
                <w:i w:val="0"/>
                <w:iCs w:val="0"/>
                <w:caps w:val="0"/>
                <w:color w:val="auto"/>
                <w:spacing w:val="0"/>
                <w:kern w:val="0"/>
                <w:sz w:val="24"/>
                <w:szCs w:val="24"/>
                <w:shd w:val="clear" w:color="auto" w:fill="FFFFFF"/>
                <w:lang w:val="en-US" w:eastAsia="zh-CN" w:bidi="ar"/>
              </w:rPr>
              <w:t>≤0.5</w:t>
            </w:r>
          </w:p>
        </w:tc>
      </w:tr>
      <w:tr w14:paraId="1388C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1F9770C6">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硝酸盐（以</w:t>
            </w:r>
            <w:r>
              <w:rPr>
                <w:rFonts w:hint="default" w:ascii="宋体" w:hAnsi="宋体" w:eastAsia="宋体" w:cs="宋体"/>
                <w:i w:val="0"/>
                <w:iCs w:val="0"/>
                <w:caps w:val="0"/>
                <w:color w:val="auto"/>
                <w:spacing w:val="0"/>
                <w:kern w:val="0"/>
                <w:sz w:val="24"/>
                <w:szCs w:val="24"/>
                <w:shd w:val="clear" w:color="auto" w:fill="FFFFFF"/>
                <w:lang w:val="en-US" w:eastAsia="zh-CN" w:bidi="ar"/>
              </w:rPr>
              <w:t>NaNO3</w:t>
            </w:r>
            <w:r>
              <w:rPr>
                <w:rFonts w:hint="eastAsia" w:ascii="宋体" w:hAnsi="宋体" w:eastAsia="宋体" w:cs="宋体"/>
                <w:i w:val="0"/>
                <w:iCs w:val="0"/>
                <w:caps w:val="0"/>
                <w:color w:val="auto"/>
                <w:spacing w:val="0"/>
                <w:kern w:val="0"/>
                <w:sz w:val="24"/>
                <w:szCs w:val="24"/>
                <w:shd w:val="clear" w:color="auto" w:fill="FFFFFF"/>
                <w:lang w:val="en-US" w:eastAsia="zh-CN" w:bidi="ar"/>
              </w:rPr>
              <w:t>计）</w:t>
            </w:r>
          </w:p>
        </w:tc>
        <w:tc>
          <w:tcPr>
            <w:tcW w:w="4261" w:type="dxa"/>
            <w:vAlign w:val="center"/>
          </w:tcPr>
          <w:p w14:paraId="65509888">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瓜果类</w:t>
            </w:r>
            <w:r>
              <w:rPr>
                <w:rFonts w:hint="default" w:ascii="宋体" w:hAnsi="宋体" w:eastAsia="宋体" w:cs="宋体"/>
                <w:i w:val="0"/>
                <w:iCs w:val="0"/>
                <w:caps w:val="0"/>
                <w:color w:val="auto"/>
                <w:spacing w:val="0"/>
                <w:kern w:val="0"/>
                <w:sz w:val="24"/>
                <w:szCs w:val="24"/>
                <w:shd w:val="clear" w:color="auto" w:fill="FFFFFF"/>
                <w:lang w:val="en-US" w:eastAsia="zh-CN" w:bidi="ar"/>
              </w:rPr>
              <w:t>≤600</w:t>
            </w:r>
            <w:r>
              <w:rPr>
                <w:rFonts w:hint="eastAsia" w:ascii="宋体" w:hAnsi="宋体" w:eastAsia="宋体" w:cs="宋体"/>
                <w:i w:val="0"/>
                <w:iCs w:val="0"/>
                <w:caps w:val="0"/>
                <w:color w:val="auto"/>
                <w:spacing w:val="0"/>
                <w:kern w:val="0"/>
                <w:sz w:val="24"/>
                <w:szCs w:val="24"/>
                <w:shd w:val="clear" w:color="auto" w:fill="FFFFFF"/>
                <w:lang w:val="en-US" w:eastAsia="zh-CN" w:bidi="ar"/>
              </w:rPr>
              <w:t>；叶菜根茎类</w:t>
            </w:r>
            <w:r>
              <w:rPr>
                <w:rFonts w:hint="default" w:ascii="宋体" w:hAnsi="宋体" w:eastAsia="宋体" w:cs="宋体"/>
                <w:i w:val="0"/>
                <w:iCs w:val="0"/>
                <w:caps w:val="0"/>
                <w:color w:val="auto"/>
                <w:spacing w:val="0"/>
                <w:kern w:val="0"/>
                <w:sz w:val="24"/>
                <w:szCs w:val="24"/>
                <w:shd w:val="clear" w:color="auto" w:fill="FFFFFF"/>
                <w:lang w:val="en-US" w:eastAsia="zh-CN" w:bidi="ar"/>
              </w:rPr>
              <w:t xml:space="preserve">≤1200 </w:t>
            </w:r>
          </w:p>
        </w:tc>
      </w:tr>
      <w:tr w14:paraId="31A07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01F1B638">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亚硝酸盐（以</w:t>
            </w:r>
            <w:r>
              <w:rPr>
                <w:rFonts w:hint="default" w:ascii="宋体" w:hAnsi="宋体" w:eastAsia="宋体" w:cs="宋体"/>
                <w:i w:val="0"/>
                <w:iCs w:val="0"/>
                <w:caps w:val="0"/>
                <w:color w:val="auto"/>
                <w:spacing w:val="0"/>
                <w:kern w:val="0"/>
                <w:sz w:val="24"/>
                <w:szCs w:val="24"/>
                <w:shd w:val="clear" w:color="auto" w:fill="FFFFFF"/>
                <w:lang w:val="en-US" w:eastAsia="zh-CN" w:bidi="ar"/>
              </w:rPr>
              <w:t>NaNO2</w:t>
            </w:r>
            <w:r>
              <w:rPr>
                <w:rFonts w:hint="eastAsia" w:ascii="宋体" w:hAnsi="宋体" w:eastAsia="宋体" w:cs="宋体"/>
                <w:i w:val="0"/>
                <w:iCs w:val="0"/>
                <w:caps w:val="0"/>
                <w:color w:val="auto"/>
                <w:spacing w:val="0"/>
                <w:kern w:val="0"/>
                <w:sz w:val="24"/>
                <w:szCs w:val="24"/>
                <w:shd w:val="clear" w:color="auto" w:fill="FFFFFF"/>
                <w:lang w:val="en-US" w:eastAsia="zh-CN" w:bidi="ar"/>
              </w:rPr>
              <w:t>计）</w:t>
            </w:r>
          </w:p>
        </w:tc>
        <w:tc>
          <w:tcPr>
            <w:tcW w:w="4261" w:type="dxa"/>
            <w:vAlign w:val="center"/>
          </w:tcPr>
          <w:p w14:paraId="62EFB3D4">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default" w:ascii="宋体" w:hAnsi="宋体" w:eastAsia="宋体" w:cs="宋体"/>
                <w:i w:val="0"/>
                <w:iCs w:val="0"/>
                <w:caps w:val="0"/>
                <w:color w:val="auto"/>
                <w:spacing w:val="0"/>
                <w:kern w:val="0"/>
                <w:sz w:val="24"/>
                <w:szCs w:val="24"/>
                <w:shd w:val="clear" w:color="auto" w:fill="FFFFFF"/>
                <w:lang w:val="en-US" w:eastAsia="zh-CN" w:bidi="ar"/>
              </w:rPr>
              <w:t>≤4</w:t>
            </w:r>
          </w:p>
        </w:tc>
      </w:tr>
      <w:tr w14:paraId="1AB1F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522" w:type="dxa"/>
            <w:gridSpan w:val="2"/>
            <w:vAlign w:val="center"/>
          </w:tcPr>
          <w:p w14:paraId="45F898A4">
            <w:pPr>
              <w:pStyle w:val="3"/>
              <w:keepNext w:val="0"/>
              <w:keepLines w:val="0"/>
              <w:pageBreakBefore w:val="0"/>
              <w:widowControl w:val="0"/>
              <w:kinsoku/>
              <w:wordWrap/>
              <w:overflowPunct/>
              <w:topLinePunct w:val="0"/>
              <w:autoSpaceDE/>
              <w:autoSpaceDN/>
              <w:bidi w:val="0"/>
              <w:adjustRightInd/>
              <w:snapToGrid/>
              <w:ind w:left="0"/>
              <w:jc w:val="center"/>
              <w:textAlignment w:val="auto"/>
              <w:rPr>
                <w:rFonts w:hint="default"/>
                <w:color w:val="auto"/>
                <w:highlight w:val="none"/>
                <w:vertAlign w:val="baseline"/>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
              </w:rPr>
              <w:t>卫生质量指标，应符合我国无公害蔬菜的卫生指标规定</w:t>
            </w:r>
          </w:p>
        </w:tc>
      </w:tr>
    </w:tbl>
    <w:p w14:paraId="6EF74205">
      <w:pPr>
        <w:keepNext w:val="0"/>
        <w:keepLines w:val="0"/>
        <w:pageBreakBefore w:val="0"/>
        <w:kinsoku/>
        <w:wordWrap/>
        <w:overflowPunct/>
        <w:topLinePunct w:val="0"/>
        <w:autoSpaceDE w:val="0"/>
        <w:autoSpaceDN w:val="0"/>
        <w:bidi w:val="0"/>
        <w:adjustRightInd w:val="0"/>
        <w:snapToGrid w:val="0"/>
        <w:spacing w:line="360" w:lineRule="auto"/>
        <w:rPr>
          <w:rFonts w:hint="eastAsia" w:ascii="宋体" w:hAnsi="宋体" w:eastAsia="宋体" w:cs="宋体"/>
          <w:b/>
          <w:bCs/>
          <w:color w:val="auto"/>
          <w:sz w:val="28"/>
          <w:szCs w:val="28"/>
          <w:shd w:val="clear" w:color="auto" w:fill="FFFFFF"/>
          <w:lang w:val="en-US" w:eastAsia="zh-CN"/>
        </w:rPr>
      </w:pPr>
    </w:p>
    <w:p w14:paraId="462D7F4A">
      <w:pPr>
        <w:keepNext w:val="0"/>
        <w:keepLines w:val="0"/>
        <w:pageBreakBefore w:val="0"/>
        <w:widowControl w:val="0"/>
        <w:kinsoku/>
        <w:wordWrap/>
        <w:overflowPunct/>
        <w:topLinePunct w:val="0"/>
        <w:autoSpaceDE w:val="0"/>
        <w:autoSpaceDN w:val="0"/>
        <w:bidi w:val="0"/>
        <w:adjustRightInd w:val="0"/>
        <w:snapToGrid w:val="0"/>
        <w:spacing w:line="360" w:lineRule="auto"/>
        <w:ind w:firstLine="562" w:firstLineChars="200"/>
        <w:textAlignment w:val="auto"/>
        <w:rPr>
          <w:rFonts w:ascii="宋体" w:hAnsi="宋体" w:eastAsia="宋体" w:cs="宋体"/>
          <w:color w:val="auto"/>
          <w:sz w:val="28"/>
          <w:szCs w:val="28"/>
        </w:rPr>
      </w:pPr>
      <w:r>
        <w:rPr>
          <w:rFonts w:hint="eastAsia" w:ascii="宋体" w:hAnsi="宋体" w:eastAsia="宋体" w:cs="宋体"/>
          <w:b/>
          <w:bCs/>
          <w:color w:val="auto"/>
          <w:sz w:val="28"/>
          <w:szCs w:val="28"/>
          <w:shd w:val="clear" w:color="auto" w:fill="FFFFFF"/>
          <w:lang w:val="en-US" w:eastAsia="zh-CN"/>
        </w:rPr>
        <w:t>六</w:t>
      </w:r>
      <w:r>
        <w:rPr>
          <w:rFonts w:hint="eastAsia" w:ascii="宋体" w:hAnsi="宋体" w:eastAsia="宋体" w:cs="宋体"/>
          <w:b/>
          <w:bCs/>
          <w:color w:val="auto"/>
          <w:sz w:val="28"/>
          <w:szCs w:val="28"/>
          <w:shd w:val="clear" w:color="auto" w:fill="FFFFFF"/>
        </w:rPr>
        <w:t>、餐具、相关设备要求</w:t>
      </w:r>
    </w:p>
    <w:p w14:paraId="68D09237">
      <w:pPr>
        <w:spacing w:line="360" w:lineRule="auto"/>
        <w:ind w:firstLine="420" w:firstLineChars="200"/>
        <w:rPr>
          <w:rFonts w:hint="eastAsia" w:ascii="宋体" w:hAnsi="宋体" w:eastAsia="宋体" w:cs="宋体"/>
          <w:b/>
          <w:bCs/>
          <w:i w:val="0"/>
          <w:iCs w:val="0"/>
          <w:caps w:val="0"/>
          <w:color w:val="auto"/>
          <w:spacing w:val="0"/>
          <w:kern w:val="0"/>
          <w:sz w:val="24"/>
          <w:szCs w:val="24"/>
          <w:shd w:val="clear" w:color="auto" w:fill="FFFFFF"/>
          <w:lang w:val="en-US" w:eastAsia="zh-CN" w:bidi="ar"/>
        </w:rPr>
      </w:pPr>
      <w:r>
        <w:rPr>
          <w:rFonts w:hint="eastAsia" w:ascii="宋体" w:hAnsi="宋体" w:cs="SimSun-Identity-H"/>
          <w:color w:val="auto"/>
          <w:kern w:val="0"/>
          <w:szCs w:val="21"/>
          <w:highlight w:val="none"/>
        </w:rPr>
        <w:t xml:space="preserve"> </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b/>
          <w:bCs/>
          <w:i w:val="0"/>
          <w:iCs w:val="0"/>
          <w:caps w:val="0"/>
          <w:color w:val="auto"/>
          <w:spacing w:val="0"/>
          <w:kern w:val="0"/>
          <w:sz w:val="24"/>
          <w:szCs w:val="24"/>
          <w:shd w:val="clear" w:color="auto" w:fill="FFFFFF"/>
          <w:lang w:val="en-US" w:eastAsia="zh-CN" w:bidi="ar"/>
        </w:rPr>
        <w:t>1、院区内仅允许使用电作为相关生产能源，若中标人未按照采购人规定使用其他能源（如：煤气、天然气等）作为相关生产能源的，因此造成的安全隐患或引发的安全事故，由中标人负全责。</w:t>
      </w:r>
    </w:p>
    <w:p w14:paraId="457C04C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2、操作台面、货物架、调料台、蒸烤箱等使用无毒无害材质制作，并符合国家食(饮)具卫生标准等相关规定。</w:t>
      </w:r>
    </w:p>
    <w:p w14:paraId="2E7F405E">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 生产、运输及院内食品分送场所的设施与卫生条件符合国家食品卫生法规要求；餐具符合国家食品卫生标准，使用不锈钢筷子、餐盘、蒸笼等，所有不锈钢筷子、餐盘等餐具必须经高温消毒柜消毒后才能使用。</w:t>
      </w:r>
    </w:p>
    <w:p w14:paraId="76F8A75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 冰箱、冰柜所有食物须分开分类放置，熟食品须专用冰箱放置，其他的严格按食品种类分隔的标准独立存放（生食品、半成品、干货类独立），所有存储容器外均贴上食物资料标签。</w:t>
      </w:r>
    </w:p>
    <w:p w14:paraId="325A38A2">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5、</w:t>
      </w:r>
      <w:r>
        <w:rPr>
          <w:rFonts w:hint="eastAsia" w:ascii="宋体" w:hAnsi="宋体" w:eastAsia="宋体" w:cs="宋体"/>
          <w:i w:val="0"/>
          <w:iCs w:val="0"/>
          <w:caps w:val="0"/>
          <w:color w:val="auto"/>
          <w:spacing w:val="0"/>
          <w:kern w:val="0"/>
          <w:sz w:val="24"/>
          <w:szCs w:val="24"/>
          <w:shd w:val="clear" w:color="auto" w:fill="FFFFFF"/>
          <w:lang w:val="en-US" w:eastAsia="zh-CN" w:bidi="ar"/>
        </w:rPr>
        <w:t>严格区别使用生食、熟食的刀具、砧板，必须分开专用专位放置，并有一定距离。</w:t>
      </w:r>
    </w:p>
    <w:p w14:paraId="3D3B43A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6</w:t>
      </w:r>
      <w:r>
        <w:rPr>
          <w:rFonts w:hint="eastAsia" w:ascii="宋体" w:hAnsi="宋体" w:eastAsia="宋体" w:cs="宋体"/>
          <w:i w:val="0"/>
          <w:iCs w:val="0"/>
          <w:caps w:val="0"/>
          <w:color w:val="auto"/>
          <w:spacing w:val="0"/>
          <w:kern w:val="0"/>
          <w:sz w:val="24"/>
          <w:szCs w:val="24"/>
          <w:shd w:val="clear" w:color="auto" w:fill="FFFFFF"/>
          <w:lang w:val="en-US" w:eastAsia="zh-CN" w:bidi="ar"/>
        </w:rPr>
        <w:t>、餐具、设施做好标识，并分类规范存放。</w:t>
      </w:r>
    </w:p>
    <w:p w14:paraId="4F167565">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7</w:t>
      </w:r>
      <w:r>
        <w:rPr>
          <w:rFonts w:hint="eastAsia" w:ascii="宋体" w:hAnsi="宋体" w:eastAsia="宋体" w:cs="宋体"/>
          <w:i w:val="0"/>
          <w:iCs w:val="0"/>
          <w:caps w:val="0"/>
          <w:color w:val="auto"/>
          <w:spacing w:val="0"/>
          <w:kern w:val="0"/>
          <w:sz w:val="24"/>
          <w:szCs w:val="24"/>
          <w:shd w:val="clear" w:color="auto" w:fill="FFFFFF"/>
          <w:lang w:val="en-US" w:eastAsia="zh-CN" w:bidi="ar"/>
        </w:rPr>
        <w:t>、洗洁精使用要求用原瓶装包装，无毒、安全</w:t>
      </w:r>
      <w:r>
        <w:rPr>
          <w:rFonts w:hint="eastAsia" w:ascii="宋体" w:hAnsi="宋体" w:cs="宋体"/>
          <w:i w:val="0"/>
          <w:iCs w:val="0"/>
          <w:caps w:val="0"/>
          <w:color w:val="auto"/>
          <w:spacing w:val="0"/>
          <w:kern w:val="0"/>
          <w:sz w:val="24"/>
          <w:szCs w:val="24"/>
          <w:shd w:val="clear" w:color="auto" w:fill="FFFFFF"/>
          <w:lang w:val="en-US" w:eastAsia="zh-CN" w:bidi="ar"/>
        </w:rPr>
        <w:t>，符合国家卫生安全要求</w:t>
      </w:r>
      <w:r>
        <w:rPr>
          <w:rFonts w:hint="eastAsia" w:ascii="宋体" w:hAnsi="宋体" w:eastAsia="宋体" w:cs="宋体"/>
          <w:i w:val="0"/>
          <w:iCs w:val="0"/>
          <w:caps w:val="0"/>
          <w:color w:val="auto"/>
          <w:spacing w:val="0"/>
          <w:kern w:val="0"/>
          <w:sz w:val="24"/>
          <w:szCs w:val="24"/>
          <w:shd w:val="clear" w:color="auto" w:fill="FFFFFF"/>
          <w:lang w:val="en-US" w:eastAsia="zh-CN" w:bidi="ar"/>
        </w:rPr>
        <w:t>。</w:t>
      </w:r>
    </w:p>
    <w:p w14:paraId="0C78EC6D">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8"/>
          <w:szCs w:val="28"/>
          <w:shd w:val="clear" w:color="auto" w:fill="FFFFFF"/>
        </w:rPr>
      </w:pPr>
      <w:r>
        <w:rPr>
          <w:rFonts w:hint="eastAsia" w:ascii="宋体" w:hAnsi="宋体" w:eastAsia="宋体" w:cs="宋体"/>
          <w:b/>
          <w:bCs/>
          <w:color w:val="auto"/>
          <w:sz w:val="28"/>
          <w:szCs w:val="28"/>
          <w:shd w:val="clear" w:color="auto" w:fill="FFFFFF"/>
          <w:lang w:val="en-US" w:eastAsia="zh-CN"/>
        </w:rPr>
        <w:t>七</w:t>
      </w:r>
      <w:r>
        <w:rPr>
          <w:rFonts w:hint="eastAsia" w:ascii="宋体" w:hAnsi="宋体" w:eastAsia="宋体" w:cs="宋体"/>
          <w:b/>
          <w:bCs/>
          <w:color w:val="auto"/>
          <w:sz w:val="28"/>
          <w:szCs w:val="28"/>
          <w:shd w:val="clear" w:color="auto" w:fill="FFFFFF"/>
        </w:rPr>
        <w:t>、</w:t>
      </w:r>
      <w:r>
        <w:rPr>
          <w:rFonts w:hint="eastAsia" w:ascii="宋体" w:hAnsi="宋体" w:eastAsia="宋体" w:cs="宋体"/>
          <w:b/>
          <w:bCs/>
          <w:color w:val="auto"/>
          <w:sz w:val="28"/>
          <w:szCs w:val="28"/>
          <w:shd w:val="clear" w:color="auto" w:fill="FFFFFF"/>
          <w:lang w:val="en-US" w:eastAsia="zh-CN"/>
        </w:rPr>
        <w:t>卫生安全要求</w:t>
      </w:r>
    </w:p>
    <w:p w14:paraId="18A04CC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1、饭堂的卫生防疫、就餐环境和制作的食品及送餐等服务必须符合《食品卫生法》、国家相关的食品卫生标准及本院《饭堂管理制度》要求。</w:t>
      </w:r>
    </w:p>
    <w:p w14:paraId="1761A18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2、严格做好环境卫生工作（包括厨房、仓库、配餐间、就餐区域等），搞好室内外环境清洁和消毒工作，清除卫生死角，保持墙壁、墙裙、天花板、地面、炉灶、油烟罩/滤网、容器用具、案板工具等整洁、光亮、干燥、整齐、卫生、无油迹，通风、排烟、排水良好，有清洗记录。</w:t>
      </w:r>
    </w:p>
    <w:p w14:paraId="789ADDC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3、一餐一打扫，一周一大扫，平面天天扫，立面周周搞，保持饭堂卫生、整洁。中选服务商自行负责承包区域（含过道、楼梯、厕所、下水道、绿化带等）的环境卫生。</w:t>
      </w:r>
    </w:p>
    <w:p w14:paraId="4EAC362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4、操作台面、货物架、调料台、蒸烤箱等设备，做到整洁无杂物，无污渍、无灰尘，玻璃罩具光洁明亮。</w:t>
      </w:r>
    </w:p>
    <w:p w14:paraId="117FFA9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5、擦碗盘与清洁抹布专用，并做好区分，保持干净。</w:t>
      </w:r>
    </w:p>
    <w:p w14:paraId="7578D6F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6、每次餐前、餐中、餐后应及时擦洗饭桌上的残渣、剩饭、油污。餐厨产生垃圾由中选服务商按环保要求每天自行处理。</w:t>
      </w:r>
    </w:p>
    <w:p w14:paraId="688CB5F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7、专人负责餐具的清洗和消毒，餐具使用前必须经过彻底清洁消毒，并符合国家食(饮)具消毒卫生标准等相关规定。</w:t>
      </w:r>
    </w:p>
    <w:p w14:paraId="6642B185">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 ★8、及时疏通和清理油烟系统、隔油池、下水道确保畅通干净，加强灭蝇、灭蟑螂、灭鼠等措施，定期灭杀四害，防蝇、防鼠、防尘设备齐全、有效，环境符合业主方及上级管理部门的要求，合同签订后10天内列出具体实施方案给业主方，所有卫生防疫费用由中选服务商自行承担。如检查发现厨房有活动性苍蝇、蟑螂、老鼠，视情况轻重扣罚，并限期当天整改，如多次发现，业主方有权终止合同处理。</w:t>
      </w:r>
    </w:p>
    <w:p w14:paraId="10AD561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9、排烟设施每周至少一次表面清洗，每年至少两次内部清洗，确保无油渍，避免安全隐患。做好清洗记录、拍照，资料存档，并接受业主方检查。</w:t>
      </w:r>
    </w:p>
    <w:p w14:paraId="23149E82">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10、上岗员工应保持良好的个人卫生习惯，按规定规范穿戴清洁的工服、工牌、帽子、口罩等。</w:t>
      </w:r>
    </w:p>
    <w:p w14:paraId="1FFC2CF3">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8"/>
          <w:szCs w:val="28"/>
          <w:shd w:val="clear" w:color="auto" w:fill="FFFFFF"/>
        </w:rPr>
      </w:pPr>
      <w:r>
        <w:rPr>
          <w:rFonts w:hint="eastAsia" w:ascii="宋体" w:hAnsi="宋体" w:eastAsia="宋体" w:cs="宋体"/>
          <w:b/>
          <w:bCs/>
          <w:color w:val="auto"/>
          <w:sz w:val="28"/>
          <w:szCs w:val="28"/>
          <w:shd w:val="clear" w:color="auto" w:fill="FFFFFF"/>
          <w:lang w:val="en-US" w:eastAsia="zh-CN"/>
        </w:rPr>
        <w:t>八</w:t>
      </w:r>
      <w:r>
        <w:rPr>
          <w:rFonts w:hint="eastAsia" w:ascii="宋体" w:hAnsi="宋体" w:eastAsia="宋体" w:cs="宋体"/>
          <w:b/>
          <w:bCs/>
          <w:color w:val="auto"/>
          <w:sz w:val="28"/>
          <w:szCs w:val="28"/>
          <w:shd w:val="clear" w:color="auto" w:fill="FFFFFF"/>
        </w:rPr>
        <w:t>、项目的经营管理要求：</w:t>
      </w:r>
    </w:p>
    <w:p w14:paraId="62B46C85">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1、中选服务商必须持有效的《营业执照》、《食品药品经营许可证》等一切必须具有的证件方可开业，且营业范围包括餐饮管理或饮食管理或食品经营管理。</w:t>
      </w:r>
    </w:p>
    <w:p w14:paraId="7C6A2B82">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2、拟委派在本项目的负责人应为具有丰富从事集体食堂管理经验或从事医院集体食堂管理经验者。（提供相关证明材料）。</w:t>
      </w:r>
    </w:p>
    <w:p w14:paraId="2724EC4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3、项目人员管理要求：</w:t>
      </w:r>
    </w:p>
    <w:p w14:paraId="0652564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3.1</w:t>
      </w:r>
      <w:r>
        <w:rPr>
          <w:rFonts w:hint="eastAsia" w:ascii="宋体" w:hAnsi="宋体" w:eastAsia="宋体" w:cs="宋体"/>
          <w:i w:val="0"/>
          <w:iCs w:val="0"/>
          <w:caps w:val="0"/>
          <w:color w:val="auto"/>
          <w:spacing w:val="0"/>
          <w:kern w:val="0"/>
          <w:sz w:val="24"/>
          <w:szCs w:val="24"/>
          <w:shd w:val="clear" w:color="auto" w:fill="FFFFFF"/>
          <w:lang w:val="en-US" w:eastAsia="zh-CN" w:bidi="ar"/>
        </w:rPr>
        <w:t>中标人对食堂工作人员的要求：保证投入不少于6名的专业工作人员，其中不少于2名具有饭堂烹饪经验的厨师，不少于3名其他服务人员，设置1名项目负责人，负责饭堂食材监督及卫生管理，以及饭堂全天候日常管理，制定落实各项管理制度，明确落实各项操作流程，负责饭堂全面管理，对卫生、品质、出品、厨房工作人员的管理，具有该餐饮行业经验，负责用餐人员的售前售后沟通相关事宜。。</w:t>
      </w:r>
    </w:p>
    <w:p w14:paraId="184018D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3.2</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确保餐饮服务项目员工的稳定性以保证项目的服务质量。未经业主方同意，中选服务商不得随意更换本项目负责人。因故需要更换时，中选服务商应至少提前一周向业主方主管部门提出书面申请，并经业主方主管部门同意后方可更换。</w:t>
      </w:r>
    </w:p>
    <w:p w14:paraId="0D4DDB2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3.3</w:t>
      </w:r>
      <w:r>
        <w:rPr>
          <w:rFonts w:hint="eastAsia" w:ascii="宋体" w:hAnsi="宋体" w:eastAsia="宋体" w:cs="宋体"/>
          <w:i w:val="0"/>
          <w:iCs w:val="0"/>
          <w:caps w:val="0"/>
          <w:color w:val="auto"/>
          <w:spacing w:val="0"/>
          <w:kern w:val="0"/>
          <w:sz w:val="24"/>
          <w:szCs w:val="24"/>
          <w:shd w:val="clear" w:color="auto" w:fill="FFFFFF"/>
          <w:lang w:val="en-US" w:eastAsia="zh-CN" w:bidi="ar"/>
        </w:rPr>
        <w:t>项目负责人应坚守岗位，每年在正常工作时间离开医院累积不得超过10天。如因故需临时离开医院或休息1天以内的（含1天），中选服务商应以电话、微信等方式向业主方主管部门请假，离开医院1天以上的（不含1天），应向业主方主管部门提交书面请假单，请假获批离开医院前应提前安排好现场工作。</w:t>
      </w:r>
    </w:p>
    <w:p w14:paraId="7F0BAF1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3.4</w:t>
      </w:r>
      <w:r>
        <w:rPr>
          <w:rFonts w:hint="eastAsia" w:ascii="宋体" w:hAnsi="宋体" w:eastAsia="宋体" w:cs="宋体"/>
          <w:i w:val="0"/>
          <w:iCs w:val="0"/>
          <w:caps w:val="0"/>
          <w:color w:val="auto"/>
          <w:spacing w:val="0"/>
          <w:kern w:val="0"/>
          <w:sz w:val="24"/>
          <w:szCs w:val="24"/>
          <w:shd w:val="clear" w:color="auto" w:fill="FFFFFF"/>
          <w:lang w:val="en-US" w:eastAsia="zh-CN" w:bidi="ar"/>
        </w:rPr>
        <w:t>如中选服务商委派的项目负责人不符合要求的（有事实依据证明不能胜任管理岗位），业主方有权要求中选服务商更换该项目管理人员至合格为止。中选服务商接到业主方书面换人通知后，应在15天内更换合格的项目管理人员到位，逾期不更换或更换的项目管理人员仍不符合要求的，业主方有权单方终止合同。</w:t>
      </w:r>
    </w:p>
    <w:p w14:paraId="745162A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3.5</w:t>
      </w:r>
      <w:r>
        <w:rPr>
          <w:rFonts w:hint="eastAsia" w:ascii="宋体" w:hAnsi="宋体" w:eastAsia="宋体" w:cs="宋体"/>
          <w:i w:val="0"/>
          <w:iCs w:val="0"/>
          <w:caps w:val="0"/>
          <w:color w:val="auto"/>
          <w:spacing w:val="0"/>
          <w:kern w:val="0"/>
          <w:sz w:val="24"/>
          <w:szCs w:val="24"/>
          <w:shd w:val="clear" w:color="auto" w:fill="FFFFFF"/>
          <w:lang w:val="en-US" w:eastAsia="zh-CN" w:bidi="ar"/>
        </w:rPr>
        <w:t>项目负责人应每天到现场跟进每个岗位员工的工作情况，及时解决员工在工作中遇到的困难或问题，并与所在科室沟通协调和及时反馈。每周、每月进行饭堂卫生管理、服务质量自查，并记录在案，做好资料归档整理，服务质量不符合要求的实行持续改进和限期整改。</w:t>
      </w:r>
    </w:p>
    <w:p w14:paraId="5E9CDC5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3.6</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确保各岗位员工的相对固定，以保证现场服务质量。如有员工离职、休息或生病等原因导致现场员工变动的，项目负责人应提前安排好岗位工作。所有新上岗人员至少进行2天培训并通过考核后方可上岗，新上岗员工的工作，特别是涉及对外窗口的（如收银），项目负责人应加强指导和监督。因新上岗人员服务质量不合格，业主方有权视问题的严重情况，对中选服务商进行1000-2000元的扣罚。</w:t>
      </w:r>
    </w:p>
    <w:p w14:paraId="517E84C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3.7</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中选服务商应保证员工每月正常休息时间，确保员工的身心健康。</w:t>
      </w:r>
    </w:p>
    <w:p w14:paraId="42AAAC9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3.8</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的员工应严格遵守医院各项规章制度、疫情管控措施及操作规程，员工上班期间穿着统一的工作服、规范佩戴帽子、口罩，佩戴工牌，仪表、仪容整洁。上班时间不得穿短裤、背心、睡衣、拖鞋、高跟鞋等。</w:t>
      </w:r>
    </w:p>
    <w:p w14:paraId="1BB33E04">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3.9</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中选服务商的员工应接受业主方的监督和管理，必须使用文明用语，做到文明服务，礼貌待人。工作认真、责任心强，尊重顾客，中选服务商的员工严禁将本人持有的门禁卡、工牌、饭卡借给他人使用。</w:t>
      </w:r>
    </w:p>
    <w:p w14:paraId="3C4F4AF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3.10</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中选服务商的员工严禁聚众聊天、吵闹、打架、拉帮结派、聚集赌博、喝酒、煽动闹事等不良行为，此等行为产生的一切后果及责任由中选服务商承担。</w:t>
      </w:r>
    </w:p>
    <w:p w14:paraId="436EA75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3.11</w:t>
      </w:r>
      <w:r>
        <w:rPr>
          <w:rFonts w:hint="eastAsia" w:ascii="宋体" w:hAnsi="宋体" w:eastAsia="宋体" w:cs="宋体"/>
          <w:i w:val="0"/>
          <w:iCs w:val="0"/>
          <w:caps w:val="0"/>
          <w:color w:val="auto"/>
          <w:spacing w:val="0"/>
          <w:kern w:val="0"/>
          <w:sz w:val="24"/>
          <w:szCs w:val="24"/>
          <w:shd w:val="clear" w:color="auto" w:fill="FFFFFF"/>
          <w:lang w:val="en-US" w:eastAsia="zh-CN" w:bidi="ar"/>
        </w:rPr>
        <w:t>不在岗员工不得在医院内逗留、留宿和招揽私活等行为，严禁将家属、朋友等无关人员带到工作场所。</w:t>
      </w:r>
    </w:p>
    <w:p w14:paraId="299063C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3.12</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的员工应自觉维护医院信誉，爱护医院公物，节约用水、用电；不得私自使用医院各类设备设施，不得将医院的财物（包括开水、纸皮、胶瓶等废品）带离医院，严禁擅自偷窃、倒卖医院财物、废品和饭菜等，严禁违规收集和买卖医疗废物，否则将视为盗窃交由公安部门处置。</w:t>
      </w:r>
    </w:p>
    <w:p w14:paraId="23CC019F">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3.13</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的员工上班期间应坚守岗位，不得迟到、早退，不得脱岗、串岗，不得擅自离开岗位（如因临时有事离开需要向项目负责人请假，并安排有人顶岗后方可离开，未经项目负责人批准私自离岗的按缺岗处理。</w:t>
      </w:r>
    </w:p>
    <w:p w14:paraId="3B609A3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cs="宋体"/>
          <w:i w:val="0"/>
          <w:iCs w:val="0"/>
          <w:caps w:val="0"/>
          <w:color w:val="auto"/>
          <w:spacing w:val="0"/>
          <w:kern w:val="0"/>
          <w:sz w:val="24"/>
          <w:szCs w:val="24"/>
          <w:shd w:val="clear" w:color="auto" w:fill="FFFFFF"/>
          <w:lang w:val="en-US" w:eastAsia="zh-CN" w:bidi="ar"/>
        </w:rPr>
        <w:t>3.14</w:t>
      </w:r>
      <w:r>
        <w:rPr>
          <w:rFonts w:hint="eastAsia" w:ascii="宋体" w:hAnsi="宋体" w:eastAsia="宋体" w:cs="宋体"/>
          <w:i w:val="0"/>
          <w:iCs w:val="0"/>
          <w:caps w:val="0"/>
          <w:color w:val="auto"/>
          <w:spacing w:val="0"/>
          <w:kern w:val="0"/>
          <w:sz w:val="24"/>
          <w:szCs w:val="24"/>
          <w:shd w:val="clear" w:color="auto" w:fill="FFFFFF"/>
          <w:lang w:val="en-US" w:eastAsia="zh-CN" w:bidi="ar"/>
        </w:rPr>
        <w:t>中选服务商应制订员工的培训计划并实施。内容包括但不限于操作流程、食品安全，消防安全、卫生知识、疫情防控相关知识等，每月对全体员工培训不少于两次，使员工熟练掌握各项专业技能和提高个人素养等。中选服务商应建立员工培训档案并做好记录，培训照片存档备查。</w:t>
      </w:r>
    </w:p>
    <w:p w14:paraId="39D872FF">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中选服务商所有员工应服务态度好，品行良好。身体健康并能胜任岗位的工作，无传染性疾病（必须进行入职体检）、无违法犯罪记录（员工入职前中选服务商应将人员名单提交给当地派出所核查，核查无犯罪记录后才可入职，否则所造成的一切后果及责任由中选服务商承担）。所有人员名单应提交给医院主管部门备案。（提供承诺函）</w:t>
      </w:r>
    </w:p>
    <w:p w14:paraId="5BB5BAE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★5、 中选服务商必须遵守国家相关法律法规，遵守医院的规章制度，合法经营，按章纳税，中选服务商入场前必须为该项目购买相应的食品、财产和人身安全保险，并将该保险复印件提交给业主方备案。中选服务商对经营过程所发生的一切安全责任、债务、劳资纠纷和各种意外事件及其造成的后果负责。</w:t>
      </w:r>
    </w:p>
    <w:p w14:paraId="1564962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6、中选服务商的法人为食堂消防、治安、食品卫生及安全生产的第一责任人，做好饭堂的消防安全工作，按照国家消防安全标准安装和配置必要的性能完好的消防设施设备，并定期接受业主方及相关机构的监督检查。食堂内发生的消防安全及设备、燃气、油烟系统、电源（炉灶、各种炊事设备）等事故，由中选服务商承担一切责任。</w:t>
      </w:r>
    </w:p>
    <w:p w14:paraId="4D56922F">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7、中选服务商不得将食堂私自转让或委托他人经营，更不能利用业主方资源进行非法经营，一经发现，业主方有权取消其承包资格，并给予经济处罚或追究法律责任。</w:t>
      </w:r>
    </w:p>
    <w:p w14:paraId="752A66C9">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8、中选服务商所采购、制作、销售的食品质量要求必须符合国家的卫生、安全标准，并对其食品负责，并承担其造成的一切后果。因承包者责任造成食物中毒、消防安全或其他安全责任事故等造成严重事故的，业主方有权单方终止合同并保留追究责任的权利。如</w:t>
      </w:r>
      <w:r>
        <w:rPr>
          <w:rFonts w:hint="eastAsia" w:ascii="宋体" w:hAnsi="宋体" w:eastAsia="宋体" w:cs="宋体"/>
          <w:i w:val="0"/>
          <w:iCs w:val="0"/>
          <w:caps w:val="0"/>
          <w:color w:val="auto"/>
          <w:spacing w:val="0"/>
          <w:kern w:val="0"/>
          <w:sz w:val="24"/>
          <w:szCs w:val="24"/>
          <w:shd w:val="clear" w:color="auto" w:fill="FFFFFF"/>
          <w:lang w:val="zh-CN" w:eastAsia="zh-CN" w:bidi="ar"/>
        </w:rPr>
        <w:t>对业主方造成财产或声誉损害的，中选服务商应承担赔偿责任。</w:t>
      </w:r>
    </w:p>
    <w:p w14:paraId="4E1F4A7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9、 中选服务商必须在指定场地和区域内进行生产和经营，严禁在医疗区域兜售食物。</w:t>
      </w:r>
    </w:p>
    <w:p w14:paraId="4404E835">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10、中选服务商所从事的任何业务不能以</w:t>
      </w:r>
      <w:r>
        <w:rPr>
          <w:rFonts w:hint="eastAsia" w:ascii="宋体" w:hAnsi="宋体" w:cs="宋体"/>
          <w:i w:val="0"/>
          <w:iCs w:val="0"/>
          <w:caps w:val="0"/>
          <w:color w:val="auto"/>
          <w:spacing w:val="0"/>
          <w:kern w:val="0"/>
          <w:sz w:val="24"/>
          <w:szCs w:val="24"/>
          <w:shd w:val="clear" w:color="auto" w:fill="FFFFFF"/>
          <w:lang w:val="en-US" w:eastAsia="zh-CN" w:bidi="ar"/>
        </w:rPr>
        <w:t>东升</w:t>
      </w:r>
      <w:r>
        <w:rPr>
          <w:rFonts w:hint="eastAsia" w:ascii="宋体" w:hAnsi="宋体" w:eastAsia="宋体" w:cs="宋体"/>
          <w:i w:val="0"/>
          <w:iCs w:val="0"/>
          <w:caps w:val="0"/>
          <w:color w:val="auto"/>
          <w:spacing w:val="0"/>
          <w:kern w:val="0"/>
          <w:sz w:val="24"/>
          <w:szCs w:val="24"/>
          <w:shd w:val="clear" w:color="auto" w:fill="FFFFFF"/>
          <w:lang w:val="en-US" w:eastAsia="zh-CN" w:bidi="ar"/>
        </w:rPr>
        <w:t>医院名义对外发布，禁止张贴出现有法律规定在医疗单位不得出现的标志、标识等（如香烟广告等）。</w:t>
      </w:r>
    </w:p>
    <w:p w14:paraId="46EA1F6F">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 xml:space="preserve">11、中选服务商不得在经营区域内储存任何易燃、易爆、腐蚀性物品及其他危险物品，严禁销售奶瓶、奶嘴、烟草、酒品及国家禁止的药品、伪劣产品及超出经营范围的商品。 </w:t>
      </w:r>
    </w:p>
    <w:p w14:paraId="239DE9DB">
      <w:pPr>
        <w:spacing w:line="360" w:lineRule="auto"/>
        <w:ind w:firstLine="480" w:firstLineChars="2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12、业主方提供的基础设备、设施等，由中选服务商负责维护和保养，如有损坏或需要维修，由中选服务商负责。</w:t>
      </w:r>
    </w:p>
    <w:p w14:paraId="2596C1A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★13、中选服务商必须加强对雇用员工的教育与管理，严禁在医院进行非法活动，中选服务商员工所发生的一切纠纷或意外事故由中选服务商负责。</w:t>
      </w:r>
    </w:p>
    <w:p w14:paraId="512CBC0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14、中选服务商必须文明守法，按章纳税，随时接受业主方及政府行政管理部门、治安、消防管理部门的监督和检查。</w:t>
      </w:r>
    </w:p>
    <w:p w14:paraId="0332CEB6">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15、中选服务商的员工应遵守餐饮操作规范、法律法规及医院的规章制度要求。员工应注意个人卫生，勤洗手，每天勤换衣着整齐干净，接触食品的员工在工作时戴帽子（头发不得外露）、口罩等，不得佩戴戒指、手镯等饰品。所有员工必须通过培训后，持有健康证方可上岗，患有国家规定的传染病者严禁上岗，患有发热、腹泻、手部皮肤有伤口或感染等情况的员工应立即脱离工作岗位，并在治疗至痊愈或污染食品的可能被排除后，方可恢复上岗。员工必须每年体检一次，体检等费用由承包者负责。</w:t>
      </w:r>
    </w:p>
    <w:p w14:paraId="1D158226">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16、中选服务商必须按照《中华人民共和国劳动合同法》等国家法律法规为所有员工缴纳各种社会保险（包括养老、医疗、工伤、生育保险、失业保险等），中选服务商与其员工发生的劳资纠纷、疾病、工伤等一切纠纷、责任事件由中选服务商负责。因中选服务商过失造成严重事故的，业主方有权单方终止合同并保留追究责任的权利。</w:t>
      </w:r>
    </w:p>
    <w:p w14:paraId="4EC6EA90">
      <w:pPr>
        <w:spacing w:line="360" w:lineRule="auto"/>
        <w:ind w:firstLine="480" w:firstLineChars="200"/>
        <w:rPr>
          <w:rFonts w:hint="eastAsia" w:ascii="宋体" w:hAnsi="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17、中选服务商根据三甲医院评审的服务要求，制定并不断完善食品操作（准备、处理、贮存、运送、留样等）标准与程序、员工岗位职责及食品安全相关管理制度，在适当位置加设公示牌，列明工作要求以及管理方法。积极配合业主方或公安、消防、安监、食品安全、卫生防疫等部门做好卫生、食品安全、消防安全的宣传及管理工作。响应服务商生产、运输及机构内分送场所的设施与卫生条件符合国家食品卫生法规要求，有突发食品安全事件、消防等应急预案</w:t>
      </w:r>
      <w:r>
        <w:rPr>
          <w:rFonts w:hint="eastAsia" w:ascii="宋体" w:hAnsi="宋体" w:cs="宋体"/>
          <w:i w:val="0"/>
          <w:iCs w:val="0"/>
          <w:caps w:val="0"/>
          <w:color w:val="auto"/>
          <w:spacing w:val="0"/>
          <w:kern w:val="0"/>
          <w:sz w:val="24"/>
          <w:szCs w:val="24"/>
          <w:shd w:val="clear" w:color="auto" w:fill="FFFFFF"/>
          <w:lang w:val="en-US" w:eastAsia="zh-CN" w:bidi="ar"/>
        </w:rPr>
        <w:t>。</w:t>
      </w:r>
    </w:p>
    <w:p w14:paraId="10BD6DB5">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18、中选服务商应建立完善的投诉事件处理制度与流程，工作人员应有良好的服务态度，及时解决医院职工或患者及家属反映的问题，确保职工满意度、患者满意度达到8</w:t>
      </w:r>
      <w:r>
        <w:rPr>
          <w:rFonts w:hint="eastAsia" w:ascii="宋体" w:hAnsi="宋体" w:cs="宋体"/>
          <w:i w:val="0"/>
          <w:iCs w:val="0"/>
          <w:caps w:val="0"/>
          <w:color w:val="auto"/>
          <w:spacing w:val="0"/>
          <w:kern w:val="0"/>
          <w:sz w:val="24"/>
          <w:szCs w:val="24"/>
          <w:shd w:val="clear" w:color="auto" w:fill="FFFFFF"/>
          <w:lang w:val="en-US" w:eastAsia="zh-CN" w:bidi="ar"/>
        </w:rPr>
        <w:t>0</w:t>
      </w:r>
      <w:r>
        <w:rPr>
          <w:rFonts w:hint="eastAsia" w:ascii="宋体" w:hAnsi="宋体" w:eastAsia="宋体" w:cs="宋体"/>
          <w:i w:val="0"/>
          <w:iCs w:val="0"/>
          <w:caps w:val="0"/>
          <w:color w:val="auto"/>
          <w:spacing w:val="0"/>
          <w:kern w:val="0"/>
          <w:sz w:val="24"/>
          <w:szCs w:val="24"/>
          <w:shd w:val="clear" w:color="auto" w:fill="FFFFFF"/>
          <w:lang w:val="en-US" w:eastAsia="zh-CN" w:bidi="ar"/>
        </w:rPr>
        <w:t>%以上。禁止与医院员工、患者及家属发生争吵或冲突。凡是经核实的投诉，按</w:t>
      </w:r>
      <w:r>
        <w:rPr>
          <w:rFonts w:hint="eastAsia" w:ascii="宋体" w:hAnsi="宋体" w:cs="宋体"/>
          <w:i w:val="0"/>
          <w:iCs w:val="0"/>
          <w:caps w:val="0"/>
          <w:color w:val="auto"/>
          <w:spacing w:val="0"/>
          <w:kern w:val="0"/>
          <w:sz w:val="24"/>
          <w:szCs w:val="24"/>
          <w:shd w:val="clear" w:color="auto" w:fill="FFFFFF"/>
          <w:lang w:val="en-US" w:eastAsia="zh-CN" w:bidi="ar"/>
        </w:rPr>
        <w:t>500</w:t>
      </w:r>
      <w:r>
        <w:rPr>
          <w:rFonts w:hint="eastAsia" w:ascii="宋体" w:hAnsi="宋体" w:eastAsia="宋体" w:cs="宋体"/>
          <w:i w:val="0"/>
          <w:iCs w:val="0"/>
          <w:caps w:val="0"/>
          <w:color w:val="auto"/>
          <w:spacing w:val="0"/>
          <w:kern w:val="0"/>
          <w:sz w:val="24"/>
          <w:szCs w:val="24"/>
          <w:shd w:val="clear" w:color="auto" w:fill="FFFFFF"/>
          <w:lang w:val="en-US" w:eastAsia="zh-CN" w:bidi="ar"/>
        </w:rPr>
        <w:t>元/次进行处罚。</w:t>
      </w:r>
    </w:p>
    <w:p w14:paraId="10C376DF">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19、不断完善各项管理规章制度、人力资源管理方案、具体的日常岗位工作安排、应急管理方案、员工管理制度和奖惩等职责制度并提交给招标人备案，招标人有权要求修订相关制度并监督执行，有权查阅中选服务商的财务状况及财务报表。</w:t>
      </w:r>
    </w:p>
    <w:p w14:paraId="61AEA2A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20、做好台账记录，包括餐具消毒记录、响应服务商资质台账、餐厨垃圾收运记录等，按要求定时整理和归档资料，妥善保存，以备检查。</w:t>
      </w:r>
    </w:p>
    <w:p w14:paraId="667C852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21、按照</w:t>
      </w:r>
      <w:r>
        <w:rPr>
          <w:rFonts w:hint="eastAsia" w:ascii="宋体" w:hAnsi="宋体" w:cs="宋体"/>
          <w:i w:val="0"/>
          <w:iCs w:val="0"/>
          <w:caps w:val="0"/>
          <w:color w:val="auto"/>
          <w:spacing w:val="0"/>
          <w:kern w:val="0"/>
          <w:sz w:val="24"/>
          <w:szCs w:val="24"/>
          <w:shd w:val="clear" w:color="auto" w:fill="FFFFFF"/>
          <w:lang w:val="en-US" w:eastAsia="zh-CN" w:bidi="ar"/>
        </w:rPr>
        <w:t>二</w:t>
      </w:r>
      <w:r>
        <w:rPr>
          <w:rFonts w:hint="eastAsia" w:ascii="宋体" w:hAnsi="宋体" w:eastAsia="宋体" w:cs="宋体"/>
          <w:i w:val="0"/>
          <w:iCs w:val="0"/>
          <w:caps w:val="0"/>
          <w:color w:val="auto"/>
          <w:spacing w:val="0"/>
          <w:kern w:val="0"/>
          <w:sz w:val="24"/>
          <w:szCs w:val="24"/>
          <w:shd w:val="clear" w:color="auto" w:fill="FFFFFF"/>
          <w:lang w:val="en-US" w:eastAsia="zh-CN" w:bidi="ar"/>
        </w:rPr>
        <w:t>甲医院的管理要求，开展持续改进。包括对医院反馈问题整改落实措施、效果，定期总结并书面向招标人汇报。</w:t>
      </w:r>
    </w:p>
    <w:p w14:paraId="2288352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22、节能环保要求。</w:t>
      </w:r>
    </w:p>
    <w:p w14:paraId="0406F22D">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①协助业主方创建国家型节约能源公共机构的相关工作，积极开展节能工作，做到节能减排、绿色环保。</w:t>
      </w:r>
    </w:p>
    <w:p w14:paraId="5259624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②实行绿色采购，严格执行国家有关强制采购或优先采购节能产品和技术的规定，采购列入《节能产品政府采购清单》、《环境标志产品政府采购清单》的产品和能效“领跑者”产品。</w:t>
      </w:r>
    </w:p>
    <w:p w14:paraId="7F379AEF">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③采取减少一次性餐具使用的措施。禁止、限制使用不可降解塑料袋、一次性塑料餐具，积极推广使用符合性能和食品安全要求的生物基产品、可降解塑料袋等替代产品，不向顾客主动提供一次性餐具用品，中选服务商的环保节能工作纳入日常考核，一次性餐具须使用环保符合卫生且可回收的餐具（具有环保符号），不得使用发泡产品，须提供样品样本供业主方确认后方可使用。</w:t>
      </w:r>
    </w:p>
    <w:p w14:paraId="4F866D5E">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④中选服务商的服务及所使用的物品、用具、材料不得违反国家有关环卫、环保相关制度和管理规定，不得对医院的环境造成二次污染；业主方有权对相关事宜进行检查和评估，有权拒绝使用不符合标准的材料，并进行一定金额处罚。</w:t>
      </w:r>
    </w:p>
    <w:p w14:paraId="70FEE84F">
      <w:pPr>
        <w:spacing w:line="360" w:lineRule="auto"/>
        <w:ind w:firstLine="480" w:firstLineChars="2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★23、业主方提供现有的设备、设施给中选服务商使用，中选服务商必须爱护业主方提供的各项设备、设施。</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 xml:space="preserve"> 经业主方盘点后开列清单提供给中选服务商使用，维</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护</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费用由中选服务商</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承担</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；合同期满后，中选服务商应按清单记载内容将相关设施设备完好交回于业主方，并在双方参加下做好交接手续。</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中选服务商需要对承包区域进行装修、改造等改动时，必须书面征得业主方同意后方可实施，所产生的费用由中选服务商负责。</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添置或更新设施由响应服务商负责，费用自理。</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中选服务商经营期间必须保证房屋、基础建设及设备设施的完好性，如有损坏由中选服务商负责相应的费用。承包期满</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响应服务商撤场后10个工作日内，</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中选服务商可以拆除属于中选服务商的可移动的设备、设施，</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
        </w:rPr>
        <w:t>但处置后不得遗留安全隐患，逾期不处理的，归业主方所有。</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固定的、不能拆卸的设备设施不得拆除、破坏，业主方不承担其转让工作。</w:t>
      </w:r>
    </w:p>
    <w:p w14:paraId="3F3194AE">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24、中选服务商必须密切配合业主方的工作需要，对医院临时交付的任务能按要求完成并配合接受上级部门的检查。</w:t>
      </w:r>
    </w:p>
    <w:p w14:paraId="1D1D3A86">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25、中选服务商不得将餐厅私自转让（含窗口分包）或委托他人经营，更不能在公司内搞不法经营，不得对外经营。</w:t>
      </w:r>
    </w:p>
    <w:p w14:paraId="155C545C">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26、中选服务商负责承包区域治安保卫、安全防火、防盗等工作，服从业主方的统一管理，确保安全无事故。</w:t>
      </w:r>
    </w:p>
    <w:p w14:paraId="345A148A">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27、响应服务商应提供舒适的就餐环境，当温度≥28℃时应保证空调的正常开启，并定期检查空调、风扇等降温设备的完好性。</w:t>
      </w:r>
    </w:p>
    <w:p w14:paraId="7620870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28、中选服务商应落实业主方、政府机关、其他上级管理部门下达的关于安全生产、食品安全、节能降耗等方面文件要求，如有改革应积极执行，相关费用由中选服务商自行承担。</w:t>
      </w:r>
    </w:p>
    <w:p w14:paraId="72AC160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29、业主方有特殊任务或应急事件等情况需要紧急提供餐饮服务时，如突发事件、上级检查、业主方重要的大型活动、业主方认为重要的其他事件等，中选服务商及其员工应积极配合和服从业主方的调遣、指挥并参与应急或加班工作，费用不另外追加。</w:t>
      </w:r>
    </w:p>
    <w:p w14:paraId="0F20F281">
      <w:pPr>
        <w:spacing w:line="360" w:lineRule="auto"/>
        <w:ind w:firstLine="480" w:firstLineChars="200"/>
        <w:rPr>
          <w:rFonts w:ascii="宋体" w:hAnsi="宋体"/>
          <w:bCs/>
          <w:color w:val="auto"/>
          <w:szCs w:val="21"/>
          <w:highlight w:val="none"/>
        </w:rPr>
      </w:pPr>
      <w:r>
        <w:rPr>
          <w:rFonts w:hint="eastAsia" w:ascii="宋体" w:hAnsi="宋体" w:eastAsia="宋体" w:cs="宋体"/>
          <w:i w:val="0"/>
          <w:iCs w:val="0"/>
          <w:caps w:val="0"/>
          <w:color w:val="auto"/>
          <w:spacing w:val="0"/>
          <w:kern w:val="0"/>
          <w:sz w:val="24"/>
          <w:szCs w:val="24"/>
          <w:shd w:val="clear" w:color="auto" w:fill="FFFFFF"/>
          <w:lang w:val="en-US" w:eastAsia="zh-CN" w:bidi="ar"/>
        </w:rPr>
        <w:t>▲30、合同终止时，中选服务商应将业主方所需保存的所有培训资料（签到表、培训内容、培训总结、培训照片等）及经营、管理原始资料移交给业主方，并完成所有交接手续后方可撤场。</w:t>
      </w:r>
    </w:p>
    <w:p w14:paraId="500A5675">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七、监督管理要求：</w:t>
      </w:r>
    </w:p>
    <w:p w14:paraId="425A7116">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1、中选服务商及员工必须配合业主方主管部门的监督与考核（考核方案详见附表），不得以任何理由拒绝或阻挠，并应根据考核提出的合理建议和要求进行改进，如果有异议的可以在两天内向业主方主管部门提出。</w:t>
      </w:r>
    </w:p>
    <w:p w14:paraId="74CA5292">
      <w:pPr>
        <w:spacing w:line="360" w:lineRule="auto"/>
        <w:ind w:firstLine="480" w:firstLineChars="2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★2、中选服务商应配合业主方的价格监督。中选服务商</w:t>
      </w:r>
      <w:r>
        <w:rPr>
          <w:rFonts w:hint="eastAsia" w:ascii="宋体" w:hAnsi="宋体" w:cs="宋体"/>
          <w:i w:val="0"/>
          <w:iCs w:val="0"/>
          <w:caps w:val="0"/>
          <w:color w:val="auto"/>
          <w:spacing w:val="0"/>
          <w:kern w:val="0"/>
          <w:sz w:val="24"/>
          <w:szCs w:val="24"/>
          <w:highlight w:val="none"/>
          <w:shd w:val="clear" w:color="auto" w:fill="FFFFFF"/>
          <w:lang w:val="en-US" w:eastAsia="zh-CN" w:bidi="ar"/>
        </w:rPr>
        <w:t>做好</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原材料的采购票据及凭证、成本明细报表（不得弄虚作假）、售价（定价方案等）</w:t>
      </w:r>
      <w:r>
        <w:rPr>
          <w:rFonts w:hint="eastAsia" w:ascii="宋体" w:hAnsi="宋体" w:cs="宋体"/>
          <w:i w:val="0"/>
          <w:iCs w:val="0"/>
          <w:caps w:val="0"/>
          <w:color w:val="auto"/>
          <w:spacing w:val="0"/>
          <w:kern w:val="0"/>
          <w:sz w:val="24"/>
          <w:szCs w:val="24"/>
          <w:highlight w:val="none"/>
          <w:shd w:val="clear" w:color="auto" w:fill="FFFFFF"/>
          <w:lang w:val="en-US" w:eastAsia="zh-CN" w:bidi="ar"/>
        </w:rPr>
        <w:t>等档案，</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业主方</w:t>
      </w:r>
      <w:r>
        <w:rPr>
          <w:rFonts w:hint="eastAsia" w:ascii="宋体" w:hAnsi="宋体" w:cs="宋体"/>
          <w:i w:val="0"/>
          <w:iCs w:val="0"/>
          <w:caps w:val="0"/>
          <w:color w:val="auto"/>
          <w:spacing w:val="0"/>
          <w:kern w:val="0"/>
          <w:sz w:val="24"/>
          <w:szCs w:val="24"/>
          <w:highlight w:val="none"/>
          <w:shd w:val="clear" w:color="auto" w:fill="FFFFFF"/>
          <w:lang w:val="en-US" w:eastAsia="zh-CN" w:bidi="ar"/>
        </w:rPr>
        <w:t>不定期进行检查</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，一旦发现有私自提价或乱收费的现象，扣罚2000元/次。一旦发现中选服务商的利润高于规定的利润者，视情况予以扣罚</w:t>
      </w:r>
      <w:r>
        <w:rPr>
          <w:rFonts w:hint="eastAsia" w:ascii="宋体" w:hAnsi="宋体" w:cs="宋体"/>
          <w:i w:val="0"/>
          <w:iCs w:val="0"/>
          <w:caps w:val="0"/>
          <w:color w:val="auto"/>
          <w:spacing w:val="0"/>
          <w:kern w:val="0"/>
          <w:sz w:val="24"/>
          <w:szCs w:val="24"/>
          <w:highlight w:val="none"/>
          <w:shd w:val="clear" w:color="auto" w:fill="FFFFFF"/>
          <w:lang w:val="en-US" w:eastAsia="zh-CN" w:bidi="ar"/>
        </w:rPr>
        <w:t>5000</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元/次并立即调价至要求的范围内。</w:t>
      </w:r>
    </w:p>
    <w:p w14:paraId="2D101776">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3、中选服务商应将公司管理人员信息及员工名单、健康证复印件提交给业主方主管部门备案。中选服务商不得因人员配备不足而影响服务质量，业主方主管部门发现每次扣罚1000元。监管过程中发现有未办健康证就入职的员工或健康证过期未及时更换，扣罚500元/人/次。</w:t>
      </w:r>
    </w:p>
    <w:p w14:paraId="2D08D3D0">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4、中选服务商应制定应对投诉、食品质量、食物中毒等不良事件的处理流程，员工应掌握不良事件上报流程及处理方法，中选服务商接到投诉或有争议的不良事件时，管理人员应1小时内赶到现场进行调查和处理（应急事件在2小时内，一般事件1天内完成处理措施，将损害减到最小），不良事件处理结束后，应填写《不良事件追踪调查表》，对事件进行原因分析及持续改进，以免类似情况再次发生，并在3天内将《不良事件追踪调查表》交给业主方主管部门。一旦出现严重的服务缺陷投诉、食品、安全质量事故，中选服务商还须承担相应的责任外，扣罚</w:t>
      </w:r>
      <w:r>
        <w:rPr>
          <w:rFonts w:hint="eastAsia" w:ascii="宋体" w:hAnsi="宋体" w:cs="宋体"/>
          <w:i w:val="0"/>
          <w:iCs w:val="0"/>
          <w:caps w:val="0"/>
          <w:color w:val="auto"/>
          <w:spacing w:val="0"/>
          <w:kern w:val="0"/>
          <w:sz w:val="24"/>
          <w:szCs w:val="24"/>
          <w:shd w:val="clear" w:color="auto" w:fill="FFFFFF"/>
          <w:lang w:val="en-US" w:eastAsia="zh-CN" w:bidi="ar"/>
        </w:rPr>
        <w:t>2000-3000</w:t>
      </w:r>
      <w:r>
        <w:rPr>
          <w:rFonts w:hint="eastAsia" w:ascii="宋体" w:hAnsi="宋体" w:eastAsia="宋体" w:cs="宋体"/>
          <w:i w:val="0"/>
          <w:iCs w:val="0"/>
          <w:caps w:val="0"/>
          <w:color w:val="auto"/>
          <w:spacing w:val="0"/>
          <w:kern w:val="0"/>
          <w:sz w:val="24"/>
          <w:szCs w:val="24"/>
          <w:shd w:val="clear" w:color="auto" w:fill="FFFFFF"/>
          <w:lang w:val="en-US" w:eastAsia="zh-CN" w:bidi="ar"/>
        </w:rPr>
        <w:t>元/次。</w:t>
      </w:r>
    </w:p>
    <w:p w14:paraId="171FAC0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5、中选服务商应管理好所属员工，必须遵守国家有关法律法规和业主方的劳动纪律，所属员工发生的一切投诉、纠纷和法律事件，一概由中选服务商承担。若因中选服务商管理不善、控制不力而发生中选服务商员工群体游行、示威、罢工等重大事件且造成严重影响的，每次扣罚20000元。在合同期内累计发生两次重大事件，业主方有权根据具体情况决定单方解除合同，并没收履约保证金。</w:t>
      </w:r>
    </w:p>
    <w:p w14:paraId="17E5E8E8">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6、服务质量考评：</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业主方每</w:t>
      </w:r>
      <w:r>
        <w:rPr>
          <w:rFonts w:hint="eastAsia" w:ascii="宋体" w:hAnsi="宋体" w:cs="宋体"/>
          <w:i w:val="0"/>
          <w:iCs w:val="0"/>
          <w:caps w:val="0"/>
          <w:color w:val="auto"/>
          <w:spacing w:val="0"/>
          <w:kern w:val="0"/>
          <w:sz w:val="24"/>
          <w:szCs w:val="24"/>
          <w:highlight w:val="none"/>
          <w:shd w:val="clear" w:color="auto" w:fill="FFFFFF"/>
          <w:lang w:val="en-US" w:eastAsia="zh-CN" w:bidi="ar"/>
        </w:rPr>
        <w:t>季度</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根据《</w:t>
      </w:r>
      <w:r>
        <w:rPr>
          <w:rFonts w:hint="eastAsia" w:ascii="宋体" w:hAnsi="宋体" w:cs="宋体"/>
          <w:i w:val="0"/>
          <w:iCs w:val="0"/>
          <w:caps w:val="0"/>
          <w:color w:val="auto"/>
          <w:spacing w:val="0"/>
          <w:kern w:val="0"/>
          <w:sz w:val="24"/>
          <w:szCs w:val="24"/>
          <w:highlight w:val="none"/>
          <w:shd w:val="clear" w:color="auto" w:fill="FFFFFF"/>
          <w:lang w:val="en-US" w:eastAsia="zh-CN" w:bidi="ar"/>
        </w:rPr>
        <w:t>东升</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医院饭堂服务质量监督检查记录表》（详见附表）对中选服务商的服务质量进行考评</w:t>
      </w:r>
      <w:r>
        <w:rPr>
          <w:rFonts w:hint="eastAsia" w:ascii="宋体" w:hAnsi="宋体" w:eastAsia="宋体" w:cs="宋体"/>
          <w:i w:val="0"/>
          <w:iCs w:val="0"/>
          <w:caps w:val="0"/>
          <w:color w:val="auto"/>
          <w:spacing w:val="0"/>
          <w:kern w:val="0"/>
          <w:sz w:val="24"/>
          <w:szCs w:val="24"/>
          <w:shd w:val="clear" w:color="auto" w:fill="FFFFFF"/>
          <w:lang w:val="en-US" w:eastAsia="zh-CN" w:bidi="ar"/>
        </w:rPr>
        <w:t>，考评总分为100分，当</w:t>
      </w:r>
      <w:r>
        <w:rPr>
          <w:rFonts w:hint="eastAsia" w:ascii="宋体" w:hAnsi="宋体" w:cs="宋体"/>
          <w:i w:val="0"/>
          <w:iCs w:val="0"/>
          <w:caps w:val="0"/>
          <w:color w:val="auto"/>
          <w:spacing w:val="0"/>
          <w:kern w:val="0"/>
          <w:sz w:val="24"/>
          <w:szCs w:val="24"/>
          <w:shd w:val="clear" w:color="auto" w:fill="FFFFFF"/>
          <w:lang w:val="en-US" w:eastAsia="zh-CN" w:bidi="ar"/>
        </w:rPr>
        <w:t>季</w:t>
      </w:r>
      <w:r>
        <w:rPr>
          <w:rFonts w:hint="eastAsia" w:ascii="宋体" w:hAnsi="宋体" w:eastAsia="宋体" w:cs="宋体"/>
          <w:i w:val="0"/>
          <w:iCs w:val="0"/>
          <w:caps w:val="0"/>
          <w:color w:val="auto"/>
          <w:spacing w:val="0"/>
          <w:kern w:val="0"/>
          <w:sz w:val="24"/>
          <w:szCs w:val="24"/>
          <w:shd w:val="clear" w:color="auto" w:fill="FFFFFF"/>
          <w:lang w:val="en-US" w:eastAsia="zh-CN" w:bidi="ar"/>
        </w:rPr>
        <w:t>考评总分在</w:t>
      </w:r>
      <w:r>
        <w:rPr>
          <w:rFonts w:hint="eastAsia" w:ascii="宋体" w:hAnsi="宋体" w:cs="宋体"/>
          <w:i w:val="0"/>
          <w:iCs w:val="0"/>
          <w:caps w:val="0"/>
          <w:color w:val="auto"/>
          <w:spacing w:val="0"/>
          <w:kern w:val="0"/>
          <w:sz w:val="24"/>
          <w:szCs w:val="24"/>
          <w:shd w:val="clear" w:color="auto" w:fill="FFFFFF"/>
          <w:lang w:val="en-US" w:eastAsia="zh-CN" w:bidi="ar"/>
        </w:rPr>
        <w:t>80</w:t>
      </w:r>
      <w:r>
        <w:rPr>
          <w:rFonts w:hint="eastAsia" w:ascii="宋体" w:hAnsi="宋体" w:eastAsia="宋体" w:cs="宋体"/>
          <w:i w:val="0"/>
          <w:iCs w:val="0"/>
          <w:caps w:val="0"/>
          <w:color w:val="auto"/>
          <w:spacing w:val="0"/>
          <w:kern w:val="0"/>
          <w:sz w:val="24"/>
          <w:szCs w:val="24"/>
          <w:shd w:val="clear" w:color="auto" w:fill="FFFFFF"/>
          <w:lang w:val="en-US" w:eastAsia="zh-CN" w:bidi="ar"/>
        </w:rPr>
        <w:t>分及以上为合格。考核分在</w:t>
      </w:r>
      <w:r>
        <w:rPr>
          <w:rFonts w:hint="eastAsia" w:ascii="宋体" w:hAnsi="宋体" w:cs="宋体"/>
          <w:i w:val="0"/>
          <w:iCs w:val="0"/>
          <w:caps w:val="0"/>
          <w:color w:val="auto"/>
          <w:spacing w:val="0"/>
          <w:kern w:val="0"/>
          <w:sz w:val="24"/>
          <w:szCs w:val="24"/>
          <w:shd w:val="clear" w:color="auto" w:fill="FFFFFF"/>
          <w:lang w:val="en-US" w:eastAsia="zh-CN" w:bidi="ar"/>
        </w:rPr>
        <w:t>80</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100</w:t>
      </w:r>
      <w:r>
        <w:rPr>
          <w:rFonts w:hint="eastAsia" w:ascii="宋体" w:hAnsi="宋体" w:eastAsia="宋体" w:cs="宋体"/>
          <w:i w:val="0"/>
          <w:iCs w:val="0"/>
          <w:caps w:val="0"/>
          <w:color w:val="auto"/>
          <w:spacing w:val="0"/>
          <w:kern w:val="0"/>
          <w:sz w:val="24"/>
          <w:szCs w:val="24"/>
          <w:shd w:val="clear" w:color="auto" w:fill="FFFFFF"/>
          <w:lang w:val="en-US" w:eastAsia="zh-CN" w:bidi="ar"/>
        </w:rPr>
        <w:t>分（含8</w:t>
      </w:r>
      <w:r>
        <w:rPr>
          <w:rFonts w:hint="eastAsia" w:ascii="宋体" w:hAnsi="宋体" w:cs="宋体"/>
          <w:i w:val="0"/>
          <w:iCs w:val="0"/>
          <w:caps w:val="0"/>
          <w:color w:val="auto"/>
          <w:spacing w:val="0"/>
          <w:kern w:val="0"/>
          <w:sz w:val="24"/>
          <w:szCs w:val="24"/>
          <w:shd w:val="clear" w:color="auto" w:fill="FFFFFF"/>
          <w:lang w:val="en-US" w:eastAsia="zh-CN" w:bidi="ar"/>
        </w:rPr>
        <w:t>0</w:t>
      </w:r>
      <w:r>
        <w:rPr>
          <w:rFonts w:hint="eastAsia" w:ascii="宋体" w:hAnsi="宋体" w:eastAsia="宋体" w:cs="宋体"/>
          <w:i w:val="0"/>
          <w:iCs w:val="0"/>
          <w:caps w:val="0"/>
          <w:color w:val="auto"/>
          <w:spacing w:val="0"/>
          <w:kern w:val="0"/>
          <w:sz w:val="24"/>
          <w:szCs w:val="24"/>
          <w:shd w:val="clear" w:color="auto" w:fill="FFFFFF"/>
          <w:lang w:val="en-US" w:eastAsia="zh-CN" w:bidi="ar"/>
        </w:rPr>
        <w:t>分）之间，不予扣罚，但中选服务商需要对存在问题予以立即改进，如因中选服务商责任所致的同一问题第二次出现的，扣罚500元/次；考核分在</w:t>
      </w:r>
      <w:r>
        <w:rPr>
          <w:rFonts w:hint="eastAsia" w:ascii="宋体" w:hAnsi="宋体" w:cs="宋体"/>
          <w:i w:val="0"/>
          <w:iCs w:val="0"/>
          <w:caps w:val="0"/>
          <w:color w:val="auto"/>
          <w:spacing w:val="0"/>
          <w:kern w:val="0"/>
          <w:sz w:val="24"/>
          <w:szCs w:val="24"/>
          <w:shd w:val="clear" w:color="auto" w:fill="FFFFFF"/>
          <w:lang w:val="en-US" w:eastAsia="zh-CN" w:bidi="ar"/>
        </w:rPr>
        <w:t>75</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79</w:t>
      </w:r>
      <w:r>
        <w:rPr>
          <w:rFonts w:hint="eastAsia" w:ascii="宋体" w:hAnsi="宋体" w:eastAsia="宋体" w:cs="宋体"/>
          <w:i w:val="0"/>
          <w:iCs w:val="0"/>
          <w:caps w:val="0"/>
          <w:color w:val="auto"/>
          <w:spacing w:val="0"/>
          <w:kern w:val="0"/>
          <w:sz w:val="24"/>
          <w:szCs w:val="24"/>
          <w:shd w:val="clear" w:color="auto" w:fill="FFFFFF"/>
          <w:lang w:val="en-US" w:eastAsia="zh-CN" w:bidi="ar"/>
        </w:rPr>
        <w:t>分（含</w:t>
      </w:r>
      <w:r>
        <w:rPr>
          <w:rFonts w:hint="eastAsia" w:ascii="宋体" w:hAnsi="宋体" w:cs="宋体"/>
          <w:i w:val="0"/>
          <w:iCs w:val="0"/>
          <w:caps w:val="0"/>
          <w:color w:val="auto"/>
          <w:spacing w:val="0"/>
          <w:kern w:val="0"/>
          <w:sz w:val="24"/>
          <w:szCs w:val="24"/>
          <w:shd w:val="clear" w:color="auto" w:fill="FFFFFF"/>
          <w:lang w:val="en-US" w:eastAsia="zh-CN" w:bidi="ar"/>
        </w:rPr>
        <w:t>79</w:t>
      </w:r>
      <w:r>
        <w:rPr>
          <w:rFonts w:hint="eastAsia" w:ascii="宋体" w:hAnsi="宋体" w:eastAsia="宋体" w:cs="宋体"/>
          <w:i w:val="0"/>
          <w:iCs w:val="0"/>
          <w:caps w:val="0"/>
          <w:color w:val="auto"/>
          <w:spacing w:val="0"/>
          <w:kern w:val="0"/>
          <w:sz w:val="24"/>
          <w:szCs w:val="24"/>
          <w:shd w:val="clear" w:color="auto" w:fill="FFFFFF"/>
          <w:lang w:val="en-US" w:eastAsia="zh-CN" w:bidi="ar"/>
        </w:rPr>
        <w:t>分）之间，每少一分扣1000元/分；考核分在</w:t>
      </w:r>
      <w:r>
        <w:rPr>
          <w:rFonts w:hint="eastAsia" w:ascii="宋体" w:hAnsi="宋体" w:cs="宋体"/>
          <w:i w:val="0"/>
          <w:iCs w:val="0"/>
          <w:caps w:val="0"/>
          <w:color w:val="auto"/>
          <w:spacing w:val="0"/>
          <w:kern w:val="0"/>
          <w:sz w:val="24"/>
          <w:szCs w:val="24"/>
          <w:shd w:val="clear" w:color="auto" w:fill="FFFFFF"/>
          <w:lang w:val="en-US" w:eastAsia="zh-CN" w:bidi="ar"/>
        </w:rPr>
        <w:t>70</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cs="宋体"/>
          <w:i w:val="0"/>
          <w:iCs w:val="0"/>
          <w:caps w:val="0"/>
          <w:color w:val="auto"/>
          <w:spacing w:val="0"/>
          <w:kern w:val="0"/>
          <w:sz w:val="24"/>
          <w:szCs w:val="24"/>
          <w:shd w:val="clear" w:color="auto" w:fill="FFFFFF"/>
          <w:lang w:val="en-US" w:eastAsia="zh-CN" w:bidi="ar"/>
        </w:rPr>
        <w:t>74</w:t>
      </w:r>
      <w:r>
        <w:rPr>
          <w:rFonts w:hint="eastAsia" w:ascii="宋体" w:hAnsi="宋体" w:eastAsia="宋体" w:cs="宋体"/>
          <w:i w:val="0"/>
          <w:iCs w:val="0"/>
          <w:caps w:val="0"/>
          <w:color w:val="auto"/>
          <w:spacing w:val="0"/>
          <w:kern w:val="0"/>
          <w:sz w:val="24"/>
          <w:szCs w:val="24"/>
          <w:shd w:val="clear" w:color="auto" w:fill="FFFFFF"/>
          <w:lang w:val="en-US" w:eastAsia="zh-CN" w:bidi="ar"/>
        </w:rPr>
        <w:t>分（含7</w:t>
      </w:r>
      <w:r>
        <w:rPr>
          <w:rFonts w:hint="eastAsia" w:ascii="宋体" w:hAnsi="宋体" w:cs="宋体"/>
          <w:i w:val="0"/>
          <w:iCs w:val="0"/>
          <w:caps w:val="0"/>
          <w:color w:val="auto"/>
          <w:spacing w:val="0"/>
          <w:kern w:val="0"/>
          <w:sz w:val="24"/>
          <w:szCs w:val="24"/>
          <w:shd w:val="clear" w:color="auto" w:fill="FFFFFF"/>
          <w:lang w:val="en-US" w:eastAsia="zh-CN" w:bidi="ar"/>
        </w:rPr>
        <w:t>4</w:t>
      </w:r>
      <w:r>
        <w:rPr>
          <w:rFonts w:hint="eastAsia" w:ascii="宋体" w:hAnsi="宋体" w:eastAsia="宋体" w:cs="宋体"/>
          <w:i w:val="0"/>
          <w:iCs w:val="0"/>
          <w:caps w:val="0"/>
          <w:color w:val="auto"/>
          <w:spacing w:val="0"/>
          <w:kern w:val="0"/>
          <w:sz w:val="24"/>
          <w:szCs w:val="24"/>
          <w:shd w:val="clear" w:color="auto" w:fill="FFFFFF"/>
          <w:lang w:val="en-US" w:eastAsia="zh-CN" w:bidi="ar"/>
        </w:rPr>
        <w:t>分）之间，每少一分扣</w:t>
      </w:r>
      <w:r>
        <w:rPr>
          <w:rFonts w:hint="eastAsia" w:ascii="宋体" w:hAnsi="宋体" w:cs="宋体"/>
          <w:i w:val="0"/>
          <w:iCs w:val="0"/>
          <w:caps w:val="0"/>
          <w:color w:val="auto"/>
          <w:spacing w:val="0"/>
          <w:kern w:val="0"/>
          <w:sz w:val="24"/>
          <w:szCs w:val="24"/>
          <w:shd w:val="clear" w:color="auto" w:fill="FFFFFF"/>
          <w:lang w:val="en-US" w:eastAsia="zh-CN" w:bidi="ar"/>
        </w:rPr>
        <w:t>1500</w:t>
      </w:r>
      <w:r>
        <w:rPr>
          <w:rFonts w:hint="eastAsia" w:ascii="宋体" w:hAnsi="宋体" w:eastAsia="宋体" w:cs="宋体"/>
          <w:i w:val="0"/>
          <w:iCs w:val="0"/>
          <w:caps w:val="0"/>
          <w:color w:val="auto"/>
          <w:spacing w:val="0"/>
          <w:kern w:val="0"/>
          <w:sz w:val="24"/>
          <w:szCs w:val="24"/>
          <w:shd w:val="clear" w:color="auto" w:fill="FFFFFF"/>
          <w:lang w:val="en-US" w:eastAsia="zh-CN" w:bidi="ar"/>
        </w:rPr>
        <w:t>元/分；考核分低于</w:t>
      </w:r>
      <w:r>
        <w:rPr>
          <w:rFonts w:hint="eastAsia" w:ascii="宋体" w:hAnsi="宋体" w:cs="宋体"/>
          <w:i w:val="0"/>
          <w:iCs w:val="0"/>
          <w:caps w:val="0"/>
          <w:color w:val="auto"/>
          <w:spacing w:val="0"/>
          <w:kern w:val="0"/>
          <w:sz w:val="24"/>
          <w:szCs w:val="24"/>
          <w:shd w:val="clear" w:color="auto" w:fill="FFFFFF"/>
          <w:lang w:val="en-US" w:eastAsia="zh-CN" w:bidi="ar"/>
        </w:rPr>
        <w:t>70</w:t>
      </w:r>
      <w:r>
        <w:rPr>
          <w:rFonts w:hint="eastAsia" w:ascii="宋体" w:hAnsi="宋体" w:eastAsia="宋体" w:cs="宋体"/>
          <w:i w:val="0"/>
          <w:iCs w:val="0"/>
          <w:caps w:val="0"/>
          <w:color w:val="auto"/>
          <w:spacing w:val="0"/>
          <w:kern w:val="0"/>
          <w:sz w:val="24"/>
          <w:szCs w:val="24"/>
          <w:shd w:val="clear" w:color="auto" w:fill="FFFFFF"/>
          <w:lang w:val="en-US" w:eastAsia="zh-CN" w:bidi="ar"/>
        </w:rPr>
        <w:t>分（不含75分）以下的，每少一分，扣</w:t>
      </w:r>
      <w:r>
        <w:rPr>
          <w:rFonts w:hint="eastAsia" w:ascii="宋体" w:hAnsi="宋体" w:cs="宋体"/>
          <w:i w:val="0"/>
          <w:iCs w:val="0"/>
          <w:caps w:val="0"/>
          <w:color w:val="auto"/>
          <w:spacing w:val="0"/>
          <w:kern w:val="0"/>
          <w:sz w:val="24"/>
          <w:szCs w:val="24"/>
          <w:shd w:val="clear" w:color="auto" w:fill="FFFFFF"/>
          <w:lang w:val="en-US" w:eastAsia="zh-CN" w:bidi="ar"/>
        </w:rPr>
        <w:t>2000</w:t>
      </w:r>
      <w:r>
        <w:rPr>
          <w:rFonts w:hint="eastAsia" w:ascii="宋体" w:hAnsi="宋体" w:eastAsia="宋体" w:cs="宋体"/>
          <w:i w:val="0"/>
          <w:iCs w:val="0"/>
          <w:caps w:val="0"/>
          <w:color w:val="auto"/>
          <w:spacing w:val="0"/>
          <w:kern w:val="0"/>
          <w:sz w:val="24"/>
          <w:szCs w:val="24"/>
          <w:shd w:val="clear" w:color="auto" w:fill="FFFFFF"/>
          <w:lang w:val="en-US" w:eastAsia="zh-CN" w:bidi="ar"/>
        </w:rPr>
        <w:t>元/分；连续两个月考核结果低于</w:t>
      </w:r>
      <w:r>
        <w:rPr>
          <w:rFonts w:hint="eastAsia" w:ascii="宋体" w:hAnsi="宋体" w:cs="宋体"/>
          <w:i w:val="0"/>
          <w:iCs w:val="0"/>
          <w:caps w:val="0"/>
          <w:color w:val="auto"/>
          <w:spacing w:val="0"/>
          <w:kern w:val="0"/>
          <w:sz w:val="24"/>
          <w:szCs w:val="24"/>
          <w:shd w:val="clear" w:color="auto" w:fill="FFFFFF"/>
          <w:lang w:val="en-US" w:eastAsia="zh-CN" w:bidi="ar"/>
        </w:rPr>
        <w:t>70</w:t>
      </w:r>
      <w:r>
        <w:rPr>
          <w:rFonts w:hint="eastAsia" w:ascii="宋体" w:hAnsi="宋体" w:eastAsia="宋体" w:cs="宋体"/>
          <w:i w:val="0"/>
          <w:iCs w:val="0"/>
          <w:caps w:val="0"/>
          <w:color w:val="auto"/>
          <w:spacing w:val="0"/>
          <w:kern w:val="0"/>
          <w:sz w:val="24"/>
          <w:szCs w:val="24"/>
          <w:shd w:val="clear" w:color="auto" w:fill="FFFFFF"/>
          <w:lang w:val="en-US" w:eastAsia="zh-CN" w:bidi="ar"/>
        </w:rPr>
        <w:t>分（不含</w:t>
      </w:r>
      <w:r>
        <w:rPr>
          <w:rFonts w:hint="eastAsia" w:ascii="宋体" w:hAnsi="宋体" w:cs="宋体"/>
          <w:i w:val="0"/>
          <w:iCs w:val="0"/>
          <w:caps w:val="0"/>
          <w:color w:val="auto"/>
          <w:spacing w:val="0"/>
          <w:kern w:val="0"/>
          <w:sz w:val="24"/>
          <w:szCs w:val="24"/>
          <w:shd w:val="clear" w:color="auto" w:fill="FFFFFF"/>
          <w:lang w:val="en-US" w:eastAsia="zh-CN" w:bidi="ar"/>
        </w:rPr>
        <w:t>70</w:t>
      </w:r>
      <w:r>
        <w:rPr>
          <w:rFonts w:hint="eastAsia" w:ascii="宋体" w:hAnsi="宋体" w:eastAsia="宋体" w:cs="宋体"/>
          <w:i w:val="0"/>
          <w:iCs w:val="0"/>
          <w:caps w:val="0"/>
          <w:color w:val="auto"/>
          <w:spacing w:val="0"/>
          <w:kern w:val="0"/>
          <w:sz w:val="24"/>
          <w:szCs w:val="24"/>
          <w:shd w:val="clear" w:color="auto" w:fill="FFFFFF"/>
          <w:lang w:val="en-US" w:eastAsia="zh-CN" w:bidi="ar"/>
        </w:rPr>
        <w:t>分）的，业主方有权单方解除合同重新招标。</w:t>
      </w:r>
    </w:p>
    <w:p w14:paraId="6684FC5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0CC6364E">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56802DF6">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52FAA2A6">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427AE6F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35116C9F">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1D546781">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529D3D02">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2F9302D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4345B115">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3985B2A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1A1BE5FB">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300B26FC">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07CC2E37">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1E07BEAC">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p>
    <w:p w14:paraId="716B1A73">
      <w:pPr>
        <w:spacing w:line="360" w:lineRule="auto"/>
        <w:ind w:firstLine="480" w:firstLineChars="200"/>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附件一：《</w:t>
      </w:r>
      <w:r>
        <w:rPr>
          <w:rFonts w:hint="eastAsia" w:ascii="宋体" w:hAnsi="宋体" w:cs="宋体"/>
          <w:i w:val="0"/>
          <w:iCs w:val="0"/>
          <w:caps w:val="0"/>
          <w:color w:val="auto"/>
          <w:spacing w:val="0"/>
          <w:kern w:val="0"/>
          <w:sz w:val="24"/>
          <w:szCs w:val="24"/>
          <w:shd w:val="clear" w:color="auto" w:fill="FFFFFF"/>
          <w:lang w:val="en-US" w:eastAsia="zh-CN" w:bidi="ar"/>
        </w:rPr>
        <w:t>东升</w:t>
      </w:r>
      <w:r>
        <w:rPr>
          <w:rFonts w:hint="eastAsia" w:ascii="宋体" w:hAnsi="宋体" w:eastAsia="宋体" w:cs="宋体"/>
          <w:i w:val="0"/>
          <w:iCs w:val="0"/>
          <w:caps w:val="0"/>
          <w:color w:val="auto"/>
          <w:spacing w:val="0"/>
          <w:kern w:val="0"/>
          <w:sz w:val="24"/>
          <w:szCs w:val="24"/>
          <w:shd w:val="clear" w:color="auto" w:fill="FFFFFF"/>
          <w:lang w:val="en-US" w:eastAsia="zh-CN" w:bidi="ar"/>
        </w:rPr>
        <w:t>医院餐饮服务质量监督考评表》（可根据实际进行调整）</w:t>
      </w:r>
    </w:p>
    <w:p w14:paraId="3B1D6B2F">
      <w:pPr>
        <w:spacing w:line="360" w:lineRule="auto"/>
        <w:jc w:val="center"/>
        <w:rPr>
          <w:rFonts w:hint="eastAsia" w:ascii="宋体" w:hAnsi="宋体" w:eastAsia="宋体" w:cs="宋体"/>
          <w:b/>
          <w:bCs/>
          <w:i w:val="0"/>
          <w:iCs w:val="0"/>
          <w:caps w:val="0"/>
          <w:color w:val="auto"/>
          <w:spacing w:val="0"/>
          <w:kern w:val="0"/>
          <w:sz w:val="24"/>
          <w:szCs w:val="24"/>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中山市</w:t>
      </w:r>
      <w:r>
        <w:rPr>
          <w:rFonts w:hint="eastAsia" w:ascii="宋体" w:hAnsi="宋体" w:cs="宋体"/>
          <w:b/>
          <w:bCs/>
          <w:i w:val="0"/>
          <w:iCs w:val="0"/>
          <w:caps w:val="0"/>
          <w:color w:val="auto"/>
          <w:spacing w:val="0"/>
          <w:kern w:val="0"/>
          <w:sz w:val="24"/>
          <w:szCs w:val="24"/>
          <w:shd w:val="clear" w:color="auto" w:fill="FFFFFF"/>
          <w:lang w:val="en-US" w:eastAsia="zh-CN" w:bidi="ar"/>
        </w:rPr>
        <w:t>东升</w:t>
      </w:r>
      <w:r>
        <w:rPr>
          <w:rFonts w:hint="eastAsia" w:ascii="宋体" w:hAnsi="宋体" w:eastAsia="宋体" w:cs="宋体"/>
          <w:b/>
          <w:bCs/>
          <w:i w:val="0"/>
          <w:iCs w:val="0"/>
          <w:caps w:val="0"/>
          <w:color w:val="auto"/>
          <w:spacing w:val="0"/>
          <w:kern w:val="0"/>
          <w:sz w:val="24"/>
          <w:szCs w:val="24"/>
          <w:shd w:val="clear" w:color="auto" w:fill="FFFFFF"/>
          <w:lang w:val="en-US" w:eastAsia="zh-CN" w:bidi="ar"/>
        </w:rPr>
        <w:t>医院餐饮服务质量监督考评表</w:t>
      </w:r>
    </w:p>
    <w:tbl>
      <w:tblPr>
        <w:tblStyle w:val="5"/>
        <w:tblW w:w="10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5098"/>
        <w:gridCol w:w="690"/>
        <w:gridCol w:w="2999"/>
        <w:gridCol w:w="641"/>
      </w:tblGrid>
      <w:tr w14:paraId="03E6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63" w:type="dxa"/>
            <w:shd w:val="clear" w:color="000000" w:fill="FFFFFF"/>
            <w:vAlign w:val="center"/>
          </w:tcPr>
          <w:p w14:paraId="6DE8FF53">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项目</w:t>
            </w:r>
          </w:p>
        </w:tc>
        <w:tc>
          <w:tcPr>
            <w:tcW w:w="5098" w:type="dxa"/>
            <w:shd w:val="clear" w:color="000000" w:fill="FFFFFF"/>
            <w:vAlign w:val="center"/>
          </w:tcPr>
          <w:p w14:paraId="73371DA6">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质量标准</w:t>
            </w:r>
          </w:p>
        </w:tc>
        <w:tc>
          <w:tcPr>
            <w:tcW w:w="690" w:type="dxa"/>
            <w:shd w:val="clear" w:color="000000" w:fill="FFFFFF"/>
            <w:vAlign w:val="center"/>
          </w:tcPr>
          <w:p w14:paraId="18C6BB09">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分值</w:t>
            </w:r>
            <w:r>
              <w:rPr>
                <w:rFonts w:hint="eastAsia" w:cs="宋体" w:asciiTheme="majorEastAsia" w:hAnsiTheme="majorEastAsia" w:eastAsiaTheme="majorEastAsia"/>
                <w:b/>
                <w:color w:val="auto"/>
                <w:kern w:val="0"/>
                <w:sz w:val="18"/>
                <w:szCs w:val="18"/>
                <w:highlight w:val="none"/>
              </w:rPr>
              <w:t>(分)</w:t>
            </w:r>
          </w:p>
        </w:tc>
        <w:tc>
          <w:tcPr>
            <w:tcW w:w="2999" w:type="dxa"/>
            <w:shd w:val="clear" w:color="auto" w:fill="auto"/>
            <w:vAlign w:val="center"/>
          </w:tcPr>
          <w:p w14:paraId="58D2FB8A">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考核方法</w:t>
            </w:r>
          </w:p>
        </w:tc>
        <w:tc>
          <w:tcPr>
            <w:tcW w:w="641" w:type="dxa"/>
            <w:shd w:val="clear" w:color="auto" w:fill="auto"/>
            <w:vAlign w:val="center"/>
          </w:tcPr>
          <w:p w14:paraId="542F2662">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考核结果</w:t>
            </w:r>
          </w:p>
        </w:tc>
      </w:tr>
      <w:tr w14:paraId="0A5F6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763" w:type="dxa"/>
            <w:vMerge w:val="restart"/>
            <w:shd w:val="clear" w:color="000000" w:fill="FFFFFF"/>
            <w:vAlign w:val="center"/>
          </w:tcPr>
          <w:p w14:paraId="5A04226E">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一、公司管理(</w:t>
            </w:r>
            <w:r>
              <w:rPr>
                <w:rFonts w:hint="eastAsia" w:cs="宋体" w:asciiTheme="majorEastAsia" w:hAnsiTheme="majorEastAsia" w:eastAsiaTheme="majorEastAsia"/>
                <w:color w:val="auto"/>
                <w:kern w:val="0"/>
                <w:sz w:val="18"/>
                <w:szCs w:val="18"/>
                <w:highlight w:val="none"/>
                <w:lang w:val="en-US" w:eastAsia="zh-CN"/>
              </w:rPr>
              <w:t>10</w:t>
            </w:r>
            <w:r>
              <w:rPr>
                <w:rFonts w:hint="eastAsia" w:cs="宋体" w:asciiTheme="majorEastAsia" w:hAnsiTheme="majorEastAsia" w:eastAsiaTheme="majorEastAsia"/>
                <w:color w:val="auto"/>
                <w:kern w:val="0"/>
                <w:sz w:val="18"/>
                <w:szCs w:val="18"/>
                <w:highlight w:val="none"/>
              </w:rPr>
              <w:t>分）</w:t>
            </w:r>
          </w:p>
        </w:tc>
        <w:tc>
          <w:tcPr>
            <w:tcW w:w="5098" w:type="dxa"/>
            <w:shd w:val="clear" w:color="000000" w:fill="FFFFFF"/>
            <w:vAlign w:val="center"/>
          </w:tcPr>
          <w:p w14:paraId="28ADF1F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1.管理人员在岗情况：</w:t>
            </w:r>
            <w:r>
              <w:rPr>
                <w:rFonts w:hint="eastAsia" w:asciiTheme="majorEastAsia" w:hAnsiTheme="majorEastAsia" w:eastAsiaTheme="majorEastAsia"/>
                <w:color w:val="auto"/>
                <w:sz w:val="18"/>
                <w:szCs w:val="18"/>
                <w:highlight w:val="none"/>
              </w:rPr>
              <w:t>项目经理及主管要坚守工作岗位，在工作日请假休息或途中离开医院的，应向医院主管部门报备并做好工作安排，管理人员</w:t>
            </w:r>
            <w:r>
              <w:rPr>
                <w:rFonts w:hint="eastAsia" w:ascii="宋体" w:hAnsi="宋体" w:cs="宋体"/>
                <w:color w:val="auto"/>
                <w:sz w:val="18"/>
                <w:szCs w:val="18"/>
                <w:highlight w:val="none"/>
                <w:lang w:val="en-US" w:eastAsia="zh-CN"/>
              </w:rPr>
              <w:t>每年</w:t>
            </w:r>
            <w:r>
              <w:rPr>
                <w:rFonts w:hint="eastAsia" w:asciiTheme="majorEastAsia" w:hAnsiTheme="majorEastAsia" w:eastAsiaTheme="majorEastAsia"/>
                <w:color w:val="auto"/>
                <w:sz w:val="18"/>
                <w:szCs w:val="18"/>
                <w:highlight w:val="none"/>
              </w:rPr>
              <w:t>离开医院累积时间不得超过10天（正常休息日除外），接受</w:t>
            </w:r>
            <w:r>
              <w:rPr>
                <w:rFonts w:hint="eastAsia" w:ascii="宋体" w:hAnsi="宋体" w:cs="宋体"/>
                <w:color w:val="auto"/>
                <w:sz w:val="18"/>
                <w:szCs w:val="18"/>
                <w:highlight w:val="none"/>
                <w:lang w:val="en-US" w:eastAsia="zh-CN"/>
              </w:rPr>
              <w:t>主管部门</w:t>
            </w:r>
            <w:r>
              <w:rPr>
                <w:rFonts w:hint="eastAsia" w:asciiTheme="majorEastAsia" w:hAnsiTheme="majorEastAsia" w:eastAsiaTheme="majorEastAsia"/>
                <w:color w:val="auto"/>
                <w:sz w:val="18"/>
                <w:szCs w:val="18"/>
                <w:highlight w:val="none"/>
              </w:rPr>
              <w:t>统一微信共享定位查岗。</w:t>
            </w:r>
          </w:p>
        </w:tc>
        <w:tc>
          <w:tcPr>
            <w:tcW w:w="690" w:type="dxa"/>
            <w:shd w:val="clear" w:color="000000" w:fill="FFFFFF"/>
            <w:vAlign w:val="center"/>
          </w:tcPr>
          <w:p w14:paraId="2C70D2D8">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586CFFC0">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管理人员无故离岗或休息不向医院主管部门报备的，一次扣1分；如因管理人员休息而工作安排不到位导致不良后果的，扣减100元/次。</w:t>
            </w:r>
          </w:p>
        </w:tc>
        <w:tc>
          <w:tcPr>
            <w:tcW w:w="641" w:type="dxa"/>
            <w:shd w:val="clear" w:color="auto" w:fill="auto"/>
          </w:tcPr>
          <w:p w14:paraId="07618F01">
            <w:pPr>
              <w:widowControl/>
              <w:jc w:val="left"/>
              <w:rPr>
                <w:rFonts w:asciiTheme="majorEastAsia" w:hAnsiTheme="majorEastAsia" w:eastAsiaTheme="majorEastAsia"/>
                <w:color w:val="auto"/>
                <w:kern w:val="0"/>
                <w:sz w:val="20"/>
                <w:szCs w:val="20"/>
                <w:highlight w:val="none"/>
              </w:rPr>
            </w:pPr>
          </w:p>
        </w:tc>
      </w:tr>
      <w:tr w14:paraId="41BD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63" w:type="dxa"/>
            <w:vMerge w:val="continue"/>
            <w:vAlign w:val="center"/>
          </w:tcPr>
          <w:p w14:paraId="0D78F076">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68DB35D4">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2.质量持续改进：</w:t>
            </w:r>
            <w:r>
              <w:rPr>
                <w:rFonts w:hint="eastAsia" w:asciiTheme="majorEastAsia" w:hAnsiTheme="majorEastAsia" w:eastAsiaTheme="majorEastAsia"/>
                <w:color w:val="auto"/>
                <w:sz w:val="18"/>
                <w:szCs w:val="18"/>
                <w:highlight w:val="none"/>
              </w:rPr>
              <w:t>公司对客户提出的问题及时改进，投诉处理率为100%。发生不良事件时，应在1小时内采取补救措施将影响降到最低，处理结束后，填《不良事件登记表》</w:t>
            </w:r>
            <w:r>
              <w:rPr>
                <w:rFonts w:hint="eastAsia" w:asciiTheme="majorEastAsia" w:hAnsiTheme="majorEastAsia" w:eastAsiaTheme="majorEastAsia"/>
                <w:color w:val="auto"/>
                <w:sz w:val="18"/>
                <w:szCs w:val="18"/>
                <w:highlight w:val="none"/>
                <w:lang w:eastAsia="zh-CN"/>
              </w:rPr>
              <w:t>并对</w:t>
            </w:r>
            <w:r>
              <w:rPr>
                <w:rFonts w:hint="eastAsia" w:asciiTheme="majorEastAsia" w:hAnsiTheme="majorEastAsia" w:eastAsiaTheme="majorEastAsia"/>
                <w:color w:val="auto"/>
                <w:sz w:val="18"/>
                <w:szCs w:val="18"/>
                <w:highlight w:val="none"/>
              </w:rPr>
              <w:t>发生原因进行分析并持续改进，在一周内将填写完整的《不良事件登记表》提交主管部门报备，改进措施有效，因公司责任导致的同类不良事件不得出现两次。如收到员工反映问题应书面回复改进措施；如收到医院发出的整改通知函，应按期整改并提交整改意</w:t>
            </w:r>
          </w:p>
        </w:tc>
        <w:tc>
          <w:tcPr>
            <w:tcW w:w="690" w:type="dxa"/>
            <w:shd w:val="clear" w:color="000000" w:fill="FFFFFF"/>
            <w:vAlign w:val="center"/>
          </w:tcPr>
          <w:p w14:paraId="0DF7EAF2">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6</w:t>
            </w:r>
          </w:p>
        </w:tc>
        <w:tc>
          <w:tcPr>
            <w:tcW w:w="2999" w:type="dxa"/>
            <w:shd w:val="clear" w:color="auto" w:fill="auto"/>
            <w:vAlign w:val="center"/>
          </w:tcPr>
          <w:p w14:paraId="2D5C203F">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未按要求处理或改进的，扣1分/次，未填写登记表并提交整改意见的，扣1次/次；如果因公司责任再次发生同类不良事件的，扣3分/项，扣完为止。</w:t>
            </w:r>
          </w:p>
        </w:tc>
        <w:tc>
          <w:tcPr>
            <w:tcW w:w="641" w:type="dxa"/>
            <w:shd w:val="clear" w:color="auto" w:fill="auto"/>
          </w:tcPr>
          <w:p w14:paraId="34316D61">
            <w:pPr>
              <w:widowControl/>
              <w:jc w:val="left"/>
              <w:rPr>
                <w:rFonts w:asciiTheme="majorEastAsia" w:hAnsiTheme="majorEastAsia" w:eastAsiaTheme="majorEastAsia"/>
                <w:color w:val="auto"/>
                <w:kern w:val="0"/>
                <w:sz w:val="20"/>
                <w:szCs w:val="20"/>
                <w:highlight w:val="none"/>
              </w:rPr>
            </w:pPr>
          </w:p>
        </w:tc>
      </w:tr>
      <w:tr w14:paraId="54BB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763" w:type="dxa"/>
            <w:vAlign w:val="center"/>
          </w:tcPr>
          <w:p w14:paraId="49033A6F">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二、满意度调查（20分）</w:t>
            </w:r>
          </w:p>
        </w:tc>
        <w:tc>
          <w:tcPr>
            <w:tcW w:w="5098" w:type="dxa"/>
            <w:shd w:val="clear" w:color="000000" w:fill="FFFFFF"/>
            <w:vAlign w:val="center"/>
          </w:tcPr>
          <w:p w14:paraId="0790FD49">
            <w:pPr>
              <w:rPr>
                <w:rFonts w:hint="eastAsia" w:cs="宋体" w:asciiTheme="majorEastAsia" w:hAnsiTheme="majorEastAsia" w:eastAsiaTheme="majorEastAsia"/>
                <w:color w:val="auto"/>
                <w:sz w:val="18"/>
                <w:szCs w:val="18"/>
                <w:highlight w:val="none"/>
                <w:lang w:eastAsia="zh-CN"/>
              </w:rPr>
            </w:pPr>
            <w:r>
              <w:rPr>
                <w:rFonts w:hint="eastAsia" w:asciiTheme="majorEastAsia" w:hAnsiTheme="majorEastAsia" w:eastAsiaTheme="majorEastAsia"/>
                <w:color w:val="auto"/>
                <w:sz w:val="18"/>
                <w:szCs w:val="18"/>
                <w:highlight w:val="none"/>
                <w:lang w:eastAsia="zh-CN"/>
              </w:rPr>
              <w:t>每月</w:t>
            </w:r>
            <w:r>
              <w:rPr>
                <w:rFonts w:hint="eastAsia" w:asciiTheme="majorEastAsia" w:hAnsiTheme="majorEastAsia" w:eastAsiaTheme="majorEastAsia"/>
                <w:color w:val="auto"/>
                <w:sz w:val="18"/>
                <w:szCs w:val="18"/>
                <w:highlight w:val="none"/>
              </w:rPr>
              <w:t>根据</w:t>
            </w:r>
            <w:r>
              <w:rPr>
                <w:rFonts w:hint="eastAsia" w:asciiTheme="majorEastAsia" w:hAnsiTheme="majorEastAsia" w:eastAsiaTheme="majorEastAsia"/>
                <w:color w:val="auto"/>
                <w:sz w:val="18"/>
                <w:szCs w:val="18"/>
                <w:highlight w:val="none"/>
                <w:lang w:val="en-US" w:eastAsia="zh-CN"/>
              </w:rPr>
              <w:t>医院</w:t>
            </w:r>
            <w:r>
              <w:rPr>
                <w:rFonts w:hint="eastAsia" w:asciiTheme="majorEastAsia" w:hAnsiTheme="majorEastAsia" w:eastAsiaTheme="majorEastAsia"/>
                <w:color w:val="auto"/>
                <w:sz w:val="18"/>
                <w:szCs w:val="18"/>
                <w:highlight w:val="none"/>
              </w:rPr>
              <w:t>满意度调查表分别对医院工作人员进行满意度调查，要求</w:t>
            </w:r>
            <w:r>
              <w:rPr>
                <w:rFonts w:hint="eastAsia" w:asciiTheme="majorEastAsia" w:hAnsiTheme="majorEastAsia" w:eastAsiaTheme="majorEastAsia"/>
                <w:color w:val="auto"/>
                <w:sz w:val="18"/>
                <w:szCs w:val="18"/>
                <w:highlight w:val="none"/>
                <w:lang w:val="en-US" w:eastAsia="zh-CN"/>
              </w:rPr>
              <w:t>患者</w:t>
            </w:r>
            <w:r>
              <w:rPr>
                <w:rFonts w:hint="eastAsia" w:asciiTheme="majorEastAsia" w:hAnsiTheme="majorEastAsia" w:eastAsiaTheme="majorEastAsia"/>
                <w:color w:val="auto"/>
                <w:sz w:val="18"/>
                <w:szCs w:val="18"/>
                <w:highlight w:val="none"/>
              </w:rPr>
              <w:t>服务满意度≥</w:t>
            </w:r>
            <w:r>
              <w:rPr>
                <w:rFonts w:hint="eastAsia" w:asciiTheme="majorEastAsia" w:hAnsiTheme="majorEastAsia" w:eastAsiaTheme="majorEastAsia"/>
                <w:color w:val="auto"/>
                <w:sz w:val="18"/>
                <w:szCs w:val="18"/>
                <w:highlight w:val="none"/>
                <w:lang w:val="en-US" w:eastAsia="zh-CN"/>
              </w:rPr>
              <w:t>80</w:t>
            </w:r>
            <w:r>
              <w:rPr>
                <w:rFonts w:hint="eastAsia" w:asciiTheme="majorEastAsia" w:hAnsiTheme="majorEastAsia" w:eastAsiaTheme="majorEastAsia"/>
                <w:color w:val="auto"/>
                <w:sz w:val="18"/>
                <w:szCs w:val="18"/>
                <w:highlight w:val="none"/>
              </w:rPr>
              <w:t>%</w:t>
            </w:r>
            <w:r>
              <w:rPr>
                <w:rFonts w:hint="eastAsia" w:asciiTheme="majorEastAsia" w:hAnsiTheme="majorEastAsia" w:eastAsiaTheme="majorEastAsia"/>
                <w:color w:val="auto"/>
                <w:sz w:val="18"/>
                <w:szCs w:val="18"/>
                <w:highlight w:val="none"/>
                <w:lang w:eastAsia="zh-CN"/>
              </w:rPr>
              <w:t>，</w:t>
            </w:r>
            <w:r>
              <w:rPr>
                <w:rFonts w:hint="eastAsia" w:asciiTheme="majorEastAsia" w:hAnsiTheme="majorEastAsia" w:eastAsiaTheme="majorEastAsia"/>
                <w:color w:val="auto"/>
                <w:sz w:val="18"/>
                <w:szCs w:val="18"/>
                <w:highlight w:val="none"/>
                <w:lang w:val="en-US" w:eastAsia="zh-CN"/>
              </w:rPr>
              <w:t>职工满意度≥80%</w:t>
            </w:r>
            <w:r>
              <w:rPr>
                <w:rFonts w:hint="eastAsia" w:asciiTheme="majorEastAsia" w:hAnsiTheme="majorEastAsia" w:eastAsiaTheme="majorEastAsia"/>
                <w:color w:val="auto"/>
                <w:sz w:val="18"/>
                <w:szCs w:val="18"/>
                <w:highlight w:val="none"/>
                <w:lang w:eastAsia="zh-CN"/>
              </w:rPr>
              <w:t>。</w:t>
            </w:r>
          </w:p>
        </w:tc>
        <w:tc>
          <w:tcPr>
            <w:tcW w:w="690" w:type="dxa"/>
            <w:shd w:val="clear" w:color="000000" w:fill="FFFFFF"/>
            <w:vAlign w:val="center"/>
          </w:tcPr>
          <w:p w14:paraId="6FA76CEF">
            <w:pPr>
              <w:jc w:val="center"/>
              <w:rPr>
                <w:rFonts w:hint="default"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20</w:t>
            </w:r>
          </w:p>
        </w:tc>
        <w:tc>
          <w:tcPr>
            <w:tcW w:w="2999" w:type="dxa"/>
            <w:shd w:val="clear" w:color="auto" w:fill="auto"/>
            <w:vAlign w:val="center"/>
          </w:tcPr>
          <w:p w14:paraId="05C1DFEC">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w:t>
            </w:r>
            <w:r>
              <w:rPr>
                <w:rFonts w:hint="eastAsia" w:asciiTheme="majorEastAsia" w:hAnsiTheme="majorEastAsia" w:eastAsiaTheme="majorEastAsia"/>
                <w:color w:val="auto"/>
                <w:sz w:val="18"/>
                <w:szCs w:val="18"/>
                <w:highlight w:val="none"/>
                <w:lang w:val="en-US" w:eastAsia="zh-CN"/>
              </w:rPr>
              <w:t>季度</w:t>
            </w:r>
            <w:r>
              <w:rPr>
                <w:rFonts w:hint="eastAsia" w:asciiTheme="majorEastAsia" w:hAnsiTheme="majorEastAsia" w:eastAsiaTheme="majorEastAsia"/>
                <w:color w:val="auto"/>
                <w:sz w:val="18"/>
                <w:szCs w:val="18"/>
                <w:highlight w:val="none"/>
              </w:rPr>
              <w:t>分别发放医院工作人员，考评总分为100分，当季考评总分在80分及以上为合格。考核分在80～100分（含80分）之间，不予扣罚，但中选服务商需要对存在问题予以立即改进，如因中选服务商责任所致的同一问题第二次出现的，扣罚500元/次；考核分在75～79分（含79分）之间，每少一分扣1000元/分；考核分在70～74分（含74分）之间，每少一分扣1500元/分；考核分低于70分（不含75分）以下的，每少一分，扣2000元/分；连续两个月考核结果低于70分（不含70分）的，业主方有权单方解除合同重新招标。</w:t>
            </w:r>
          </w:p>
        </w:tc>
        <w:tc>
          <w:tcPr>
            <w:tcW w:w="641" w:type="dxa"/>
            <w:shd w:val="clear" w:color="auto" w:fill="auto"/>
          </w:tcPr>
          <w:p w14:paraId="3626EE66">
            <w:pPr>
              <w:widowControl/>
              <w:jc w:val="left"/>
              <w:rPr>
                <w:rFonts w:asciiTheme="majorEastAsia" w:hAnsiTheme="majorEastAsia" w:eastAsiaTheme="majorEastAsia"/>
                <w:color w:val="auto"/>
                <w:kern w:val="0"/>
                <w:sz w:val="20"/>
                <w:szCs w:val="20"/>
                <w:highlight w:val="none"/>
              </w:rPr>
            </w:pPr>
          </w:p>
        </w:tc>
      </w:tr>
      <w:tr w14:paraId="1712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Align w:val="center"/>
          </w:tcPr>
          <w:p w14:paraId="71B5AD9A">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三、应急处理(15分)</w:t>
            </w:r>
          </w:p>
        </w:tc>
        <w:tc>
          <w:tcPr>
            <w:tcW w:w="5098" w:type="dxa"/>
            <w:shd w:val="clear" w:color="000000" w:fill="FFFFFF"/>
            <w:vAlign w:val="center"/>
          </w:tcPr>
          <w:p w14:paraId="6A7DF8E3">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严格控制餐饮供应质量，保证中毒发生率为0。一旦发生食物中毒的事件，第一时间积极正确地进行处理，并上报相关主管部门，不得隐瞒。</w:t>
            </w:r>
          </w:p>
        </w:tc>
        <w:tc>
          <w:tcPr>
            <w:tcW w:w="690" w:type="dxa"/>
            <w:shd w:val="clear" w:color="000000" w:fill="FFFFFF"/>
            <w:vAlign w:val="center"/>
          </w:tcPr>
          <w:p w14:paraId="13BCDD1D">
            <w:pPr>
              <w:jc w:val="center"/>
              <w:rPr>
                <w:rFonts w:hint="default"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15</w:t>
            </w:r>
          </w:p>
        </w:tc>
        <w:tc>
          <w:tcPr>
            <w:tcW w:w="2999" w:type="dxa"/>
            <w:shd w:val="clear" w:color="auto" w:fill="auto"/>
            <w:vAlign w:val="center"/>
          </w:tcPr>
          <w:p w14:paraId="0C06D0D4">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发生一次中毒事件扣</w:t>
            </w:r>
            <w:r>
              <w:rPr>
                <w:rFonts w:hint="eastAsia" w:asciiTheme="majorEastAsia" w:hAnsiTheme="majorEastAsia" w:eastAsiaTheme="majorEastAsia"/>
                <w:color w:val="auto"/>
                <w:sz w:val="18"/>
                <w:szCs w:val="18"/>
                <w:highlight w:val="none"/>
                <w:lang w:val="en-US" w:eastAsia="zh-CN"/>
              </w:rPr>
              <w:t>15</w:t>
            </w:r>
            <w:r>
              <w:rPr>
                <w:rFonts w:hint="eastAsia" w:asciiTheme="majorEastAsia" w:hAnsiTheme="majorEastAsia" w:eastAsiaTheme="majorEastAsia"/>
                <w:color w:val="auto"/>
                <w:sz w:val="18"/>
                <w:szCs w:val="18"/>
                <w:highlight w:val="none"/>
              </w:rPr>
              <w:t>分；发生后未按要求进行应急处理或隐瞒不报的扣6分/次；如因公司原因造成重大损失或两个月内连续发生两起中毒事件的，医院有权单方无条件终止合同。</w:t>
            </w:r>
          </w:p>
        </w:tc>
        <w:tc>
          <w:tcPr>
            <w:tcW w:w="641" w:type="dxa"/>
            <w:shd w:val="clear" w:color="auto" w:fill="auto"/>
          </w:tcPr>
          <w:p w14:paraId="54A026DE">
            <w:pPr>
              <w:widowControl/>
              <w:jc w:val="left"/>
              <w:rPr>
                <w:rFonts w:asciiTheme="majorEastAsia" w:hAnsiTheme="majorEastAsia" w:eastAsiaTheme="majorEastAsia"/>
                <w:color w:val="auto"/>
                <w:kern w:val="0"/>
                <w:sz w:val="20"/>
                <w:szCs w:val="20"/>
                <w:highlight w:val="none"/>
              </w:rPr>
            </w:pPr>
          </w:p>
        </w:tc>
      </w:tr>
      <w:tr w14:paraId="677C8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Align w:val="center"/>
          </w:tcPr>
          <w:p w14:paraId="0EF01191">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四、劳动纪律(4分)</w:t>
            </w:r>
          </w:p>
        </w:tc>
        <w:tc>
          <w:tcPr>
            <w:tcW w:w="5098" w:type="dxa"/>
            <w:shd w:val="clear" w:color="000000" w:fill="FFFFFF"/>
            <w:vAlign w:val="center"/>
          </w:tcPr>
          <w:p w14:paraId="15498FFE">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所有员工应身心健康（有体检，无传染性疾病、无违法犯罪记录），持《健康证》并经培训合格后方可上岗。工作时间应穿戴整洁，遵守医院各项规章制度，积极主动为患者提供服务，服务态度好，不得无故与医务人员发生争执；在岗时不得看书、看报、听收音机、玩手机、</w:t>
            </w:r>
            <w:r>
              <w:rPr>
                <w:rFonts w:hint="eastAsia" w:asciiTheme="majorEastAsia" w:hAnsiTheme="majorEastAsia" w:eastAsiaTheme="majorEastAsia"/>
                <w:color w:val="auto"/>
                <w:sz w:val="18"/>
                <w:szCs w:val="18"/>
                <w:highlight w:val="none"/>
                <w:lang w:eastAsia="zh-CN"/>
              </w:rPr>
              <w:t>串岗</w:t>
            </w:r>
            <w:r>
              <w:rPr>
                <w:rFonts w:hint="eastAsia" w:asciiTheme="majorEastAsia" w:hAnsiTheme="majorEastAsia" w:eastAsiaTheme="majorEastAsia"/>
                <w:color w:val="auto"/>
                <w:sz w:val="18"/>
                <w:szCs w:val="18"/>
                <w:highlight w:val="none"/>
              </w:rPr>
              <w:t>、聚集聊天、睡觉、办私事、滋事、酗酒、聚众斗殴或赌博、盗窃、侵占或故意毁坏医院财物、刁难群众、敲诈勒索等违法行为。应积极配合医院做好参观、检查、</w:t>
            </w:r>
            <w:r>
              <w:rPr>
                <w:rFonts w:hint="eastAsia" w:asciiTheme="majorEastAsia" w:hAnsiTheme="majorEastAsia" w:eastAsiaTheme="majorEastAsia"/>
                <w:color w:val="auto"/>
                <w:sz w:val="18"/>
                <w:szCs w:val="18"/>
                <w:highlight w:val="none"/>
                <w:lang w:eastAsia="zh-CN"/>
              </w:rPr>
              <w:t>视察</w:t>
            </w:r>
            <w:r>
              <w:rPr>
                <w:rFonts w:hint="eastAsia" w:asciiTheme="majorEastAsia" w:hAnsiTheme="majorEastAsia" w:eastAsiaTheme="majorEastAsia"/>
                <w:color w:val="auto"/>
                <w:sz w:val="18"/>
                <w:szCs w:val="18"/>
                <w:highlight w:val="none"/>
              </w:rPr>
              <w:t>等的接待工作。</w:t>
            </w:r>
          </w:p>
        </w:tc>
        <w:tc>
          <w:tcPr>
            <w:tcW w:w="690" w:type="dxa"/>
            <w:shd w:val="clear" w:color="000000" w:fill="FFFFFF"/>
            <w:vAlign w:val="center"/>
          </w:tcPr>
          <w:p w14:paraId="277001CE">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43501BE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如有违反，视情节轻重，扣0.5</w:t>
            </w:r>
            <w:r>
              <w:rPr>
                <w:rFonts w:hint="eastAsia" w:asciiTheme="majorEastAsia" w:hAnsiTheme="majorEastAsia" w:eastAsiaTheme="majorEastAsia"/>
                <w:color w:val="auto"/>
                <w:sz w:val="18"/>
                <w:szCs w:val="18"/>
                <w:highlight w:val="none"/>
                <w:lang w:eastAsia="zh-CN"/>
              </w:rPr>
              <w:t>～</w:t>
            </w:r>
            <w:r>
              <w:rPr>
                <w:rFonts w:hint="eastAsia" w:asciiTheme="majorEastAsia" w:hAnsiTheme="majorEastAsia" w:eastAsiaTheme="majorEastAsia"/>
                <w:color w:val="auto"/>
                <w:sz w:val="18"/>
                <w:szCs w:val="18"/>
                <w:highlight w:val="none"/>
              </w:rPr>
              <w:t>5分/次或依法追究法律责任；情节严重的，相关人员必须在一周内无条件调离本院。如果检查发现员工无健康证的，</w:t>
            </w:r>
            <w:r>
              <w:rPr>
                <w:rFonts w:hint="eastAsia" w:asciiTheme="majorEastAsia" w:hAnsiTheme="majorEastAsia" w:eastAsiaTheme="majorEastAsia"/>
                <w:color w:val="auto"/>
                <w:sz w:val="18"/>
                <w:szCs w:val="18"/>
                <w:highlight w:val="none"/>
                <w:lang w:eastAsia="zh-CN"/>
              </w:rPr>
              <w:t>应</w:t>
            </w:r>
            <w:r>
              <w:rPr>
                <w:rFonts w:hint="eastAsia" w:asciiTheme="majorEastAsia" w:hAnsiTheme="majorEastAsia" w:eastAsiaTheme="majorEastAsia"/>
                <w:color w:val="auto"/>
                <w:sz w:val="18"/>
                <w:szCs w:val="18"/>
                <w:highlight w:val="none"/>
              </w:rPr>
              <w:t>及时办理，如果无不正当理由不按要求办理的，扣罚服务质量1分/人，</w:t>
            </w:r>
            <w:r>
              <w:rPr>
                <w:rFonts w:hint="eastAsia" w:asciiTheme="majorEastAsia" w:hAnsiTheme="majorEastAsia" w:eastAsiaTheme="majorEastAsia"/>
                <w:color w:val="auto"/>
                <w:sz w:val="18"/>
                <w:szCs w:val="18"/>
                <w:highlight w:val="none"/>
                <w:lang w:eastAsia="zh-CN"/>
              </w:rPr>
              <w:t>业主方</w:t>
            </w:r>
            <w:r>
              <w:rPr>
                <w:rFonts w:hint="eastAsia" w:asciiTheme="majorEastAsia" w:hAnsiTheme="majorEastAsia" w:eastAsiaTheme="majorEastAsia"/>
                <w:color w:val="auto"/>
                <w:sz w:val="18"/>
                <w:szCs w:val="18"/>
                <w:highlight w:val="none"/>
              </w:rPr>
              <w:t>保留换人的权利。</w:t>
            </w:r>
          </w:p>
        </w:tc>
        <w:tc>
          <w:tcPr>
            <w:tcW w:w="641" w:type="dxa"/>
            <w:shd w:val="clear" w:color="auto" w:fill="auto"/>
          </w:tcPr>
          <w:p w14:paraId="22FBE5E0">
            <w:pPr>
              <w:widowControl/>
              <w:jc w:val="left"/>
              <w:rPr>
                <w:rFonts w:asciiTheme="majorEastAsia" w:hAnsiTheme="majorEastAsia" w:eastAsiaTheme="majorEastAsia"/>
                <w:color w:val="auto"/>
                <w:kern w:val="0"/>
                <w:sz w:val="20"/>
                <w:szCs w:val="20"/>
                <w:highlight w:val="none"/>
              </w:rPr>
            </w:pPr>
          </w:p>
        </w:tc>
      </w:tr>
      <w:tr w14:paraId="5B06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9" w:hRule="atLeast"/>
          <w:jc w:val="center"/>
        </w:trPr>
        <w:tc>
          <w:tcPr>
            <w:tcW w:w="763" w:type="dxa"/>
            <w:vAlign w:val="center"/>
          </w:tcPr>
          <w:p w14:paraId="5A4D9C15">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五、食品采购(5分)</w:t>
            </w:r>
          </w:p>
        </w:tc>
        <w:tc>
          <w:tcPr>
            <w:tcW w:w="5098" w:type="dxa"/>
            <w:shd w:val="clear" w:color="000000" w:fill="FFFFFF"/>
            <w:vAlign w:val="center"/>
          </w:tcPr>
          <w:p w14:paraId="2E7251F4">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①具有购物发票、收据、采购清单等凭证备查；②具备供应商的相关资质证明（包括营业执照、食品生产许可证、食品流通证等）及产品合格证明（食品检验合格证、报告单、畜禽肉类的兽医卫生</w:t>
            </w:r>
            <w:r>
              <w:rPr>
                <w:rFonts w:hint="eastAsia" w:asciiTheme="majorEastAsia" w:hAnsiTheme="majorEastAsia" w:eastAsiaTheme="majorEastAsia"/>
                <w:color w:val="auto"/>
                <w:sz w:val="18"/>
                <w:szCs w:val="18"/>
                <w:highlight w:val="none"/>
                <w:lang w:eastAsia="zh-CN"/>
              </w:rPr>
              <w:t>检验</w:t>
            </w:r>
            <w:r>
              <w:rPr>
                <w:rFonts w:hint="eastAsia" w:asciiTheme="majorEastAsia" w:hAnsiTheme="majorEastAsia" w:eastAsiaTheme="majorEastAsia"/>
                <w:color w:val="auto"/>
                <w:sz w:val="18"/>
                <w:szCs w:val="18"/>
                <w:highlight w:val="none"/>
              </w:rPr>
              <w:t>合格证等）；③具有进货台账，如实记录产品名称、规格、数量、生产批号、保质期、供货者名称及联系方式、进货日期等内容；④不采购国家禁止生产经营的</w:t>
            </w:r>
            <w:r>
              <w:rPr>
                <w:rFonts w:hint="eastAsia" w:asciiTheme="majorEastAsia" w:hAnsiTheme="majorEastAsia" w:eastAsiaTheme="majorEastAsia"/>
                <w:color w:val="auto"/>
                <w:sz w:val="18"/>
                <w:szCs w:val="18"/>
                <w:highlight w:val="none"/>
                <w:lang w:eastAsia="zh-CN"/>
              </w:rPr>
              <w:t>食品添加剂</w:t>
            </w:r>
            <w:r>
              <w:rPr>
                <w:rFonts w:hint="eastAsia" w:asciiTheme="majorEastAsia" w:hAnsiTheme="majorEastAsia" w:eastAsiaTheme="majorEastAsia"/>
                <w:color w:val="auto"/>
                <w:sz w:val="18"/>
                <w:szCs w:val="18"/>
                <w:highlight w:val="none"/>
              </w:rPr>
              <w:t>、食品原料（包括不能提供检疫合格证明的畜禽肉类；不明动物的器官、组织和腺体；</w:t>
            </w:r>
            <w:r>
              <w:rPr>
                <w:rFonts w:hint="eastAsia" w:asciiTheme="majorEastAsia" w:hAnsiTheme="majorEastAsia" w:eastAsiaTheme="majorEastAsia"/>
                <w:color w:val="auto"/>
                <w:sz w:val="18"/>
                <w:szCs w:val="18"/>
                <w:highlight w:val="none"/>
                <w:lang w:eastAsia="zh-CN"/>
              </w:rPr>
              <w:t>河豚</w:t>
            </w:r>
            <w:r>
              <w:rPr>
                <w:rFonts w:hint="eastAsia" w:asciiTheme="majorEastAsia" w:hAnsiTheme="majorEastAsia" w:eastAsiaTheme="majorEastAsia"/>
                <w:color w:val="auto"/>
                <w:sz w:val="18"/>
                <w:szCs w:val="18"/>
                <w:highlight w:val="none"/>
              </w:rPr>
              <w:t>及其制品；死鱼死虾死蟹等）⑤不使用被包装材料、容器、运输工具等污染的食品；</w:t>
            </w:r>
          </w:p>
        </w:tc>
        <w:tc>
          <w:tcPr>
            <w:tcW w:w="690" w:type="dxa"/>
            <w:shd w:val="clear" w:color="000000" w:fill="FFFFFF"/>
            <w:vAlign w:val="center"/>
          </w:tcPr>
          <w:p w14:paraId="33C3B04D">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5</w:t>
            </w:r>
          </w:p>
        </w:tc>
        <w:tc>
          <w:tcPr>
            <w:tcW w:w="2999" w:type="dxa"/>
            <w:shd w:val="clear" w:color="auto" w:fill="auto"/>
            <w:vAlign w:val="center"/>
          </w:tcPr>
          <w:p w14:paraId="2A901C1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查阅与核实资料，缺一项扣0.1分，扣完为止。如发现采购或使用国家禁止的食品和原料的，发现一次扣0.2分，并进行200元处罚。</w:t>
            </w:r>
          </w:p>
        </w:tc>
        <w:tc>
          <w:tcPr>
            <w:tcW w:w="641" w:type="dxa"/>
            <w:shd w:val="clear" w:color="auto" w:fill="auto"/>
          </w:tcPr>
          <w:p w14:paraId="41A2B695">
            <w:pPr>
              <w:widowControl/>
              <w:jc w:val="left"/>
              <w:rPr>
                <w:rFonts w:asciiTheme="majorEastAsia" w:hAnsiTheme="majorEastAsia" w:eastAsiaTheme="majorEastAsia"/>
                <w:color w:val="auto"/>
                <w:kern w:val="0"/>
                <w:sz w:val="20"/>
                <w:szCs w:val="20"/>
                <w:highlight w:val="none"/>
              </w:rPr>
            </w:pPr>
          </w:p>
        </w:tc>
      </w:tr>
      <w:tr w14:paraId="5BCC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3" w:type="dxa"/>
            <w:vAlign w:val="center"/>
          </w:tcPr>
          <w:p w14:paraId="1C306AB1">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六、食品贮存(5分)</w:t>
            </w:r>
          </w:p>
        </w:tc>
        <w:tc>
          <w:tcPr>
            <w:tcW w:w="5098" w:type="dxa"/>
            <w:shd w:val="clear" w:color="000000" w:fill="FFFFFF"/>
            <w:vAlign w:val="center"/>
          </w:tcPr>
          <w:p w14:paraId="7EB4394D">
            <w:pPr>
              <w:widowControl/>
              <w:jc w:val="left"/>
              <w:rPr>
                <w:rFonts w:cs="宋体" w:asciiTheme="majorEastAsia" w:hAnsiTheme="majorEastAsia" w:eastAsiaTheme="majorEastAsia"/>
                <w:bCs/>
                <w:color w:val="auto"/>
                <w:kern w:val="0"/>
                <w:sz w:val="18"/>
                <w:szCs w:val="18"/>
                <w:highlight w:val="none"/>
              </w:rPr>
            </w:pPr>
            <w:r>
              <w:rPr>
                <w:rFonts w:hint="eastAsia" w:cs="宋体" w:asciiTheme="majorEastAsia" w:hAnsiTheme="majorEastAsia" w:eastAsiaTheme="majorEastAsia"/>
                <w:bCs/>
                <w:color w:val="auto"/>
                <w:kern w:val="0"/>
                <w:sz w:val="18"/>
                <w:szCs w:val="18"/>
                <w:highlight w:val="none"/>
              </w:rPr>
              <w:t>①储存温度达到要求：冷藏（鲜肉、禽类、鱼类和乳制品、拆封后的预包装食品＜5℃；鲜蛋和活的贝类＜7℃；新鲜蔬菜和水果5～7℃）、冷冻（＜-18℃）、常温(10～20℃)；②分类、分区、隔墙、离地10cm以上存放，冷藏和冷冻库应分区存放并具备明显标识；③保证冷库(冰箱)工作状况良好，</w:t>
            </w:r>
            <w:r>
              <w:rPr>
                <w:rFonts w:hint="eastAsia" w:cs="宋体" w:asciiTheme="majorEastAsia" w:hAnsiTheme="majorEastAsia" w:eastAsiaTheme="majorEastAsia"/>
                <w:bCs/>
                <w:color w:val="auto"/>
                <w:kern w:val="0"/>
                <w:sz w:val="18"/>
                <w:szCs w:val="18"/>
                <w:highlight w:val="none"/>
                <w:lang w:val="en-US" w:eastAsia="zh-CN"/>
              </w:rPr>
              <w:t>少</w:t>
            </w:r>
            <w:r>
              <w:rPr>
                <w:rFonts w:hint="eastAsia" w:cs="宋体" w:asciiTheme="majorEastAsia" w:hAnsiTheme="majorEastAsia" w:eastAsiaTheme="majorEastAsia"/>
                <w:bCs/>
                <w:color w:val="auto"/>
                <w:kern w:val="0"/>
                <w:sz w:val="18"/>
                <w:szCs w:val="18"/>
                <w:highlight w:val="none"/>
              </w:rPr>
              <w:t>积霜，食品不堆积、挤压存放；④冷藏的原料、半成品、成品严格分开，并装入密封的容器中或进行包裹，冰箱外部有存放食品种类的明显标识；⑤生、熟食品容器分开使用，按照熟上生下的原则存放。⑥无包装的食品与调料是否用清洁干净的容器盛装并加盖；⑦库房应设置防鼠板；⑧贮存食品及食品原料的场所、设备不得存放有毒、有害物品及个人生活物品；⑨定期检查库存食品及食品原料，及时清理变质或者超过保质期的食品。</w:t>
            </w:r>
          </w:p>
        </w:tc>
        <w:tc>
          <w:tcPr>
            <w:tcW w:w="690" w:type="dxa"/>
            <w:shd w:val="clear" w:color="000000" w:fill="FFFFFF"/>
            <w:vAlign w:val="center"/>
          </w:tcPr>
          <w:p w14:paraId="1A16D3DB">
            <w:pPr>
              <w:widowControl/>
              <w:jc w:val="center"/>
              <w:rPr>
                <w:rFonts w:hint="eastAsia" w:cs="宋体" w:asciiTheme="majorEastAsia" w:hAnsiTheme="majorEastAsia" w:eastAsiaTheme="majorEastAsia"/>
                <w:color w:val="auto"/>
                <w:kern w:val="0"/>
                <w:sz w:val="18"/>
                <w:szCs w:val="18"/>
                <w:highlight w:val="none"/>
                <w:lang w:val="en-US" w:eastAsia="zh-CN"/>
              </w:rPr>
            </w:pPr>
            <w:r>
              <w:rPr>
                <w:rFonts w:hint="eastAsia" w:cs="宋体" w:asciiTheme="majorEastAsia" w:hAnsiTheme="majorEastAsia" w:eastAsiaTheme="majorEastAsia"/>
                <w:color w:val="auto"/>
                <w:kern w:val="0"/>
                <w:sz w:val="18"/>
                <w:szCs w:val="18"/>
                <w:highlight w:val="none"/>
                <w:lang w:val="en-US" w:eastAsia="zh-CN"/>
              </w:rPr>
              <w:t>5</w:t>
            </w:r>
          </w:p>
        </w:tc>
        <w:tc>
          <w:tcPr>
            <w:tcW w:w="2999" w:type="dxa"/>
            <w:shd w:val="clear" w:color="auto" w:fill="auto"/>
            <w:vAlign w:val="center"/>
          </w:tcPr>
          <w:p w14:paraId="47284183">
            <w:pPr>
              <w:widowControl/>
              <w:jc w:val="left"/>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3F2853B3">
            <w:pPr>
              <w:widowControl/>
              <w:jc w:val="left"/>
              <w:rPr>
                <w:rFonts w:asciiTheme="majorEastAsia" w:hAnsiTheme="majorEastAsia" w:eastAsiaTheme="majorEastAsia"/>
                <w:color w:val="auto"/>
                <w:kern w:val="0"/>
                <w:sz w:val="20"/>
                <w:szCs w:val="20"/>
                <w:highlight w:val="none"/>
              </w:rPr>
            </w:pPr>
          </w:p>
        </w:tc>
      </w:tr>
      <w:tr w14:paraId="0C94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3" w:type="dxa"/>
            <w:vAlign w:val="center"/>
          </w:tcPr>
          <w:p w14:paraId="77CA5C43">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七、食品原料粗加工(5分)</w:t>
            </w:r>
          </w:p>
        </w:tc>
        <w:tc>
          <w:tcPr>
            <w:tcW w:w="5098" w:type="dxa"/>
            <w:shd w:val="clear" w:color="000000" w:fill="FFFFFF"/>
            <w:vAlign w:val="center"/>
          </w:tcPr>
          <w:p w14:paraId="2308F134">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挑拣：去除腐败变质迹象或其他感官性状异常的食品原料，不加工和使用；②清洗：动物性食品原料、植物性食品原料、水产品原料分池清洗，禽蛋在使用前对外壳进行清洗；③解冻：针对不同体积的食品使用正确的解冻方法，食品无反复解冻、冷冻操作；④食品原料、半成品加工场所与成品加工场所分开；⑤食品原料、半成品的加工中所使用的工具、容器、水池，不用作直接入口食品加工使用；⑥加工食品原料、半成品人员如无特殊原因不参与成品的加工。</w:t>
            </w:r>
          </w:p>
        </w:tc>
        <w:tc>
          <w:tcPr>
            <w:tcW w:w="690" w:type="dxa"/>
            <w:shd w:val="clear" w:color="000000" w:fill="FFFFFF"/>
            <w:vAlign w:val="center"/>
          </w:tcPr>
          <w:p w14:paraId="12BC28F7">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5</w:t>
            </w:r>
          </w:p>
        </w:tc>
        <w:tc>
          <w:tcPr>
            <w:tcW w:w="2999" w:type="dxa"/>
            <w:shd w:val="clear" w:color="auto" w:fill="auto"/>
            <w:vAlign w:val="center"/>
          </w:tcPr>
          <w:p w14:paraId="7689FCCB">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09C72F8A">
            <w:pPr>
              <w:widowControl/>
              <w:jc w:val="left"/>
              <w:rPr>
                <w:rFonts w:asciiTheme="majorEastAsia" w:hAnsiTheme="majorEastAsia" w:eastAsiaTheme="majorEastAsia"/>
                <w:color w:val="auto"/>
                <w:kern w:val="0"/>
                <w:sz w:val="20"/>
                <w:szCs w:val="20"/>
                <w:highlight w:val="none"/>
              </w:rPr>
            </w:pPr>
          </w:p>
        </w:tc>
      </w:tr>
      <w:tr w14:paraId="1C619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63" w:type="dxa"/>
            <w:vAlign w:val="center"/>
          </w:tcPr>
          <w:p w14:paraId="6DC7754B">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八、烹调加工(5分)</w:t>
            </w:r>
          </w:p>
        </w:tc>
        <w:tc>
          <w:tcPr>
            <w:tcW w:w="5098" w:type="dxa"/>
            <w:shd w:val="clear" w:color="000000" w:fill="FFFFFF"/>
            <w:vAlign w:val="center"/>
          </w:tcPr>
          <w:p w14:paraId="6EB23419">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不烹饪加工腐败变质或其他感官性状异常、回收后的食品，熟制加工的食品中心温度应不低于75℃，且15秒以上；②烹调加工后的成品与半成品、原料分开存放；③调味料盛放器皿每天清洁，使用后随即加盖；不与地面或污垢接触；④食品再加热前确认食品是否变质，冷冻熟食品应彻底解冻后充分加热，加热食品的中心温度不低于75℃，再加热不要超过一次；⑤添加剂应专人采购、专人保管、专人领用、专人登记、专柜保存，严格按照规定量使用，不使用禁止的食品添加剂；⑥烹调后的熟食品应用消毒后的工具进行分装或整理；用手直接进行操作时先清洗、消毒双手，并且最好戴上清洁的一次性塑料或橡胶手套。⑦凉菜及裱花操作、生食海产品、饮料现榨及水果拼盘制作加工达到专人负责、专室制作、工具专用、消毒专用和冷藏专用的要求。</w:t>
            </w:r>
          </w:p>
        </w:tc>
        <w:tc>
          <w:tcPr>
            <w:tcW w:w="690" w:type="dxa"/>
            <w:shd w:val="clear" w:color="000000" w:fill="FFFFFF"/>
            <w:vAlign w:val="center"/>
          </w:tcPr>
          <w:p w14:paraId="59F87BE7">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5</w:t>
            </w:r>
          </w:p>
        </w:tc>
        <w:tc>
          <w:tcPr>
            <w:tcW w:w="2999" w:type="dxa"/>
            <w:shd w:val="clear" w:color="auto" w:fill="auto"/>
            <w:vAlign w:val="center"/>
          </w:tcPr>
          <w:p w14:paraId="1566D9F9">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3B08D88D">
            <w:pPr>
              <w:widowControl/>
              <w:jc w:val="left"/>
              <w:rPr>
                <w:rFonts w:asciiTheme="majorEastAsia" w:hAnsiTheme="majorEastAsia" w:eastAsiaTheme="majorEastAsia"/>
                <w:color w:val="auto"/>
                <w:kern w:val="0"/>
                <w:sz w:val="20"/>
                <w:szCs w:val="20"/>
                <w:highlight w:val="none"/>
              </w:rPr>
            </w:pPr>
          </w:p>
        </w:tc>
      </w:tr>
      <w:tr w14:paraId="292B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jc w:val="center"/>
        </w:trPr>
        <w:tc>
          <w:tcPr>
            <w:tcW w:w="763" w:type="dxa"/>
            <w:vAlign w:val="center"/>
          </w:tcPr>
          <w:p w14:paraId="01E2954A">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九、售价管理（10分）</w:t>
            </w:r>
          </w:p>
        </w:tc>
        <w:tc>
          <w:tcPr>
            <w:tcW w:w="5098" w:type="dxa"/>
            <w:shd w:val="clear" w:color="000000" w:fill="FFFFFF"/>
            <w:vAlign w:val="center"/>
          </w:tcPr>
          <w:p w14:paraId="0EB93C49">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①所有的商品必须明码标价进行销售。</w:t>
            </w:r>
          </w:p>
          <w:p w14:paraId="1CF66CA9">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②必须按</w:t>
            </w:r>
            <w:r>
              <w:rPr>
                <w:rFonts w:hint="eastAsia" w:asciiTheme="majorEastAsia" w:hAnsiTheme="majorEastAsia" w:eastAsiaTheme="majorEastAsia"/>
                <w:color w:val="auto"/>
                <w:sz w:val="18"/>
                <w:szCs w:val="18"/>
                <w:highlight w:val="none"/>
                <w:lang w:val="en-US" w:eastAsia="zh-CN"/>
              </w:rPr>
              <w:t>医院审核定价及最终的下浮率</w:t>
            </w:r>
            <w:r>
              <w:rPr>
                <w:rFonts w:hint="eastAsia" w:asciiTheme="majorEastAsia" w:hAnsiTheme="majorEastAsia" w:eastAsiaTheme="majorEastAsia"/>
                <w:color w:val="auto"/>
                <w:sz w:val="18"/>
                <w:szCs w:val="18"/>
                <w:highlight w:val="none"/>
              </w:rPr>
              <w:t>为职工提供餐饮和按</w:t>
            </w:r>
            <w:r>
              <w:rPr>
                <w:rFonts w:hint="eastAsia" w:asciiTheme="majorEastAsia" w:hAnsiTheme="majorEastAsia" w:eastAsiaTheme="majorEastAsia"/>
                <w:color w:val="auto"/>
                <w:sz w:val="18"/>
                <w:szCs w:val="18"/>
                <w:highlight w:val="none"/>
                <w:lang w:val="en-US" w:eastAsia="zh-CN"/>
              </w:rPr>
              <w:t>成本价</w:t>
            </w:r>
            <w:r>
              <w:rPr>
                <w:rFonts w:hint="eastAsia" w:asciiTheme="majorEastAsia" w:hAnsiTheme="majorEastAsia" w:eastAsiaTheme="majorEastAsia"/>
                <w:color w:val="auto"/>
                <w:sz w:val="18"/>
                <w:szCs w:val="18"/>
                <w:highlight w:val="none"/>
              </w:rPr>
              <w:t>提供医院的</w:t>
            </w:r>
            <w:r>
              <w:rPr>
                <w:rFonts w:hint="eastAsia" w:cs="Times New Roman" w:asciiTheme="majorEastAsia" w:hAnsiTheme="majorEastAsia" w:eastAsiaTheme="majorEastAsia"/>
                <w:color w:val="auto"/>
                <w:kern w:val="2"/>
                <w:sz w:val="18"/>
                <w:szCs w:val="18"/>
                <w:highlight w:val="none"/>
                <w:lang w:val="en-US" w:eastAsia="zh-CN" w:bidi="ar-SA"/>
              </w:rPr>
              <w:t>体检餐、</w:t>
            </w:r>
            <w:r>
              <w:rPr>
                <w:rFonts w:hint="eastAsia" w:asciiTheme="majorEastAsia" w:hAnsiTheme="majorEastAsia" w:eastAsiaTheme="majorEastAsia"/>
                <w:color w:val="auto"/>
                <w:sz w:val="18"/>
                <w:szCs w:val="18"/>
                <w:highlight w:val="none"/>
              </w:rPr>
              <w:t>公务餐、会议餐、职工包餐、盒饭、院方需要的各类临时性用餐服务。</w:t>
            </w:r>
          </w:p>
          <w:p w14:paraId="3DF9B4DF">
            <w:pPr>
              <w:keepNext w:val="0"/>
              <w:keepLines w:val="0"/>
              <w:pageBreakBefore w:val="0"/>
              <w:widowControl w:val="0"/>
              <w:kinsoku/>
              <w:wordWrap/>
              <w:overflowPunct/>
              <w:topLinePunct w:val="0"/>
              <w:autoSpaceDE/>
              <w:autoSpaceDN/>
              <w:bidi w:val="0"/>
              <w:adjustRightInd/>
              <w:snapToGrid/>
              <w:textAlignment w:val="auto"/>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③各类特殊治疗膳食，定价不得高于住院患者基本膳食定价的一倍。</w:t>
            </w:r>
          </w:p>
          <w:p w14:paraId="426B3D71">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asciiTheme="majorEastAsia" w:hAnsiTheme="majorEastAsia" w:eastAsiaTheme="majorEastAsia"/>
                <w:color w:val="auto"/>
                <w:highlight w:val="none"/>
              </w:rPr>
            </w:pPr>
            <w:r>
              <w:rPr>
                <w:rFonts w:hint="eastAsia" w:asciiTheme="majorEastAsia" w:hAnsiTheme="majorEastAsia" w:eastAsiaTheme="majorEastAsia"/>
                <w:color w:val="auto"/>
                <w:kern w:val="2"/>
                <w:sz w:val="18"/>
                <w:szCs w:val="18"/>
                <w:highlight w:val="none"/>
              </w:rPr>
              <w:t>④</w:t>
            </w:r>
            <w:r>
              <w:rPr>
                <w:rFonts w:hint="eastAsia" w:cs="Times New Roman" w:asciiTheme="majorEastAsia" w:hAnsiTheme="majorEastAsia" w:eastAsiaTheme="majorEastAsia"/>
                <w:color w:val="auto"/>
                <w:kern w:val="2"/>
                <w:sz w:val="18"/>
                <w:szCs w:val="18"/>
                <w:highlight w:val="none"/>
                <w:lang w:val="en-US" w:eastAsia="zh-CN" w:bidi="ar-SA"/>
              </w:rPr>
              <w:t>为产妇、患者及家属提供的餐饮不得高于市场同等水平，不得私自调整价格。</w:t>
            </w:r>
          </w:p>
        </w:tc>
        <w:tc>
          <w:tcPr>
            <w:tcW w:w="690" w:type="dxa"/>
            <w:shd w:val="clear" w:color="000000" w:fill="FFFFFF"/>
            <w:vAlign w:val="center"/>
          </w:tcPr>
          <w:p w14:paraId="0A1B6F87">
            <w:pPr>
              <w:jc w:val="center"/>
              <w:rPr>
                <w:rFonts w:hint="default"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10</w:t>
            </w:r>
          </w:p>
        </w:tc>
        <w:tc>
          <w:tcPr>
            <w:tcW w:w="2999" w:type="dxa"/>
            <w:shd w:val="clear" w:color="auto" w:fill="auto"/>
            <w:vAlign w:val="center"/>
          </w:tcPr>
          <w:p w14:paraId="5152F629">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不定期随时抽查，如发现一项不符合要求的或超出定价的，每次扣2分/项，公司应立即对价格进行调整。如复查仍发现同类情况</w:t>
            </w:r>
            <w:r>
              <w:rPr>
                <w:rFonts w:hint="eastAsia" w:asciiTheme="majorEastAsia" w:hAnsiTheme="majorEastAsia" w:eastAsiaTheme="majorEastAsia"/>
                <w:color w:val="auto"/>
                <w:sz w:val="18"/>
                <w:szCs w:val="18"/>
                <w:highlight w:val="none"/>
                <w:lang w:eastAsia="zh-CN"/>
              </w:rPr>
              <w:t>的</w:t>
            </w:r>
            <w:r>
              <w:rPr>
                <w:rFonts w:hint="eastAsia" w:asciiTheme="majorEastAsia" w:hAnsiTheme="majorEastAsia" w:eastAsiaTheme="majorEastAsia"/>
                <w:color w:val="auto"/>
                <w:sz w:val="18"/>
                <w:szCs w:val="18"/>
                <w:highlight w:val="none"/>
              </w:rPr>
              <w:t>，扣减5分/项，并进行处罚100元/项。</w:t>
            </w:r>
          </w:p>
        </w:tc>
        <w:tc>
          <w:tcPr>
            <w:tcW w:w="641" w:type="dxa"/>
            <w:shd w:val="clear" w:color="auto" w:fill="auto"/>
          </w:tcPr>
          <w:p w14:paraId="6BC3BB07">
            <w:pPr>
              <w:widowControl/>
              <w:jc w:val="left"/>
              <w:rPr>
                <w:rFonts w:asciiTheme="majorEastAsia" w:hAnsiTheme="majorEastAsia" w:eastAsiaTheme="majorEastAsia"/>
                <w:color w:val="auto"/>
                <w:kern w:val="0"/>
                <w:sz w:val="20"/>
                <w:szCs w:val="20"/>
                <w:highlight w:val="none"/>
              </w:rPr>
            </w:pPr>
          </w:p>
        </w:tc>
      </w:tr>
      <w:tr w14:paraId="631F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5" w:hRule="atLeast"/>
          <w:jc w:val="center"/>
        </w:trPr>
        <w:tc>
          <w:tcPr>
            <w:tcW w:w="763" w:type="dxa"/>
            <w:vAlign w:val="center"/>
          </w:tcPr>
          <w:p w14:paraId="461660F4">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十、个人卫生(4分)</w:t>
            </w:r>
          </w:p>
        </w:tc>
        <w:tc>
          <w:tcPr>
            <w:tcW w:w="5098" w:type="dxa"/>
            <w:shd w:val="clear" w:color="000000" w:fill="FFFFFF"/>
            <w:vAlign w:val="center"/>
          </w:tcPr>
          <w:p w14:paraId="31C5E4DB">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加工操作时应穿戴清洁的工作服、工作帽，头发应盘入工作帽内，不得留长指甲或涂指甲油；②加工操作时不得抽烟；③接触直接入口食品之前应洗手或消毒，并规范佩戴口罩；④如手部破损应采取有效防污染措施；⑤对患上呼吸道炎症或口腔疾病的人，要求必须暂时脱离接触直接入口食品的工作，严防对食品的污染。⑥禁止在食品加工过程中嚼口香糖、饮食，非必要时不得互相交谈；⑦严禁随地吐痰、不穿拖鞋、不戴戒指，操作前后及大小便后要洗净双手。</w:t>
            </w:r>
          </w:p>
        </w:tc>
        <w:tc>
          <w:tcPr>
            <w:tcW w:w="690" w:type="dxa"/>
            <w:shd w:val="clear" w:color="000000" w:fill="FFFFFF"/>
            <w:vAlign w:val="center"/>
          </w:tcPr>
          <w:p w14:paraId="6AC9916B">
            <w:pPr>
              <w:jc w:val="center"/>
              <w:rPr>
                <w:rFonts w:hint="eastAsia"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1CB39321">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不定期突击检查，检查发现一项不达标扣0.5分，公司对员工进行教育再培训，并立即完成整改。如复查仍发现同类情况</w:t>
            </w:r>
            <w:r>
              <w:rPr>
                <w:rFonts w:hint="eastAsia" w:asciiTheme="majorEastAsia" w:hAnsiTheme="majorEastAsia" w:eastAsiaTheme="majorEastAsia"/>
                <w:color w:val="auto"/>
                <w:sz w:val="18"/>
                <w:szCs w:val="18"/>
                <w:highlight w:val="none"/>
                <w:lang w:eastAsia="zh-CN"/>
              </w:rPr>
              <w:t>的</w:t>
            </w:r>
            <w:r>
              <w:rPr>
                <w:rFonts w:hint="eastAsia" w:asciiTheme="majorEastAsia" w:hAnsiTheme="majorEastAsia" w:eastAsiaTheme="majorEastAsia"/>
                <w:color w:val="auto"/>
                <w:sz w:val="18"/>
                <w:szCs w:val="18"/>
                <w:highlight w:val="none"/>
              </w:rPr>
              <w:t>，扣减1分/项，并进行处罚100元/项。</w:t>
            </w:r>
          </w:p>
        </w:tc>
        <w:tc>
          <w:tcPr>
            <w:tcW w:w="641" w:type="dxa"/>
            <w:shd w:val="clear" w:color="auto" w:fill="auto"/>
          </w:tcPr>
          <w:p w14:paraId="61C9FFE1">
            <w:pPr>
              <w:widowControl/>
              <w:jc w:val="left"/>
              <w:rPr>
                <w:rFonts w:asciiTheme="majorEastAsia" w:hAnsiTheme="majorEastAsia" w:eastAsiaTheme="majorEastAsia"/>
                <w:color w:val="auto"/>
                <w:kern w:val="0"/>
                <w:sz w:val="20"/>
                <w:szCs w:val="20"/>
                <w:highlight w:val="none"/>
              </w:rPr>
            </w:pPr>
          </w:p>
        </w:tc>
      </w:tr>
      <w:tr w14:paraId="2774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763" w:type="dxa"/>
            <w:vAlign w:val="center"/>
          </w:tcPr>
          <w:p w14:paraId="3EAECFD7">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十一、备餐配送(4分)</w:t>
            </w:r>
          </w:p>
        </w:tc>
        <w:tc>
          <w:tcPr>
            <w:tcW w:w="5098" w:type="dxa"/>
            <w:shd w:val="clear" w:color="000000" w:fill="FFFFFF"/>
            <w:vAlign w:val="center"/>
          </w:tcPr>
          <w:p w14:paraId="7B07A56C">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独立的备餐专间，备餐专间的操作应达到专人负责、专室制作、工具专用、消毒专用和冷藏专用；②盛装菜肴、整理造型的用具容器使用前应进行消毒；不得直接放置于地面、不要堆叠；③食品上加盖，避免食品</w:t>
            </w:r>
            <w:r>
              <w:rPr>
                <w:rFonts w:hint="eastAsia" w:asciiTheme="majorEastAsia" w:hAnsiTheme="majorEastAsia" w:eastAsiaTheme="majorEastAsia"/>
                <w:color w:val="auto"/>
                <w:sz w:val="18"/>
                <w:szCs w:val="18"/>
                <w:highlight w:val="none"/>
                <w:lang w:eastAsia="zh-CN"/>
              </w:rPr>
              <w:t>受到</w:t>
            </w:r>
            <w:r>
              <w:rPr>
                <w:rFonts w:hint="eastAsia" w:asciiTheme="majorEastAsia" w:hAnsiTheme="majorEastAsia" w:eastAsiaTheme="majorEastAsia"/>
                <w:color w:val="auto"/>
                <w:sz w:val="18"/>
                <w:szCs w:val="18"/>
                <w:highlight w:val="none"/>
              </w:rPr>
              <w:t>污染；④配送用餐的车厢内、设备应保持清洁；每次运输食品前进行清洗消毒；在运送装卸过程中也应保持清洁；运输后清洗；⑤运输过程中食品的中心温度保持在10℃以下或60℃以上；⑥不供应腐败变质或者其他感官性状异常的食品。</w:t>
            </w:r>
          </w:p>
        </w:tc>
        <w:tc>
          <w:tcPr>
            <w:tcW w:w="690" w:type="dxa"/>
            <w:shd w:val="clear" w:color="000000" w:fill="FFFFFF"/>
            <w:vAlign w:val="center"/>
          </w:tcPr>
          <w:p w14:paraId="5132C21E">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6FAE14B0">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如接到有效投诉或检查发现供应腐败变质或者其他感官性状异常的食品，扣减0.5分/项，并进行处罚100元/次，如因食用腐败变质、感官性状异常的食品而导致腹泻或造成其他人身损伤的，公司承担因此造</w:t>
            </w:r>
            <w:r>
              <w:rPr>
                <w:rFonts w:hint="eastAsia" w:asciiTheme="majorEastAsia" w:hAnsiTheme="majorEastAsia" w:eastAsiaTheme="majorEastAsia"/>
                <w:color w:val="auto"/>
                <w:sz w:val="18"/>
                <w:szCs w:val="18"/>
                <w:highlight w:val="none"/>
                <w:lang w:eastAsia="zh-CN"/>
              </w:rPr>
              <w:t>成的</w:t>
            </w:r>
            <w:r>
              <w:rPr>
                <w:rFonts w:hint="eastAsia" w:asciiTheme="majorEastAsia" w:hAnsiTheme="majorEastAsia" w:eastAsiaTheme="majorEastAsia"/>
                <w:color w:val="auto"/>
                <w:sz w:val="18"/>
                <w:szCs w:val="18"/>
                <w:highlight w:val="none"/>
              </w:rPr>
              <w:t>后果，情节严重的，医院有权单方无条件终止合同。</w:t>
            </w:r>
          </w:p>
        </w:tc>
        <w:tc>
          <w:tcPr>
            <w:tcW w:w="641" w:type="dxa"/>
            <w:shd w:val="clear" w:color="auto" w:fill="auto"/>
          </w:tcPr>
          <w:p w14:paraId="3B024FDD">
            <w:pPr>
              <w:widowControl/>
              <w:jc w:val="left"/>
              <w:rPr>
                <w:rFonts w:asciiTheme="majorEastAsia" w:hAnsiTheme="majorEastAsia" w:eastAsiaTheme="majorEastAsia"/>
                <w:color w:val="auto"/>
                <w:kern w:val="0"/>
                <w:sz w:val="20"/>
                <w:szCs w:val="20"/>
                <w:highlight w:val="none"/>
              </w:rPr>
            </w:pPr>
          </w:p>
        </w:tc>
      </w:tr>
      <w:tr w14:paraId="5804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Merge w:val="restart"/>
            <w:vAlign w:val="center"/>
          </w:tcPr>
          <w:p w14:paraId="7B3B4135">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十二、清洁与 消毒  (6分)</w:t>
            </w:r>
          </w:p>
        </w:tc>
        <w:tc>
          <w:tcPr>
            <w:tcW w:w="5098" w:type="dxa"/>
            <w:shd w:val="clear" w:color="000000" w:fill="FFFFFF"/>
            <w:vAlign w:val="center"/>
          </w:tcPr>
          <w:p w14:paraId="2100567B">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1.场所的清洁：</w:t>
            </w:r>
            <w:r>
              <w:rPr>
                <w:rFonts w:hint="eastAsia" w:asciiTheme="majorEastAsia" w:hAnsiTheme="majorEastAsia" w:eastAsiaTheme="majorEastAsia"/>
                <w:color w:val="auto"/>
                <w:sz w:val="18"/>
                <w:szCs w:val="18"/>
                <w:highlight w:val="none"/>
              </w:rPr>
              <w:t>①保持场所干燥清洁，每天运作结束后应及时打扫台面、地面，不留死角，不存放与食品加工无关的物品；②废弃物容器应与加工用容器有明显的区分标识且配有盖子，专间内的废弃物容器盖子为非手动开启式；③废弃物应分类放置，及时清除，做到日产日清。清除后的容器应及时清洗，必要时进行消毒；④</w:t>
            </w:r>
            <w:r>
              <w:rPr>
                <w:rFonts w:hint="eastAsia" w:asciiTheme="majorEastAsia" w:hAnsiTheme="majorEastAsia" w:eastAsiaTheme="majorEastAsia"/>
                <w:color w:val="auto"/>
                <w:sz w:val="18"/>
                <w:szCs w:val="18"/>
                <w:highlight w:val="none"/>
                <w:lang w:eastAsia="zh-CN"/>
              </w:rPr>
              <w:t>提供</w:t>
            </w:r>
            <w:r>
              <w:rPr>
                <w:rFonts w:hint="eastAsia" w:asciiTheme="majorEastAsia" w:hAnsiTheme="majorEastAsia" w:eastAsiaTheme="majorEastAsia"/>
                <w:color w:val="auto"/>
                <w:sz w:val="18"/>
                <w:szCs w:val="18"/>
                <w:highlight w:val="none"/>
              </w:rPr>
              <w:t>与处置单位或个人签订的合同及其经营资质证明文件复印件。</w:t>
            </w:r>
          </w:p>
        </w:tc>
        <w:tc>
          <w:tcPr>
            <w:tcW w:w="690" w:type="dxa"/>
            <w:shd w:val="clear" w:color="000000" w:fill="FFFFFF"/>
            <w:vAlign w:val="center"/>
          </w:tcPr>
          <w:p w14:paraId="7A3F0C50">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7AB82D08">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0C009F82">
            <w:pPr>
              <w:widowControl/>
              <w:jc w:val="left"/>
              <w:rPr>
                <w:rFonts w:asciiTheme="majorEastAsia" w:hAnsiTheme="majorEastAsia" w:eastAsiaTheme="majorEastAsia"/>
                <w:color w:val="auto"/>
                <w:kern w:val="0"/>
                <w:sz w:val="20"/>
                <w:szCs w:val="20"/>
                <w:highlight w:val="none"/>
              </w:rPr>
            </w:pPr>
          </w:p>
        </w:tc>
      </w:tr>
      <w:tr w14:paraId="18E5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763" w:type="dxa"/>
            <w:vMerge w:val="continue"/>
            <w:vAlign w:val="center"/>
          </w:tcPr>
          <w:p w14:paraId="11D6BA5C">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4D795868">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2.餐具的清洁：</w:t>
            </w:r>
            <w:r>
              <w:rPr>
                <w:rFonts w:hint="eastAsia" w:asciiTheme="majorEastAsia" w:hAnsiTheme="majorEastAsia" w:eastAsiaTheme="majorEastAsia"/>
                <w:color w:val="auto"/>
                <w:sz w:val="18"/>
                <w:szCs w:val="18"/>
                <w:highlight w:val="none"/>
              </w:rPr>
              <w:t>①餐用具清洗消毒水池应专用，与食品原料、清洁用具及接触非直接入口食品的工具、容器清洗水池分开；清洁后的餐具不得出现残留物与污渍；②抹布应使用浅色布料，不同用途的抹布应区分标记，擦拭直接入口食品接触面的抹布应经过消毒。</w:t>
            </w:r>
          </w:p>
        </w:tc>
        <w:tc>
          <w:tcPr>
            <w:tcW w:w="690" w:type="dxa"/>
            <w:shd w:val="clear" w:color="000000" w:fill="FFFFFF"/>
            <w:vAlign w:val="center"/>
          </w:tcPr>
          <w:p w14:paraId="2BA0DD40">
            <w:pPr>
              <w:jc w:val="center"/>
              <w:rPr>
                <w:rFonts w:hint="default"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62044821">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如3天后复查发现仍未改进的，扣减0.5分/项，并进行处罚100元/次。如接到一起关于餐用具不干净的有效投诉，扣减0.5分/项，情节严重的，进行处罚100元/次。</w:t>
            </w:r>
          </w:p>
        </w:tc>
        <w:tc>
          <w:tcPr>
            <w:tcW w:w="641" w:type="dxa"/>
            <w:shd w:val="clear" w:color="auto" w:fill="auto"/>
          </w:tcPr>
          <w:p w14:paraId="4AC50B3D">
            <w:pPr>
              <w:widowControl/>
              <w:jc w:val="left"/>
              <w:rPr>
                <w:rFonts w:asciiTheme="majorEastAsia" w:hAnsiTheme="majorEastAsia" w:eastAsiaTheme="majorEastAsia"/>
                <w:color w:val="auto"/>
                <w:kern w:val="0"/>
                <w:sz w:val="20"/>
                <w:szCs w:val="20"/>
                <w:highlight w:val="none"/>
              </w:rPr>
            </w:pPr>
          </w:p>
        </w:tc>
      </w:tr>
      <w:tr w14:paraId="7FBF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763" w:type="dxa"/>
            <w:vMerge w:val="continue"/>
            <w:vAlign w:val="center"/>
          </w:tcPr>
          <w:p w14:paraId="0E7A0FA8">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1055D937">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3.设备、设施的清洁：</w:t>
            </w:r>
            <w:r>
              <w:rPr>
                <w:rFonts w:hint="eastAsia" w:asciiTheme="majorEastAsia" w:hAnsiTheme="majorEastAsia" w:eastAsiaTheme="majorEastAsia"/>
                <w:color w:val="auto"/>
                <w:sz w:val="18"/>
                <w:szCs w:val="18"/>
                <w:highlight w:val="none"/>
              </w:rPr>
              <w:t>①地面、厨房灶台、踏板洁净，无积水和油污、碎菜；②壁、天花板、门窗、抽油烟机清洁，无蜘蛛网、霉斑或</w:t>
            </w:r>
            <w:r>
              <w:rPr>
                <w:rFonts w:hint="eastAsia" w:asciiTheme="majorEastAsia" w:hAnsiTheme="majorEastAsia" w:eastAsiaTheme="majorEastAsia"/>
                <w:color w:val="auto"/>
                <w:sz w:val="18"/>
                <w:szCs w:val="18"/>
                <w:highlight w:val="none"/>
                <w:lang w:eastAsia="zh-CN"/>
              </w:rPr>
              <w:t>其他</w:t>
            </w:r>
            <w:r>
              <w:rPr>
                <w:rFonts w:hint="eastAsia" w:asciiTheme="majorEastAsia" w:hAnsiTheme="majorEastAsia" w:eastAsiaTheme="majorEastAsia"/>
                <w:color w:val="auto"/>
                <w:sz w:val="18"/>
                <w:szCs w:val="18"/>
                <w:highlight w:val="none"/>
              </w:rPr>
              <w:t>明显积垢；③食品加工机械内外保持清洁，无残留物，无异味；④食品加工机械内外保持清洁，无残留物，无异味；⑤烹调用具、刀具要定位、保持清洁，案板挂起或竖放，保持清洁干燥。</w:t>
            </w:r>
          </w:p>
        </w:tc>
        <w:tc>
          <w:tcPr>
            <w:tcW w:w="690" w:type="dxa"/>
            <w:shd w:val="clear" w:color="000000" w:fill="FFFFFF"/>
            <w:vAlign w:val="center"/>
          </w:tcPr>
          <w:p w14:paraId="16AB3D6D">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vMerge w:val="restart"/>
            <w:shd w:val="clear" w:color="auto" w:fill="auto"/>
            <w:vAlign w:val="center"/>
          </w:tcPr>
          <w:p w14:paraId="6228B317">
            <w:pPr>
              <w:widowControl/>
              <w:jc w:val="left"/>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每月定期检查，公司应积极配合，检查发现一项不达标扣0.2分，公司应立即整改。如2天后复查发现仍未改进的，扣减0.5分/项，并进行处罚100元/次。</w:t>
            </w:r>
          </w:p>
        </w:tc>
        <w:tc>
          <w:tcPr>
            <w:tcW w:w="641" w:type="dxa"/>
            <w:shd w:val="clear" w:color="auto" w:fill="auto"/>
          </w:tcPr>
          <w:p w14:paraId="246FBEED">
            <w:pPr>
              <w:widowControl/>
              <w:jc w:val="left"/>
              <w:rPr>
                <w:rFonts w:asciiTheme="majorEastAsia" w:hAnsiTheme="majorEastAsia" w:eastAsiaTheme="majorEastAsia"/>
                <w:color w:val="auto"/>
                <w:kern w:val="0"/>
                <w:sz w:val="20"/>
                <w:szCs w:val="20"/>
                <w:highlight w:val="none"/>
              </w:rPr>
            </w:pPr>
          </w:p>
        </w:tc>
      </w:tr>
      <w:tr w14:paraId="06DE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763" w:type="dxa"/>
            <w:vMerge w:val="continue"/>
            <w:vAlign w:val="center"/>
          </w:tcPr>
          <w:p w14:paraId="4D067CF3">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5F21ABC6">
            <w:pPr>
              <w:rPr>
                <w:rFonts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4.工具的清洁：</w:t>
            </w:r>
            <w:r>
              <w:rPr>
                <w:rFonts w:hint="eastAsia" w:asciiTheme="majorEastAsia" w:hAnsiTheme="majorEastAsia" w:eastAsiaTheme="majorEastAsia"/>
                <w:color w:val="auto"/>
                <w:sz w:val="18"/>
                <w:szCs w:val="18"/>
                <w:highlight w:val="none"/>
              </w:rPr>
              <w:t>①清洁工具必须无毒无害，标志或者区分明显，做到分开使用、定位存放、用后洗净、保持清洁；②清洁工具由专门的存放场所(区域)；③清洗清洁工具用的水池应与清洗食品、餐具的水池分开设置，清洁工具应在清洗后再采用吊挂等方式自然晾干。</w:t>
            </w:r>
          </w:p>
        </w:tc>
        <w:tc>
          <w:tcPr>
            <w:tcW w:w="690" w:type="dxa"/>
            <w:shd w:val="clear" w:color="000000" w:fill="FFFFFF"/>
            <w:vAlign w:val="center"/>
          </w:tcPr>
          <w:p w14:paraId="1E966670">
            <w:pPr>
              <w:jc w:val="center"/>
              <w:rPr>
                <w:rFonts w:hint="eastAsia"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1</w:t>
            </w:r>
          </w:p>
        </w:tc>
        <w:tc>
          <w:tcPr>
            <w:tcW w:w="2999" w:type="dxa"/>
            <w:vMerge w:val="continue"/>
            <w:shd w:val="clear" w:color="auto" w:fill="auto"/>
            <w:vAlign w:val="center"/>
          </w:tcPr>
          <w:p w14:paraId="40A7CA1A">
            <w:pPr>
              <w:widowControl/>
              <w:jc w:val="left"/>
              <w:rPr>
                <w:rFonts w:cs="宋体" w:asciiTheme="majorEastAsia" w:hAnsiTheme="majorEastAsia" w:eastAsiaTheme="majorEastAsia"/>
                <w:color w:val="auto"/>
                <w:kern w:val="0"/>
                <w:sz w:val="18"/>
                <w:szCs w:val="18"/>
                <w:highlight w:val="none"/>
              </w:rPr>
            </w:pPr>
          </w:p>
        </w:tc>
        <w:tc>
          <w:tcPr>
            <w:tcW w:w="641" w:type="dxa"/>
            <w:shd w:val="clear" w:color="auto" w:fill="auto"/>
          </w:tcPr>
          <w:p w14:paraId="469B5D50">
            <w:pPr>
              <w:widowControl/>
              <w:jc w:val="left"/>
              <w:rPr>
                <w:rFonts w:asciiTheme="majorEastAsia" w:hAnsiTheme="majorEastAsia" w:eastAsiaTheme="majorEastAsia"/>
                <w:color w:val="auto"/>
                <w:kern w:val="0"/>
                <w:sz w:val="20"/>
                <w:szCs w:val="20"/>
                <w:highlight w:val="none"/>
              </w:rPr>
            </w:pPr>
          </w:p>
        </w:tc>
      </w:tr>
      <w:tr w14:paraId="6CF4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763" w:type="dxa"/>
            <w:vMerge w:val="continue"/>
            <w:vAlign w:val="center"/>
          </w:tcPr>
          <w:p w14:paraId="7EBF89FE">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036ED09F">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5.消毒剂、洗涤剂的存放：</w:t>
            </w:r>
            <w:r>
              <w:rPr>
                <w:rFonts w:hint="eastAsia" w:asciiTheme="majorEastAsia" w:hAnsiTheme="majorEastAsia" w:eastAsiaTheme="majorEastAsia"/>
                <w:color w:val="auto"/>
                <w:sz w:val="18"/>
                <w:szCs w:val="18"/>
                <w:highlight w:val="none"/>
              </w:rPr>
              <w:t>①洗涤剂、消毒剂应存放在专用的设施内，不能与食品、厨房用具或者设备一起存放；②包装上贴有醒目标签和明显的警示标志；明确专人保管，必要时上锁。</w:t>
            </w:r>
          </w:p>
        </w:tc>
        <w:tc>
          <w:tcPr>
            <w:tcW w:w="690" w:type="dxa"/>
            <w:shd w:val="clear" w:color="000000" w:fill="FFFFFF"/>
            <w:vAlign w:val="center"/>
          </w:tcPr>
          <w:p w14:paraId="60141C24">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vMerge w:val="continue"/>
            <w:shd w:val="clear" w:color="auto" w:fill="auto"/>
            <w:vAlign w:val="center"/>
          </w:tcPr>
          <w:p w14:paraId="1408059C">
            <w:pPr>
              <w:widowControl/>
              <w:jc w:val="left"/>
              <w:rPr>
                <w:rFonts w:cs="宋体" w:asciiTheme="majorEastAsia" w:hAnsiTheme="majorEastAsia" w:eastAsiaTheme="majorEastAsia"/>
                <w:color w:val="auto"/>
                <w:kern w:val="0"/>
                <w:sz w:val="18"/>
                <w:szCs w:val="18"/>
                <w:highlight w:val="none"/>
              </w:rPr>
            </w:pPr>
          </w:p>
        </w:tc>
        <w:tc>
          <w:tcPr>
            <w:tcW w:w="641" w:type="dxa"/>
            <w:shd w:val="clear" w:color="auto" w:fill="auto"/>
          </w:tcPr>
          <w:p w14:paraId="2F9B32B6">
            <w:pPr>
              <w:widowControl/>
              <w:jc w:val="left"/>
              <w:rPr>
                <w:rFonts w:asciiTheme="majorEastAsia" w:hAnsiTheme="majorEastAsia" w:eastAsiaTheme="majorEastAsia"/>
                <w:color w:val="auto"/>
                <w:kern w:val="0"/>
                <w:sz w:val="20"/>
                <w:szCs w:val="20"/>
                <w:highlight w:val="none"/>
              </w:rPr>
            </w:pPr>
          </w:p>
        </w:tc>
      </w:tr>
      <w:tr w14:paraId="347F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atLeast"/>
          <w:jc w:val="center"/>
        </w:trPr>
        <w:tc>
          <w:tcPr>
            <w:tcW w:w="763" w:type="dxa"/>
            <w:vMerge w:val="continue"/>
            <w:vAlign w:val="center"/>
          </w:tcPr>
          <w:p w14:paraId="31E0F7BF">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3B955BE8">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6.消毒要求：</w:t>
            </w:r>
            <w:r>
              <w:rPr>
                <w:rFonts w:hint="eastAsia" w:asciiTheme="majorEastAsia" w:hAnsiTheme="majorEastAsia" w:eastAsiaTheme="majorEastAsia"/>
                <w:color w:val="auto"/>
                <w:sz w:val="18"/>
                <w:szCs w:val="18"/>
                <w:highlight w:val="none"/>
              </w:rPr>
              <w:t>①使用消毒剂应符合有关食品安全标准和要求，应定时测量有效消毒浓度；②按照要求使用物理消毒和化学消毒，优先考虑使用热力消毒；③已消毒和未消毒的餐用具应分开存放，存放时应将餐用具的食品接触面向下；④设专供存放消毒后餐用具的保洁设施，其标识明显、其结构应密闭并易于清洁，保洁设施内不得存放其他物品；⑤定期检查清洗消毒设备、设施是否处于良好状态。</w:t>
            </w:r>
          </w:p>
        </w:tc>
        <w:tc>
          <w:tcPr>
            <w:tcW w:w="690" w:type="dxa"/>
            <w:shd w:val="clear" w:color="000000" w:fill="FFFFFF"/>
            <w:vAlign w:val="center"/>
          </w:tcPr>
          <w:p w14:paraId="6A356AA8">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302369AD">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不定期抽查，发现一项不达标扣0.2分，公司应立即整改。如2天后复查发现仍未改进的，扣减0.5分/项，并进行处罚100元/次。</w:t>
            </w:r>
          </w:p>
        </w:tc>
        <w:tc>
          <w:tcPr>
            <w:tcW w:w="641" w:type="dxa"/>
            <w:shd w:val="clear" w:color="auto" w:fill="auto"/>
          </w:tcPr>
          <w:p w14:paraId="13E86437">
            <w:pPr>
              <w:widowControl/>
              <w:jc w:val="left"/>
              <w:rPr>
                <w:rFonts w:asciiTheme="majorEastAsia" w:hAnsiTheme="majorEastAsia" w:eastAsiaTheme="majorEastAsia"/>
                <w:color w:val="auto"/>
                <w:kern w:val="0"/>
                <w:sz w:val="20"/>
                <w:szCs w:val="20"/>
                <w:highlight w:val="none"/>
              </w:rPr>
            </w:pPr>
          </w:p>
        </w:tc>
      </w:tr>
      <w:tr w14:paraId="5E9C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Merge w:val="restart"/>
            <w:vAlign w:val="center"/>
          </w:tcPr>
          <w:p w14:paraId="5A31354D">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十三、昆虫鼠害控制  (3分)</w:t>
            </w:r>
          </w:p>
        </w:tc>
        <w:tc>
          <w:tcPr>
            <w:tcW w:w="5098" w:type="dxa"/>
            <w:shd w:val="clear" w:color="000000" w:fill="FFFFFF"/>
            <w:vAlign w:val="center"/>
          </w:tcPr>
          <w:p w14:paraId="178E835D">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1.基础预防设施：</w:t>
            </w:r>
            <w:r>
              <w:rPr>
                <w:rFonts w:hint="eastAsia" w:asciiTheme="majorEastAsia" w:hAnsiTheme="majorEastAsia" w:eastAsiaTheme="majorEastAsia"/>
                <w:color w:val="auto"/>
                <w:sz w:val="18"/>
                <w:szCs w:val="18"/>
                <w:highlight w:val="none"/>
              </w:rPr>
              <w:t>①门窗、天花、管口及风口设有易于拆卸清洗且不生锈的防蝇、防虫和防鼠设施；②保持排水沟清洁，避免食物残渣淤积；③防止水龙头滴水。</w:t>
            </w:r>
          </w:p>
        </w:tc>
        <w:tc>
          <w:tcPr>
            <w:tcW w:w="690" w:type="dxa"/>
            <w:shd w:val="clear" w:color="000000" w:fill="FFFFFF"/>
            <w:vAlign w:val="center"/>
          </w:tcPr>
          <w:p w14:paraId="2872E49A">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2</w:t>
            </w:r>
          </w:p>
        </w:tc>
        <w:tc>
          <w:tcPr>
            <w:tcW w:w="2999" w:type="dxa"/>
            <w:shd w:val="clear" w:color="auto" w:fill="auto"/>
            <w:vAlign w:val="center"/>
          </w:tcPr>
          <w:p w14:paraId="446F92AE">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每月定期检查，公司应积极配合，检查发现一项不达标扣0.5分，公司应立即整改，对已损坏的部位进行修复。如2天后复查发现仍未改进的，进行处罚100元/次。</w:t>
            </w:r>
          </w:p>
        </w:tc>
        <w:tc>
          <w:tcPr>
            <w:tcW w:w="641" w:type="dxa"/>
            <w:shd w:val="clear" w:color="auto" w:fill="auto"/>
          </w:tcPr>
          <w:p w14:paraId="77EFA3DF">
            <w:pPr>
              <w:widowControl/>
              <w:jc w:val="left"/>
              <w:rPr>
                <w:rFonts w:asciiTheme="majorEastAsia" w:hAnsiTheme="majorEastAsia" w:eastAsiaTheme="majorEastAsia"/>
                <w:color w:val="auto"/>
                <w:kern w:val="0"/>
                <w:sz w:val="20"/>
                <w:szCs w:val="20"/>
                <w:highlight w:val="none"/>
              </w:rPr>
            </w:pPr>
          </w:p>
        </w:tc>
      </w:tr>
      <w:tr w14:paraId="0E98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3" w:type="dxa"/>
            <w:vMerge w:val="continue"/>
            <w:vAlign w:val="center"/>
          </w:tcPr>
          <w:p w14:paraId="5FE4FD14">
            <w:pPr>
              <w:jc w:val="center"/>
              <w:rPr>
                <w:rFonts w:asciiTheme="majorEastAsia" w:hAnsiTheme="majorEastAsia" w:eastAsiaTheme="majorEastAsia"/>
                <w:color w:val="auto"/>
                <w:sz w:val="18"/>
                <w:szCs w:val="18"/>
                <w:highlight w:val="none"/>
              </w:rPr>
            </w:pPr>
          </w:p>
        </w:tc>
        <w:tc>
          <w:tcPr>
            <w:tcW w:w="5098" w:type="dxa"/>
            <w:shd w:val="clear" w:color="000000" w:fill="FFFFFF"/>
            <w:vAlign w:val="center"/>
          </w:tcPr>
          <w:p w14:paraId="770A78A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2.除虫灭害：</w:t>
            </w:r>
            <w:r>
              <w:rPr>
                <w:rFonts w:hint="eastAsia" w:asciiTheme="majorEastAsia" w:hAnsiTheme="majorEastAsia" w:eastAsiaTheme="majorEastAsia"/>
                <w:color w:val="auto"/>
                <w:sz w:val="18"/>
                <w:szCs w:val="18"/>
                <w:highlight w:val="none"/>
              </w:rPr>
              <w:t>①定期进行除虫灭害，器械</w:t>
            </w:r>
            <w:r>
              <w:rPr>
                <w:rFonts w:hint="eastAsia" w:asciiTheme="majorEastAsia" w:hAnsiTheme="majorEastAsia" w:eastAsiaTheme="majorEastAsia"/>
                <w:color w:val="auto"/>
                <w:sz w:val="18"/>
                <w:szCs w:val="18"/>
                <w:highlight w:val="none"/>
                <w:lang w:val="en-US" w:eastAsia="zh-CN"/>
              </w:rPr>
              <w:t>方式</w:t>
            </w:r>
            <w:r>
              <w:rPr>
                <w:rFonts w:hint="eastAsia" w:asciiTheme="majorEastAsia" w:hAnsiTheme="majorEastAsia" w:eastAsiaTheme="majorEastAsia"/>
                <w:color w:val="auto"/>
                <w:sz w:val="18"/>
                <w:szCs w:val="18"/>
                <w:highlight w:val="none"/>
              </w:rPr>
              <w:t>为首选，器械无效时才使用药物，尽量减少药物对食品和食品加工环境可能的污染；②除虫灭害工作不能在食品加工操作时进行，实施时对各种食品（包括原料）应有保护措施，使用化学药物后，场所内的任何设备、食具及解除食物的表面，均须彻底清洁；③杀虫剂、杀鼠剂及其他有毒有害物品存放均有固定的场所，并且上锁，包装上应有明显的警示标志，设有专人保管；④除虫灭害药物的采购及使用应有详细记录，包括使用人、使用目的、使用及购买时间、配置浓度、使用方法和使用区域、使用量等。使用后应进行复核，并按规定进行存放、保管。</w:t>
            </w:r>
          </w:p>
        </w:tc>
        <w:tc>
          <w:tcPr>
            <w:tcW w:w="690" w:type="dxa"/>
            <w:shd w:val="clear" w:color="000000" w:fill="FFFFFF"/>
            <w:vAlign w:val="center"/>
          </w:tcPr>
          <w:p w14:paraId="27A2B134">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412B268E">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每月定期检查现场，公司应积极配合，检查发现一项不达标扣0.5分，公司应立即整改。如2天后复查发现仍未改进的，进行处罚100元/次。查阅除虫灭害药物的采购和使用记录，记录不全的缺少一项扣0.5分。</w:t>
            </w:r>
          </w:p>
        </w:tc>
        <w:tc>
          <w:tcPr>
            <w:tcW w:w="641" w:type="dxa"/>
            <w:shd w:val="clear" w:color="auto" w:fill="auto"/>
          </w:tcPr>
          <w:p w14:paraId="05106D19">
            <w:pPr>
              <w:widowControl/>
              <w:jc w:val="left"/>
              <w:rPr>
                <w:rFonts w:asciiTheme="majorEastAsia" w:hAnsiTheme="majorEastAsia" w:eastAsiaTheme="majorEastAsia"/>
                <w:color w:val="auto"/>
                <w:kern w:val="0"/>
                <w:sz w:val="20"/>
                <w:szCs w:val="20"/>
                <w:highlight w:val="none"/>
              </w:rPr>
            </w:pPr>
          </w:p>
        </w:tc>
      </w:tr>
      <w:tr w14:paraId="6617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763" w:type="dxa"/>
            <w:vAlign w:val="center"/>
          </w:tcPr>
          <w:p w14:paraId="6607B064">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十四、食品留样</w:t>
            </w:r>
          </w:p>
          <w:p w14:paraId="1CE6A604">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(4分)</w:t>
            </w:r>
          </w:p>
        </w:tc>
        <w:tc>
          <w:tcPr>
            <w:tcW w:w="5098" w:type="dxa"/>
            <w:shd w:val="clear" w:color="000000" w:fill="FFFFFF"/>
            <w:vAlign w:val="center"/>
          </w:tcPr>
          <w:p w14:paraId="6F016816">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每餐次食品成品应留样，每个品种留样量不少于200g；②留样食品应按品种分别盛放于清洗消毒后的密闭专用容器内；③留样食品应放置在专用冷藏设施中，在冷藏条件下存放48小时以上；④每个品种留样必须详细记录留样食品名称、留样量、留样时间、留样人员、审核人员等。</w:t>
            </w:r>
          </w:p>
        </w:tc>
        <w:tc>
          <w:tcPr>
            <w:tcW w:w="690" w:type="dxa"/>
            <w:shd w:val="clear" w:color="000000" w:fill="FFFFFF"/>
            <w:vAlign w:val="center"/>
          </w:tcPr>
          <w:p w14:paraId="623F7E78">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022433DF">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不定期抽查，发现一项不达标扣0.5分，公司应立即整改。如2天后复查发现仍未改进的，扣减1分/项，并进行处罚100元/次。</w:t>
            </w:r>
          </w:p>
        </w:tc>
        <w:tc>
          <w:tcPr>
            <w:tcW w:w="641" w:type="dxa"/>
            <w:shd w:val="clear" w:color="auto" w:fill="auto"/>
          </w:tcPr>
          <w:p w14:paraId="4514BF33">
            <w:pPr>
              <w:widowControl/>
              <w:jc w:val="left"/>
              <w:rPr>
                <w:rFonts w:asciiTheme="majorEastAsia" w:hAnsiTheme="majorEastAsia" w:eastAsiaTheme="majorEastAsia"/>
                <w:color w:val="auto"/>
                <w:kern w:val="0"/>
                <w:sz w:val="20"/>
                <w:szCs w:val="20"/>
                <w:highlight w:val="none"/>
              </w:rPr>
            </w:pPr>
          </w:p>
        </w:tc>
      </w:tr>
      <w:tr w14:paraId="70054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63" w:type="dxa"/>
            <w:vAlign w:val="center"/>
          </w:tcPr>
          <w:p w14:paraId="06767508">
            <w:pPr>
              <w:jc w:val="center"/>
              <w:rPr>
                <w:rFonts w:asciiTheme="majorEastAsia" w:hAnsiTheme="majorEastAsia" w:eastAsiaTheme="majorEastAsia"/>
                <w:color w:val="auto"/>
                <w:sz w:val="18"/>
                <w:szCs w:val="18"/>
                <w:highlight w:val="none"/>
              </w:rPr>
            </w:pPr>
          </w:p>
        </w:tc>
        <w:tc>
          <w:tcPr>
            <w:tcW w:w="5098" w:type="dxa"/>
            <w:shd w:val="clear" w:color="000000" w:fill="FFFFFF"/>
            <w:vAlign w:val="center"/>
          </w:tcPr>
          <w:p w14:paraId="518673E1">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合计</w:t>
            </w:r>
          </w:p>
        </w:tc>
        <w:tc>
          <w:tcPr>
            <w:tcW w:w="690" w:type="dxa"/>
            <w:shd w:val="clear" w:color="000000" w:fill="FFFFFF"/>
            <w:vAlign w:val="center"/>
          </w:tcPr>
          <w:p w14:paraId="41788184">
            <w:pPr>
              <w:jc w:val="center"/>
              <w:rPr>
                <w:rFonts w:asciiTheme="majorEastAsia" w:hAnsiTheme="majorEastAsia" w:eastAsiaTheme="majorEastAsia"/>
                <w:color w:val="auto"/>
                <w:sz w:val="18"/>
                <w:szCs w:val="18"/>
                <w:highlight w:val="none"/>
              </w:rPr>
            </w:pPr>
          </w:p>
        </w:tc>
        <w:tc>
          <w:tcPr>
            <w:tcW w:w="2999" w:type="dxa"/>
            <w:shd w:val="clear" w:color="auto" w:fill="auto"/>
            <w:vAlign w:val="center"/>
          </w:tcPr>
          <w:p w14:paraId="290C3645">
            <w:pPr>
              <w:rPr>
                <w:rFonts w:asciiTheme="majorEastAsia" w:hAnsiTheme="majorEastAsia" w:eastAsiaTheme="majorEastAsia"/>
                <w:color w:val="auto"/>
                <w:sz w:val="18"/>
                <w:szCs w:val="18"/>
                <w:highlight w:val="none"/>
              </w:rPr>
            </w:pPr>
          </w:p>
        </w:tc>
        <w:tc>
          <w:tcPr>
            <w:tcW w:w="641" w:type="dxa"/>
            <w:shd w:val="clear" w:color="auto" w:fill="auto"/>
          </w:tcPr>
          <w:p w14:paraId="5180C777">
            <w:pPr>
              <w:widowControl/>
              <w:jc w:val="left"/>
              <w:rPr>
                <w:rFonts w:asciiTheme="majorEastAsia" w:hAnsiTheme="majorEastAsia" w:eastAsiaTheme="majorEastAsia"/>
                <w:color w:val="auto"/>
                <w:kern w:val="0"/>
                <w:sz w:val="20"/>
                <w:szCs w:val="20"/>
                <w:highlight w:val="none"/>
              </w:rPr>
            </w:pPr>
          </w:p>
        </w:tc>
      </w:tr>
    </w:tbl>
    <w:p w14:paraId="38B2B25B">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16EE8569">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78A9054B">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41E1294C">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36A5B87F">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7CF14A81">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22663A93">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B7ED868">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57FC5538">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6C897641">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5F5EFAC7">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66C31EBE">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6030B53F">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DBA11EB">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32349F7">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2ABA3369">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402E2BD0">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1C67F2CF">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B3F76EC">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510AB59">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211A7D2F">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D0613CC">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34B4F51">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6557EA0D">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1346810F">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40FBA00B">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6C7968C3">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23B6E23B">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E4419F4">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4FB2B8D1">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377166A1">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7946BB2D">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953C555">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2207E216">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6129E550">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7601B05B">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25CE5B13">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73046C02">
      <w:pPr>
        <w:numPr>
          <w:ilvl w:val="0"/>
          <w:numId w:val="2"/>
        </w:numPr>
        <w:rPr>
          <w:rFonts w:hint="eastAsia" w:ascii="宋体" w:hAnsi="宋体" w:eastAsia="宋体" w:cs="宋体"/>
          <w:b/>
          <w:bCs/>
          <w:i w:val="0"/>
          <w:iCs w:val="0"/>
          <w:caps w:val="0"/>
          <w:color w:val="auto"/>
          <w:spacing w:val="0"/>
          <w:kern w:val="0"/>
          <w:sz w:val="24"/>
          <w:szCs w:val="24"/>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附图一：食堂平面图</w:t>
      </w:r>
    </w:p>
    <w:p w14:paraId="09BDE859">
      <w:pPr>
        <w:numPr>
          <w:ilvl w:val="0"/>
          <w:numId w:val="0"/>
        </w:numPr>
        <w:rPr>
          <w:rFonts w:hint="eastAsia" w:ascii="宋体" w:hAnsi="宋体" w:eastAsia="宋体" w:cs="宋体"/>
          <w:b/>
          <w:bCs/>
          <w:i w:val="0"/>
          <w:iCs w:val="0"/>
          <w:caps w:val="0"/>
          <w:color w:val="auto"/>
          <w:spacing w:val="0"/>
          <w:kern w:val="0"/>
          <w:sz w:val="24"/>
          <w:szCs w:val="24"/>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drawing>
          <wp:inline distT="0" distB="0" distL="114300" distR="114300">
            <wp:extent cx="5266055" cy="4742815"/>
            <wp:effectExtent l="0" t="0" r="10795" b="635"/>
            <wp:docPr id="1" name="图片 1" descr="dd63c7e6736716d7b62da802ba04f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63c7e6736716d7b62da802ba04f880"/>
                    <pic:cNvPicPr>
                      <a:picLocks noChangeAspect="1"/>
                    </pic:cNvPicPr>
                  </pic:nvPicPr>
                  <pic:blipFill>
                    <a:blip r:embed="rId4"/>
                    <a:stretch>
                      <a:fillRect/>
                    </a:stretch>
                  </pic:blipFill>
                  <pic:spPr>
                    <a:xfrm>
                      <a:off x="0" y="0"/>
                      <a:ext cx="5266055" cy="474281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imSun-Identity-H">
    <w:altName w:val="宋体"/>
    <w:panose1 w:val="00000000000000000000"/>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864B1B"/>
    <w:multiLevelType w:val="singleLevel"/>
    <w:tmpl w:val="EA864B1B"/>
    <w:lvl w:ilvl="0" w:tentative="0">
      <w:start w:val="1"/>
      <w:numFmt w:val="decimal"/>
      <w:suff w:val="nothing"/>
      <w:lvlText w:val="%1．"/>
      <w:lvlJc w:val="left"/>
      <w:pPr>
        <w:ind w:left="0" w:firstLine="400"/>
      </w:pPr>
      <w:rPr>
        <w:rFonts w:hint="default"/>
      </w:rPr>
    </w:lvl>
  </w:abstractNum>
  <w:abstractNum w:abstractNumId="1">
    <w:nsid w:val="6142AA51"/>
    <w:multiLevelType w:val="singleLevel"/>
    <w:tmpl w:val="6142AA51"/>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012909"/>
    <w:rsid w:val="0BBE1224"/>
    <w:rsid w:val="19012909"/>
    <w:rsid w:val="450E2BFD"/>
    <w:rsid w:val="46DD541C"/>
    <w:rsid w:val="52927C09"/>
    <w:rsid w:val="76DB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line="360" w:lineRule="auto"/>
    </w:pPr>
    <w:rPr>
      <w:szCs w:val="20"/>
    </w:rPr>
  </w:style>
  <w:style w:type="paragraph" w:styleId="3">
    <w:name w:val="toc 5"/>
    <w:basedOn w:val="1"/>
    <w:next w:val="1"/>
    <w:qFormat/>
    <w:uiPriority w:val="0"/>
    <w:pPr>
      <w:ind w:left="840"/>
      <w:jc w:val="left"/>
    </w:pPr>
    <w:rPr>
      <w:rFonts w:ascii="Calibri" w:hAnsi="Calibri"/>
      <w:sz w:val="18"/>
      <w:szCs w:val="18"/>
    </w:rPr>
  </w:style>
  <w:style w:type="paragraph" w:styleId="4">
    <w:name w:val="Normal (Web)"/>
    <w:basedOn w:val="1"/>
    <w:qFormat/>
    <w:uiPriority w:val="99"/>
    <w:pPr>
      <w:widowControl/>
      <w:spacing w:before="100" w:beforeLines="0" w:beforeAutospacing="1" w:after="100" w:afterLines="0" w:afterAutospacing="1"/>
      <w:jc w:val="left"/>
    </w:pPr>
    <w:rPr>
      <w:rFonts w:ascii="宋体" w:hAnsi="宋体"/>
      <w:color w:val="000000"/>
      <w:kern w:val="0"/>
      <w:sz w:val="24"/>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null3"/>
    <w:qFormat/>
    <w:uiPriority w:val="0"/>
    <w:rPr>
      <w:rFonts w:hint="eastAsia" w:ascii="Calibri" w:hAnsi="Calibri" w:eastAsia="宋体" w:cs="Times New Roman"/>
      <w:lang w:val="en-US" w:eastAsia="zh-Hans"/>
    </w:rPr>
  </w:style>
  <w:style w:type="paragraph" w:styleId="9">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8991</Words>
  <Characters>9287</Characters>
  <Lines>0</Lines>
  <Paragraphs>0</Paragraphs>
  <TotalTime>0</TotalTime>
  <ScaleCrop>false</ScaleCrop>
  <LinksUpToDate>false</LinksUpToDate>
  <CharactersWithSpaces>9465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2026-05-15T06:38:00Z</dcterms:created>
  <dc:creator>18924981193</dc:creator>
  <cp:lastModifiedBy>18924981193</cp:lastModifiedBy>
  <dcterms:modified xsi:type="dcterms:W3CDTF">2026-05-19T09:21:53Z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E8851E86DF404820B4EFA4EFD6BABF7A_11</vt:lpwstr>
  </property>
  <property fmtid="{D5CDD505-2E9C-101B-9397-08002B2CF9AE}" pid="4" name="KSOTemplateDocerSaveRecord">
    <vt:lpwstr>eyJoZGlkIjoiMDI1YTQ0MGQ2NDc4NmQ3MjU4NTFkMzZmNDA5NDM5ODgiLCJ1c2VySWQiOiI3MDcxOTEyNjEifQ==</vt:lpwstr>
  </property>
</Properties>
</file>