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997A58">
      <w:pPr>
        <w:jc w:val="center"/>
        <w:rPr>
          <w:rFonts w:ascii="宋体" w:hAnsi="宋体"/>
          <w:b/>
          <w:color w:val="auto"/>
          <w:kern w:val="28"/>
          <w:sz w:val="44"/>
          <w:szCs w:val="36"/>
          <w:highlight w:val="none"/>
        </w:rPr>
      </w:pPr>
      <w:r>
        <w:rPr>
          <w:rFonts w:hint="eastAsia" w:ascii="宋体" w:hAnsi="宋体"/>
          <w:b/>
          <w:color w:val="auto"/>
          <w:kern w:val="28"/>
          <w:sz w:val="44"/>
          <w:szCs w:val="36"/>
          <w:highlight w:val="none"/>
          <w:lang w:val="en-US" w:eastAsia="zh-CN"/>
        </w:rPr>
        <w:t xml:space="preserve">附件一 </w:t>
      </w:r>
      <w:r>
        <w:rPr>
          <w:rFonts w:hint="eastAsia" w:ascii="宋体" w:hAnsi="宋体"/>
          <w:b/>
          <w:color w:val="auto"/>
          <w:kern w:val="28"/>
          <w:sz w:val="44"/>
          <w:szCs w:val="36"/>
          <w:highlight w:val="none"/>
        </w:rPr>
        <w:t>采购</w:t>
      </w:r>
      <w:r>
        <w:rPr>
          <w:rFonts w:ascii="宋体" w:hAnsi="宋体"/>
          <w:b/>
          <w:color w:val="auto"/>
          <w:kern w:val="28"/>
          <w:sz w:val="44"/>
          <w:szCs w:val="36"/>
          <w:highlight w:val="none"/>
        </w:rPr>
        <w:t>需求书</w:t>
      </w:r>
    </w:p>
    <w:p w14:paraId="7DD53085">
      <w:pPr>
        <w:numPr>
          <w:ilvl w:val="0"/>
          <w:numId w:val="1"/>
        </w:num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总则：</w:t>
      </w:r>
    </w:p>
    <w:p w14:paraId="273441D1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1.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响应供应商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报价应包括标的设备（原装、全新合格的设备）、相关附件、配套设施、税费、运费、保险费、仓储费、安装调试、培训、质保等的全部费用，在项目实施过程中出现报价内容的任何遗漏，均由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供应商负责相关费用，采购人将不再支付任何费用。</w:t>
      </w:r>
    </w:p>
    <w:p w14:paraId="222A570E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2.采购需求中凡有“★”标识的内容条款为关键条款，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响应供应商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必须对此作出回答并完全满足这些要求不可以出现任何负偏离，对这些关键条款的任何负偏离将视为无效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报价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。加注“▲”的内容为重点评标项目，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响应供应商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必须对该标识项目按照要求进行真实应答描述。</w:t>
      </w:r>
    </w:p>
    <w:p w14:paraId="257C5404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3.★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本产品属于医疗器械，则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响应供应商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应该符合《医疗器械经营质量管理规范》和《医疗器械监督管理条例》规定，并结合本项目特性提供有效的医疗器械产品注册/备案证明材料和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响应供应商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的经营许可/备案证明材料。</w:t>
      </w:r>
    </w:p>
    <w:p w14:paraId="4F8ED3D3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4.本文的“质保期”是指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标的物经约定的验收机构完成验收之日起算，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截至中选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人承诺的期限。</w:t>
      </w:r>
    </w:p>
    <w:p w14:paraId="77C786B9">
      <w:pPr>
        <w:numPr>
          <w:ilvl w:val="0"/>
          <w:numId w:val="1"/>
        </w:numPr>
        <w:spacing w:line="440" w:lineRule="exact"/>
        <w:rPr>
          <w:rFonts w:ascii="仿宋" w:hAnsi="仿宋" w:eastAsia="仿宋" w:cs="仿宋"/>
          <w:b/>
          <w:bCs w:val="0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bCs w:val="0"/>
          <w:color w:val="auto"/>
          <w:sz w:val="24"/>
          <w:highlight w:val="none"/>
        </w:rPr>
        <w:t>基本需求</w:t>
      </w:r>
    </w:p>
    <w:tbl>
      <w:tblPr>
        <w:tblStyle w:val="11"/>
        <w:tblW w:w="852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9"/>
        <w:gridCol w:w="2601"/>
        <w:gridCol w:w="1492"/>
        <w:gridCol w:w="1778"/>
      </w:tblGrid>
      <w:tr w14:paraId="7C27DC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2649" w:type="dxa"/>
          </w:tcPr>
          <w:p w14:paraId="314784E3">
            <w:pPr>
              <w:spacing w:line="440" w:lineRule="exact"/>
              <w:ind w:right="-40" w:rightChars="-19"/>
              <w:jc w:val="center"/>
              <w:rPr>
                <w:rFonts w:ascii="仿宋" w:hAnsi="仿宋" w:eastAsia="仿宋" w:cs="仿宋"/>
                <w:b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sz w:val="24"/>
                <w:highlight w:val="none"/>
              </w:rPr>
              <w:t>项目名称</w:t>
            </w:r>
          </w:p>
        </w:tc>
        <w:tc>
          <w:tcPr>
            <w:tcW w:w="2601" w:type="dxa"/>
          </w:tcPr>
          <w:p w14:paraId="71C21804">
            <w:pPr>
              <w:spacing w:line="440" w:lineRule="exact"/>
              <w:jc w:val="center"/>
              <w:rPr>
                <w:rFonts w:ascii="仿宋" w:hAnsi="仿宋" w:eastAsia="仿宋" w:cs="仿宋"/>
                <w:b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sz w:val="24"/>
                <w:highlight w:val="none"/>
                <w:lang w:val="en-US" w:eastAsia="zh-CN"/>
              </w:rPr>
              <w:t>使用</w:t>
            </w:r>
            <w:r>
              <w:rPr>
                <w:rFonts w:hint="eastAsia" w:ascii="仿宋" w:hAnsi="仿宋" w:eastAsia="仿宋" w:cs="仿宋"/>
                <w:b/>
                <w:bCs w:val="0"/>
                <w:color w:val="auto"/>
                <w:sz w:val="24"/>
                <w:highlight w:val="none"/>
              </w:rPr>
              <w:t>科室/部门</w:t>
            </w:r>
          </w:p>
        </w:tc>
        <w:tc>
          <w:tcPr>
            <w:tcW w:w="1492" w:type="dxa"/>
          </w:tcPr>
          <w:p w14:paraId="36E68069">
            <w:pPr>
              <w:spacing w:line="440" w:lineRule="exact"/>
              <w:jc w:val="center"/>
              <w:rPr>
                <w:rFonts w:ascii="仿宋" w:hAnsi="仿宋" w:eastAsia="仿宋" w:cs="仿宋"/>
                <w:b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sz w:val="24"/>
                <w:highlight w:val="none"/>
              </w:rPr>
              <w:t>数量（套）</w:t>
            </w:r>
          </w:p>
        </w:tc>
        <w:tc>
          <w:tcPr>
            <w:tcW w:w="1778" w:type="dxa"/>
          </w:tcPr>
          <w:p w14:paraId="7EBAFDB8">
            <w:pPr>
              <w:spacing w:line="440" w:lineRule="exact"/>
              <w:jc w:val="center"/>
              <w:rPr>
                <w:rFonts w:hint="default" w:ascii="仿宋" w:hAnsi="仿宋" w:eastAsia="仿宋" w:cs="仿宋"/>
                <w:b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color w:val="auto"/>
                <w:sz w:val="24"/>
                <w:highlight w:val="none"/>
                <w:lang w:val="en-US" w:eastAsia="zh-CN"/>
              </w:rPr>
              <w:t>最高限价（元）</w:t>
            </w:r>
          </w:p>
        </w:tc>
      </w:tr>
      <w:tr w14:paraId="6A837B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2649" w:type="dxa"/>
            <w:vAlign w:val="center"/>
          </w:tcPr>
          <w:p w14:paraId="5D1938DE">
            <w:pPr>
              <w:spacing w:line="44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膝关节康复训练器</w:t>
            </w:r>
          </w:p>
        </w:tc>
        <w:tc>
          <w:tcPr>
            <w:tcW w:w="2601" w:type="dxa"/>
            <w:vAlign w:val="center"/>
          </w:tcPr>
          <w:p w14:paraId="0B59F363">
            <w:pPr>
              <w:spacing w:line="44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中医康复中心</w:t>
            </w:r>
          </w:p>
        </w:tc>
        <w:tc>
          <w:tcPr>
            <w:tcW w:w="1492" w:type="dxa"/>
            <w:vAlign w:val="center"/>
          </w:tcPr>
          <w:p w14:paraId="28662431">
            <w:pPr>
              <w:spacing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1778" w:type="dxa"/>
            <w:vAlign w:val="center"/>
          </w:tcPr>
          <w:p w14:paraId="400E51F0">
            <w:pPr>
              <w:spacing w:line="44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2000</w:t>
            </w:r>
          </w:p>
        </w:tc>
      </w:tr>
    </w:tbl>
    <w:p w14:paraId="6FFC7BA1">
      <w:pPr>
        <w:numPr>
          <w:ilvl w:val="0"/>
          <w:numId w:val="0"/>
        </w:numPr>
        <w:spacing w:line="440" w:lineRule="exact"/>
        <w:rPr>
          <w:rFonts w:hint="eastAsia" w:ascii="仿宋" w:hAnsi="仿宋" w:eastAsia="仿宋" w:cs="仿宋"/>
          <w:b/>
          <w:color w:val="auto"/>
          <w:sz w:val="24"/>
          <w:highlight w:val="none"/>
        </w:rPr>
      </w:pPr>
    </w:p>
    <w:p w14:paraId="3F41A7D6">
      <w:pPr>
        <w:numPr>
          <w:ilvl w:val="0"/>
          <w:numId w:val="0"/>
        </w:num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  <w:lang w:val="en-US" w:eastAsia="zh-CN"/>
        </w:rPr>
        <w:t>三、</w:t>
      </w: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技术参数：</w:t>
      </w:r>
    </w:p>
    <w:p w14:paraId="3D8C9F9A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外观尺寸：长×宽×高≥900mm×1000mm×1000mm。</w:t>
      </w:r>
    </w:p>
    <w:p w14:paraId="2E6F2DB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座面高度可调范围≥480mm，座面深度≥320mm。</w:t>
      </w:r>
    </w:p>
    <w:p w14:paraId="4328F0BA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扶手：双侧带防滑扶手，宽度可调节，扶手内侧宽度≥550mm。</w:t>
      </w:r>
    </w:p>
    <w:p w14:paraId="55C89A9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小腿托调范围：0-300mm，允差±10%。</w:t>
      </w:r>
    </w:p>
    <w:p w14:paraId="3DAF903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升降支架调节范围：0-100mm，允差±10%。</w:t>
      </w:r>
    </w:p>
    <w:p w14:paraId="25C444BD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▲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、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膝关节训练角度：屈伸角度调节范围≥0-120°</w:t>
      </w:r>
    </w:p>
    <w:p w14:paraId="24D72E17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7、阻力调节方式：配重块分级调节，单块配重重量1-2kg，总配重≥10kg，阻力档位清晰易调。</w:t>
      </w:r>
    </w:p>
    <w:p w14:paraId="7A88A3BC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8、设备承重≥100kg。</w:t>
      </w:r>
    </w:p>
    <w:p w14:paraId="0E44664F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9、坐垫靠背：易清洁消毒，防水防污。</w:t>
      </w:r>
    </w:p>
    <w:p w14:paraId="78FB34CE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10、小腿绑带：包括但不限于魔术贴绑带，可调节。</w:t>
      </w:r>
    </w:p>
    <w:p w14:paraId="70ADDFB9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11、包括但不限于防侧翻结构、训练角度限位装置、配重块防脱落装置等安全功能。</w:t>
      </w:r>
    </w:p>
    <w:p w14:paraId="04C64A4A">
      <w:pPr>
        <w:spacing w:line="240" w:lineRule="auto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lang w:val="en-US" w:eastAsia="zh-CN"/>
        </w:rPr>
        <w:t>12、有效使用年限不低于5年（提供有效证明材料）</w:t>
      </w:r>
    </w:p>
    <w:p w14:paraId="43B41578">
      <w:pPr>
        <w:numPr>
          <w:ilvl w:val="0"/>
          <w:numId w:val="0"/>
        </w:num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  <w:lang w:val="en-US" w:eastAsia="zh-CN"/>
        </w:rPr>
        <w:t>四、</w:t>
      </w: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每套</w:t>
      </w:r>
      <w:r>
        <w:rPr>
          <w:rFonts w:hint="eastAsia" w:ascii="仿宋" w:hAnsi="仿宋" w:eastAsia="仿宋" w:cs="仿宋"/>
          <w:b/>
          <w:color w:val="auto"/>
          <w:sz w:val="24"/>
          <w:highlight w:val="none"/>
          <w:lang w:val="en-US" w:eastAsia="zh-CN"/>
        </w:rPr>
        <w:t>设备</w:t>
      </w: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配置要求</w:t>
      </w:r>
      <w:r>
        <w:rPr>
          <w:rFonts w:hint="eastAsia" w:ascii="仿宋" w:hAnsi="仿宋" w:eastAsia="仿宋" w:cs="仿宋"/>
          <w:b/>
          <w:sz w:val="24"/>
          <w:lang w:eastAsia="zh-CN"/>
        </w:rPr>
        <w:t>（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包括但不限于</w:t>
      </w:r>
      <w:r>
        <w:rPr>
          <w:rFonts w:hint="eastAsia" w:ascii="仿宋" w:hAnsi="仿宋" w:eastAsia="仿宋" w:cs="仿宋"/>
          <w:b/>
          <w:sz w:val="24"/>
          <w:lang w:eastAsia="zh-CN"/>
        </w:rPr>
        <w:t>）</w:t>
      </w: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：</w:t>
      </w:r>
    </w:p>
    <w:tbl>
      <w:tblPr>
        <w:tblStyle w:val="11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920"/>
        <w:gridCol w:w="969"/>
        <w:gridCol w:w="920"/>
      </w:tblGrid>
      <w:tr w14:paraId="041C6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9B8ED80">
            <w:pPr>
              <w:spacing w:line="44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3920" w:type="dxa"/>
          </w:tcPr>
          <w:p w14:paraId="2CA505E4">
            <w:pPr>
              <w:spacing w:line="44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highlight w:val="none"/>
              </w:rPr>
              <w:t>名称</w:t>
            </w:r>
          </w:p>
        </w:tc>
        <w:tc>
          <w:tcPr>
            <w:tcW w:w="969" w:type="dxa"/>
          </w:tcPr>
          <w:p w14:paraId="18F0D697">
            <w:pPr>
              <w:spacing w:line="44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920" w:type="dxa"/>
          </w:tcPr>
          <w:p w14:paraId="2810EB05">
            <w:pPr>
              <w:spacing w:line="440" w:lineRule="exact"/>
              <w:jc w:val="center"/>
              <w:rPr>
                <w:rFonts w:ascii="仿宋" w:hAnsi="仿宋" w:eastAsia="仿宋" w:cs="仿宋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highlight w:val="none"/>
              </w:rPr>
              <w:t>单位</w:t>
            </w:r>
          </w:p>
        </w:tc>
      </w:tr>
      <w:tr w14:paraId="7057D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5991777D">
            <w:pPr>
              <w:spacing w:line="440" w:lineRule="exact"/>
              <w:jc w:val="center"/>
              <w:rPr>
                <w:rFonts w:ascii="仿宋" w:hAnsi="仿宋" w:eastAsia="仿宋" w:cs="仿宋"/>
                <w:b w:val="0"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3920" w:type="dxa"/>
            <w:shd w:val="clear" w:color="auto" w:fill="auto"/>
            <w:vAlign w:val="top"/>
          </w:tcPr>
          <w:p w14:paraId="0A7D2EC3">
            <w:pPr>
              <w:spacing w:after="0" w:line="24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</w:rPr>
              <w:t>主机</w:t>
            </w:r>
          </w:p>
        </w:tc>
        <w:tc>
          <w:tcPr>
            <w:tcW w:w="969" w:type="dxa"/>
          </w:tcPr>
          <w:p w14:paraId="765B493F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920" w:type="dxa"/>
          </w:tcPr>
          <w:p w14:paraId="5F66FD1C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台</w:t>
            </w:r>
          </w:p>
        </w:tc>
      </w:tr>
      <w:tr w14:paraId="1F5A5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05FF586">
            <w:pPr>
              <w:spacing w:line="44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3920" w:type="dxa"/>
            <w:shd w:val="clear" w:color="auto" w:fill="auto"/>
            <w:vAlign w:val="top"/>
          </w:tcPr>
          <w:p w14:paraId="268FB394">
            <w:pPr>
              <w:spacing w:after="0" w:line="24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</w:rPr>
              <w:t>使用说明书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lang w:eastAsia="zh-CN"/>
              </w:rPr>
              <w:t>、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lang w:val="en-US" w:eastAsia="zh-CN"/>
              </w:rPr>
              <w:t>保修卡等</w:t>
            </w:r>
          </w:p>
        </w:tc>
        <w:tc>
          <w:tcPr>
            <w:tcW w:w="969" w:type="dxa"/>
          </w:tcPr>
          <w:p w14:paraId="32920318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920" w:type="dxa"/>
          </w:tcPr>
          <w:p w14:paraId="5C6D4CB5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套</w:t>
            </w:r>
          </w:p>
        </w:tc>
      </w:tr>
      <w:tr w14:paraId="4B486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D09DA6D">
            <w:pPr>
              <w:spacing w:line="44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3920" w:type="dxa"/>
          </w:tcPr>
          <w:p w14:paraId="71C0E88B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简易操作指示卡</w:t>
            </w:r>
          </w:p>
        </w:tc>
        <w:tc>
          <w:tcPr>
            <w:tcW w:w="969" w:type="dxa"/>
          </w:tcPr>
          <w:p w14:paraId="5F649BD5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920" w:type="dxa"/>
          </w:tcPr>
          <w:p w14:paraId="5615804C">
            <w:pPr>
              <w:spacing w:line="440" w:lineRule="exact"/>
              <w:rPr>
                <w:rFonts w:hint="default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highlight w:val="none"/>
                <w:lang w:val="en-US" w:eastAsia="zh-CN"/>
              </w:rPr>
              <w:t>份</w:t>
            </w:r>
          </w:p>
        </w:tc>
      </w:tr>
    </w:tbl>
    <w:p w14:paraId="11430DC4">
      <w:p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</w:p>
    <w:p w14:paraId="40B9EDCD">
      <w:pPr>
        <w:numPr>
          <w:ilvl w:val="0"/>
          <w:numId w:val="0"/>
        </w:num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  <w:lang w:val="en-US" w:eastAsia="zh-CN"/>
        </w:rPr>
        <w:t>五、</w:t>
      </w: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商务要求：</w:t>
      </w:r>
    </w:p>
    <w:p w14:paraId="6D40CCE9">
      <w:p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1.交货及安装、验收要求</w:t>
      </w:r>
    </w:p>
    <w:p w14:paraId="31BF49CB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1.1交货地点：采购人指定地点。</w:t>
      </w:r>
    </w:p>
    <w:p w14:paraId="575F906B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1.2交货期：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供应商应当在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通知书发出之日起30日内按采购需求及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人的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报价文件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确定的事项与采购人签订合同，签订合同后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>15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日内完成设备的安装调试。</w:t>
      </w:r>
    </w:p>
    <w:p w14:paraId="728ECDD1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1.3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供应商须保证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后所提供的设备为原装、全新合格的产品；且原装进口产品生产日期与交货日期差值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≤6个月；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国产产品生产日期与交货日期差值</w:t>
      </w: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≤3个月。</w:t>
      </w:r>
    </w:p>
    <w:p w14:paraId="4CCC344E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1.4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供应商负责派技术人员到现场进行安装调试，直至验收合格，安装调试所需费用应包含在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4"/>
          <w:highlight w:val="none"/>
        </w:rPr>
        <w:t>总报价内；同时提供培训服务，必须保证需求科室操作人员融会贯通，培训所需费用全部包含在总报价内。</w:t>
      </w:r>
    </w:p>
    <w:p w14:paraId="6F9B53B6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1.5验收方式：按《小榄镇公立医院政府采购和验收办法》</w:t>
      </w: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</w:rPr>
        <w:t>《中山市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  <w:lang w:val="en-US" w:eastAsia="zh-CN"/>
        </w:rPr>
        <w:t>东升</w:t>
      </w:r>
      <w:r>
        <w:rPr>
          <w:rFonts w:hint="eastAsia" w:ascii="仿宋" w:hAnsi="仿宋" w:eastAsia="仿宋" w:cs="仿宋"/>
          <w:color w:val="auto"/>
          <w:kern w:val="0"/>
          <w:sz w:val="24"/>
          <w:szCs w:val="24"/>
        </w:rPr>
        <w:t>医院医疗设备验收管理制度》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。</w:t>
      </w:r>
    </w:p>
    <w:p w14:paraId="4934CCEF">
      <w:p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2.售后服务要求</w:t>
      </w:r>
    </w:p>
    <w:p w14:paraId="5209F010">
      <w:pPr>
        <w:tabs>
          <w:tab w:val="left" w:pos="420"/>
        </w:tabs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2.1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供应商必须在中国境内有售后服务机构，并附有售后服务能力说明。</w:t>
      </w:r>
    </w:p>
    <w:p w14:paraId="7CC16FEB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★2.2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供应商须提供设备原厂质保（设备原厂质量保修范围和保修期）至少为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4"/>
          <w:highlight w:val="none"/>
          <w:u w:val="single"/>
        </w:rPr>
        <w:t xml:space="preserve"> 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年。</w:t>
      </w:r>
    </w:p>
    <w:p w14:paraId="0AB0BFF9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2.3在售后期内，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供应商在接到用户的维修通知，响应时间为半小时内，工程师到达现场时间为4小时内，排除故障时限为到达现场后8小时内。</w:t>
      </w:r>
    </w:p>
    <w:p w14:paraId="358E05F3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2.4如果产品故障在检修12小时后仍无法排除，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中选</w:t>
      </w:r>
      <w:r>
        <w:rPr>
          <w:rFonts w:hint="eastAsia" w:ascii="仿宋" w:hAnsi="仿宋" w:eastAsia="仿宋" w:cs="仿宋"/>
          <w:color w:val="auto"/>
          <w:sz w:val="24"/>
          <w:highlight w:val="none"/>
        </w:rPr>
        <w:t>供应商应在24小时内提供不低于故障产品规格型号档次的备用产品供采购人使用，直至故障产品修复。</w:t>
      </w:r>
    </w:p>
    <w:p w14:paraId="781F5F92">
      <w:pPr>
        <w:spacing w:line="440" w:lineRule="exact"/>
        <w:rPr>
          <w:rFonts w:hint="eastAsia" w:ascii="仿宋" w:hAnsi="仿宋" w:eastAsia="仿宋" w:cs="仿宋"/>
          <w:b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color w:val="auto"/>
          <w:sz w:val="24"/>
          <w:highlight w:val="none"/>
          <w:lang w:val="en-US" w:eastAsia="zh-CN"/>
        </w:rPr>
        <w:t>2.5</w:t>
      </w:r>
      <w:r>
        <w:rPr>
          <w:rFonts w:hint="eastAsia" w:ascii="仿宋" w:hAnsi="仿宋" w:eastAsia="仿宋" w:cs="仿宋"/>
          <w:sz w:val="24"/>
          <w:szCs w:val="24"/>
        </w:rPr>
        <w:t>保修期内厂家每年免费回访设备至少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4 </w:t>
      </w:r>
      <w:r>
        <w:rPr>
          <w:rFonts w:hint="eastAsia" w:ascii="仿宋" w:hAnsi="仿宋" w:eastAsia="仿宋" w:cs="仿宋"/>
          <w:sz w:val="24"/>
          <w:szCs w:val="24"/>
        </w:rPr>
        <w:t>次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 w14:paraId="3E294509">
      <w:p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</w:p>
    <w:p w14:paraId="1533462C">
      <w:pPr>
        <w:spacing w:line="440" w:lineRule="exact"/>
        <w:rPr>
          <w:rFonts w:ascii="仿宋" w:hAnsi="仿宋" w:eastAsia="仿宋" w:cs="仿宋"/>
          <w:b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4"/>
          <w:highlight w:val="none"/>
        </w:rPr>
        <w:t>3.付款方式</w:t>
      </w:r>
    </w:p>
    <w:p w14:paraId="1BE3E546">
      <w:pPr>
        <w:spacing w:line="440" w:lineRule="exact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3.1本合同的每笔款项以人民币转账方式支付</w:t>
      </w:r>
      <w:r>
        <w:rPr>
          <w:rFonts w:hint="eastAsia" w:ascii="仿宋" w:hAnsi="仿宋" w:eastAsia="仿宋" w:cs="仿宋"/>
          <w:color w:val="auto"/>
          <w:sz w:val="24"/>
          <w:highlight w:val="none"/>
          <w:lang w:eastAsia="zh-CN"/>
        </w:rPr>
        <w:t>。</w:t>
      </w:r>
    </w:p>
    <w:p w14:paraId="4B2979D7">
      <w:pPr>
        <w:spacing w:line="440" w:lineRule="exac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3.2</w:t>
      </w:r>
      <w:r>
        <w:rPr>
          <w:rFonts w:hint="eastAsia" w:ascii="仿宋" w:hAnsi="仿宋" w:eastAsia="仿宋" w:cs="仿宋"/>
          <w:sz w:val="24"/>
        </w:rPr>
        <w:t>合同签订后，</w:t>
      </w:r>
      <w:r>
        <w:rPr>
          <w:rFonts w:hint="eastAsia" w:ascii="仿宋" w:hAnsi="仿宋" w:eastAsia="仿宋" w:cs="仿宋"/>
          <w:sz w:val="24"/>
          <w:lang w:eastAsia="zh-CN"/>
        </w:rPr>
        <w:t>中选</w:t>
      </w:r>
      <w:r>
        <w:rPr>
          <w:rFonts w:hint="eastAsia" w:ascii="仿宋" w:hAnsi="仿宋" w:eastAsia="仿宋" w:cs="仿宋"/>
          <w:sz w:val="24"/>
        </w:rPr>
        <w:t>供应商按合同协议时间提供货物或服务完成后，经采购人规定的验收人员书面确认验收合格，</w:t>
      </w:r>
      <w:r>
        <w:rPr>
          <w:rFonts w:hint="eastAsia" w:ascii="仿宋" w:hAnsi="仿宋" w:eastAsia="仿宋" w:cs="仿宋"/>
          <w:sz w:val="24"/>
          <w:lang w:eastAsia="zh-CN"/>
        </w:rPr>
        <w:t>中选</w:t>
      </w:r>
      <w:r>
        <w:rPr>
          <w:rFonts w:hint="eastAsia" w:ascii="仿宋" w:hAnsi="仿宋" w:eastAsia="仿宋" w:cs="仿宋"/>
          <w:sz w:val="24"/>
        </w:rPr>
        <w:t>供应商即开具有效发票，发票加盖发票专用章（增值税普通发票），采购人确认发票无误后，设备款项以人民币通过银行转账方式结算分</w:t>
      </w:r>
      <w:r>
        <w:rPr>
          <w:rFonts w:hint="eastAsia" w:ascii="仿宋" w:hAnsi="仿宋" w:eastAsia="仿宋" w:cs="仿宋"/>
          <w:sz w:val="24"/>
          <w:lang w:val="en-US" w:eastAsia="zh-CN"/>
        </w:rPr>
        <w:t>三</w:t>
      </w:r>
      <w:r>
        <w:rPr>
          <w:rFonts w:hint="eastAsia" w:ascii="仿宋" w:hAnsi="仿宋" w:eastAsia="仿宋" w:cs="仿宋"/>
          <w:sz w:val="24"/>
        </w:rPr>
        <w:t>期付款。</w:t>
      </w:r>
    </w:p>
    <w:p w14:paraId="55A146F8">
      <w:pPr>
        <w:spacing w:line="440" w:lineRule="exac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1期：支付比例80% , 验收合格后，</w:t>
      </w:r>
      <w:r>
        <w:rPr>
          <w:rFonts w:hint="eastAsia" w:ascii="仿宋" w:hAnsi="仿宋" w:eastAsia="仿宋" w:cs="仿宋"/>
          <w:sz w:val="24"/>
          <w:lang w:eastAsia="zh-CN"/>
        </w:rPr>
        <w:t>中选</w:t>
      </w:r>
      <w:r>
        <w:rPr>
          <w:rFonts w:hint="eastAsia" w:ascii="仿宋" w:hAnsi="仿宋" w:eastAsia="仿宋" w:cs="仿宋"/>
          <w:sz w:val="24"/>
        </w:rPr>
        <w:t>供应商应以实际装机数量对应出具的发票按比例支付，六个月内货款支付至总额的80%；</w:t>
      </w:r>
    </w:p>
    <w:p w14:paraId="1E2DE59F">
      <w:pPr>
        <w:spacing w:line="440" w:lineRule="exact"/>
        <w:rPr>
          <w:rFonts w:hint="eastAsia" w:ascii="仿宋" w:hAnsi="仿宋" w:eastAsia="仿宋" w:cs="仿宋"/>
          <w:sz w:val="24"/>
          <w:lang w:eastAsia="zh-CN"/>
        </w:rPr>
      </w:pPr>
      <w:r>
        <w:rPr>
          <w:rFonts w:hint="eastAsia" w:ascii="仿宋" w:hAnsi="仿宋" w:eastAsia="仿宋" w:cs="仿宋"/>
          <w:sz w:val="24"/>
        </w:rPr>
        <w:t>2期：剩余15 %在设备正常使用满1年后不计利息一次性支付</w:t>
      </w:r>
      <w:r>
        <w:rPr>
          <w:rFonts w:hint="eastAsia" w:ascii="仿宋" w:hAnsi="仿宋" w:eastAsia="仿宋" w:cs="仿宋"/>
          <w:sz w:val="24"/>
          <w:lang w:eastAsia="zh-CN"/>
        </w:rPr>
        <w:t>；</w:t>
      </w:r>
    </w:p>
    <w:p w14:paraId="698F0552">
      <w:pPr>
        <w:spacing w:line="440" w:lineRule="exac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3期：</w:t>
      </w:r>
      <w:r>
        <w:rPr>
          <w:rFonts w:hint="eastAsia" w:ascii="仿宋" w:hAnsi="仿宋" w:eastAsia="仿宋" w:cs="仿宋"/>
          <w:sz w:val="24"/>
        </w:rPr>
        <w:t>合同总金额的5%的款项在设备验收且使用过程无问题</w:t>
      </w:r>
      <w:r>
        <w:rPr>
          <w:rFonts w:hint="eastAsia" w:ascii="仿宋" w:hAnsi="仿宋" w:eastAsia="仿宋" w:cs="仿宋"/>
          <w:sz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lang w:val="en-US" w:eastAsia="zh-CN"/>
        </w:rPr>
        <w:t>质保期满后</w:t>
      </w:r>
      <w:r>
        <w:rPr>
          <w:rFonts w:hint="eastAsia" w:ascii="仿宋" w:hAnsi="仿宋" w:eastAsia="仿宋" w:cs="仿宋"/>
          <w:sz w:val="24"/>
        </w:rPr>
        <w:t>一次性无息支付。</w:t>
      </w:r>
    </w:p>
    <w:p w14:paraId="42DA0642">
      <w:pPr>
        <w:spacing w:line="440" w:lineRule="exact"/>
        <w:rPr>
          <w:rFonts w:ascii="仿宋" w:hAnsi="仿宋" w:eastAsia="仿宋" w:cs="仿宋"/>
          <w:color w:val="auto"/>
          <w:sz w:val="24"/>
          <w:highlight w:val="none"/>
        </w:rPr>
      </w:pPr>
    </w:p>
    <w:p w14:paraId="290A347B">
      <w:pPr>
        <w:spacing w:line="440" w:lineRule="exact"/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val="en-US" w:eastAsia="zh-CN"/>
        </w:rPr>
        <w:t>4.违约责任与赔偿损失</w:t>
      </w:r>
    </w:p>
    <w:p w14:paraId="60EE2D30">
      <w:pPr>
        <w:spacing w:line="440" w:lineRule="exact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1. 中选供应商交付的货物、工程/提供的服务不符合招标文件、报价文件或本合同规定的，院方有权拒收，并且中选供应商须向院方支付本合同总价5%的违约金。</w:t>
      </w:r>
    </w:p>
    <w:p w14:paraId="53F4B132">
      <w:pPr>
        <w:spacing w:line="440" w:lineRule="exact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2. 中选供应商未能按本合同规定的交货时间交付货物的/提供服务，从逾期之日起每日按本合同总价3‰的数额向院方支付违约金；逾期半个月以上的，院方有权终止合同，由此造成的院方经济损失由中选供应商承担。</w:t>
      </w:r>
    </w:p>
    <w:p w14:paraId="4706827C">
      <w:pPr>
        <w:spacing w:line="440" w:lineRule="exact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3. 院方无正当理由拒收货物/接受服务，到期拒付货物/服务款项的，院方向中选供应商偿付本合同总的5%的违约金。院方逾期付款，则每日按本合同总价的3‰向中选供应商偿付违约金。</w:t>
      </w:r>
    </w:p>
    <w:p w14:paraId="286E5979">
      <w:pPr>
        <w:spacing w:line="440" w:lineRule="exact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  <w:t>4. 其它违约责任按《中华人民共和国民法典》处理。</w:t>
      </w:r>
    </w:p>
    <w:p w14:paraId="0B3A84DC">
      <w:pPr>
        <w:spacing w:line="440" w:lineRule="exact"/>
        <w:rPr>
          <w:rFonts w:hint="default" w:ascii="仿宋" w:hAnsi="仿宋" w:eastAsia="仿宋" w:cs="仿宋"/>
          <w:color w:val="auto"/>
          <w:sz w:val="24"/>
          <w:highlight w:val="none"/>
          <w:lang w:val="en-US" w:eastAsia="zh-CN"/>
        </w:rPr>
      </w:pPr>
    </w:p>
    <w:p w14:paraId="4377B4E2">
      <w:pPr>
        <w:rPr>
          <w:color w:val="auto"/>
          <w:highlight w:val="none"/>
          <w:lang w:val="zh-CN"/>
        </w:rPr>
      </w:pPr>
    </w:p>
    <w:sectPr>
      <w:footerReference r:id="rId3" w:type="default"/>
      <w:pgSz w:w="11906" w:h="16838"/>
      <w:pgMar w:top="1440" w:right="1800" w:bottom="1440" w:left="1800" w:header="851" w:footer="425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2963D8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76F57D"/>
    <w:multiLevelType w:val="singleLevel"/>
    <w:tmpl w:val="0F76F57D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E7E8738"/>
    <w:multiLevelType w:val="singleLevel"/>
    <w:tmpl w:val="1E7E873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MwZWM1NTIxZjZkMTFkYmM1ZDhjYWQ1ZjllOTYzZjUifQ=="/>
  </w:docVars>
  <w:rsids>
    <w:rsidRoot w:val="027725AF"/>
    <w:rsid w:val="00000267"/>
    <w:rsid w:val="00000AF6"/>
    <w:rsid w:val="00016B72"/>
    <w:rsid w:val="00036444"/>
    <w:rsid w:val="0005190D"/>
    <w:rsid w:val="00065257"/>
    <w:rsid w:val="000C5864"/>
    <w:rsid w:val="00136269"/>
    <w:rsid w:val="00152E6E"/>
    <w:rsid w:val="001564F2"/>
    <w:rsid w:val="00164D4A"/>
    <w:rsid w:val="001D1D4A"/>
    <w:rsid w:val="001F6B01"/>
    <w:rsid w:val="00215636"/>
    <w:rsid w:val="0022457A"/>
    <w:rsid w:val="00227ED6"/>
    <w:rsid w:val="00234D13"/>
    <w:rsid w:val="002549FF"/>
    <w:rsid w:val="002616DE"/>
    <w:rsid w:val="002860B7"/>
    <w:rsid w:val="00293A7C"/>
    <w:rsid w:val="002B5F04"/>
    <w:rsid w:val="002E2203"/>
    <w:rsid w:val="002F4E01"/>
    <w:rsid w:val="00341440"/>
    <w:rsid w:val="00342D38"/>
    <w:rsid w:val="00345474"/>
    <w:rsid w:val="003662C2"/>
    <w:rsid w:val="0037094F"/>
    <w:rsid w:val="003A00F6"/>
    <w:rsid w:val="003A75C3"/>
    <w:rsid w:val="003A7C0C"/>
    <w:rsid w:val="003F6DDB"/>
    <w:rsid w:val="00411292"/>
    <w:rsid w:val="00421A1F"/>
    <w:rsid w:val="004312C9"/>
    <w:rsid w:val="00440D87"/>
    <w:rsid w:val="00467A71"/>
    <w:rsid w:val="004A1404"/>
    <w:rsid w:val="004C251B"/>
    <w:rsid w:val="005002B7"/>
    <w:rsid w:val="00507EB2"/>
    <w:rsid w:val="0052211A"/>
    <w:rsid w:val="005472B7"/>
    <w:rsid w:val="00553084"/>
    <w:rsid w:val="0055425D"/>
    <w:rsid w:val="00587AFC"/>
    <w:rsid w:val="005A38AB"/>
    <w:rsid w:val="005D041B"/>
    <w:rsid w:val="005D4C82"/>
    <w:rsid w:val="00607917"/>
    <w:rsid w:val="00643222"/>
    <w:rsid w:val="00646CFF"/>
    <w:rsid w:val="00695736"/>
    <w:rsid w:val="006A0103"/>
    <w:rsid w:val="00706115"/>
    <w:rsid w:val="007943B1"/>
    <w:rsid w:val="007A320E"/>
    <w:rsid w:val="007A3E4E"/>
    <w:rsid w:val="007B6779"/>
    <w:rsid w:val="007D756B"/>
    <w:rsid w:val="007E3690"/>
    <w:rsid w:val="007E613A"/>
    <w:rsid w:val="007F2B11"/>
    <w:rsid w:val="007F33E6"/>
    <w:rsid w:val="0080304A"/>
    <w:rsid w:val="00852696"/>
    <w:rsid w:val="008639CD"/>
    <w:rsid w:val="00876B88"/>
    <w:rsid w:val="008863AD"/>
    <w:rsid w:val="008A3EC2"/>
    <w:rsid w:val="008A5819"/>
    <w:rsid w:val="008A6F6D"/>
    <w:rsid w:val="008F4E7C"/>
    <w:rsid w:val="008F6ACD"/>
    <w:rsid w:val="008F7169"/>
    <w:rsid w:val="00950093"/>
    <w:rsid w:val="009852DA"/>
    <w:rsid w:val="009B3DE4"/>
    <w:rsid w:val="009B5110"/>
    <w:rsid w:val="009C06B8"/>
    <w:rsid w:val="009C60B9"/>
    <w:rsid w:val="009F5D10"/>
    <w:rsid w:val="00A0604F"/>
    <w:rsid w:val="00AB5743"/>
    <w:rsid w:val="00AC3F2C"/>
    <w:rsid w:val="00B10D67"/>
    <w:rsid w:val="00B22E91"/>
    <w:rsid w:val="00B72C76"/>
    <w:rsid w:val="00B77F33"/>
    <w:rsid w:val="00BA0DB4"/>
    <w:rsid w:val="00BC3D3B"/>
    <w:rsid w:val="00BC522A"/>
    <w:rsid w:val="00BE1E32"/>
    <w:rsid w:val="00C23FE8"/>
    <w:rsid w:val="00C5781C"/>
    <w:rsid w:val="00C61C7C"/>
    <w:rsid w:val="00C97C1D"/>
    <w:rsid w:val="00CA593D"/>
    <w:rsid w:val="00CD392D"/>
    <w:rsid w:val="00CF6139"/>
    <w:rsid w:val="00D00163"/>
    <w:rsid w:val="00D013D7"/>
    <w:rsid w:val="00D076B0"/>
    <w:rsid w:val="00D46D87"/>
    <w:rsid w:val="00D47646"/>
    <w:rsid w:val="00D932D0"/>
    <w:rsid w:val="00DC1A43"/>
    <w:rsid w:val="00E35651"/>
    <w:rsid w:val="00E60436"/>
    <w:rsid w:val="00E71C5B"/>
    <w:rsid w:val="00EA5208"/>
    <w:rsid w:val="00EA68FA"/>
    <w:rsid w:val="00EC3435"/>
    <w:rsid w:val="00F066CA"/>
    <w:rsid w:val="00F42A70"/>
    <w:rsid w:val="00F75603"/>
    <w:rsid w:val="00F801B8"/>
    <w:rsid w:val="00F82B4B"/>
    <w:rsid w:val="00FA3C7F"/>
    <w:rsid w:val="00FF4826"/>
    <w:rsid w:val="027725AF"/>
    <w:rsid w:val="02B531DE"/>
    <w:rsid w:val="043A19AB"/>
    <w:rsid w:val="07B703A7"/>
    <w:rsid w:val="08DB7D8B"/>
    <w:rsid w:val="0EFD1D23"/>
    <w:rsid w:val="126775F5"/>
    <w:rsid w:val="14026CA1"/>
    <w:rsid w:val="140524A5"/>
    <w:rsid w:val="14E3163E"/>
    <w:rsid w:val="171450CA"/>
    <w:rsid w:val="17A84A31"/>
    <w:rsid w:val="18AC198D"/>
    <w:rsid w:val="1A362D0A"/>
    <w:rsid w:val="1A9A1AE2"/>
    <w:rsid w:val="1C850B82"/>
    <w:rsid w:val="1DB403E5"/>
    <w:rsid w:val="1E8B3C3C"/>
    <w:rsid w:val="1F0C2891"/>
    <w:rsid w:val="1FF004A0"/>
    <w:rsid w:val="21025128"/>
    <w:rsid w:val="21F75571"/>
    <w:rsid w:val="228C736A"/>
    <w:rsid w:val="248F5BDB"/>
    <w:rsid w:val="26AC3567"/>
    <w:rsid w:val="27094723"/>
    <w:rsid w:val="2A710EAE"/>
    <w:rsid w:val="2B9A59A4"/>
    <w:rsid w:val="2CAB1A01"/>
    <w:rsid w:val="2D887C39"/>
    <w:rsid w:val="2D993838"/>
    <w:rsid w:val="2E110DC4"/>
    <w:rsid w:val="2EA70528"/>
    <w:rsid w:val="2F1F5BB7"/>
    <w:rsid w:val="2FF54D81"/>
    <w:rsid w:val="31AC6C06"/>
    <w:rsid w:val="323C0B50"/>
    <w:rsid w:val="333062AD"/>
    <w:rsid w:val="33712CFE"/>
    <w:rsid w:val="33895773"/>
    <w:rsid w:val="33F90432"/>
    <w:rsid w:val="351234CC"/>
    <w:rsid w:val="35EF058A"/>
    <w:rsid w:val="361954A6"/>
    <w:rsid w:val="3C740147"/>
    <w:rsid w:val="3CF45D24"/>
    <w:rsid w:val="3E9B4363"/>
    <w:rsid w:val="3ECA1709"/>
    <w:rsid w:val="3EEE625E"/>
    <w:rsid w:val="43ED40EE"/>
    <w:rsid w:val="443A5766"/>
    <w:rsid w:val="44746547"/>
    <w:rsid w:val="48515DC8"/>
    <w:rsid w:val="49EB4B28"/>
    <w:rsid w:val="4BF76F64"/>
    <w:rsid w:val="4EA70F40"/>
    <w:rsid w:val="4EBD0A92"/>
    <w:rsid w:val="4EDA0125"/>
    <w:rsid w:val="4F9A3A01"/>
    <w:rsid w:val="553840DB"/>
    <w:rsid w:val="579F1125"/>
    <w:rsid w:val="580469B3"/>
    <w:rsid w:val="58B3555A"/>
    <w:rsid w:val="58B91A08"/>
    <w:rsid w:val="5A3921D0"/>
    <w:rsid w:val="5A5770E4"/>
    <w:rsid w:val="5B4D1492"/>
    <w:rsid w:val="5C100F49"/>
    <w:rsid w:val="5C675762"/>
    <w:rsid w:val="5D7B013E"/>
    <w:rsid w:val="5DC71851"/>
    <w:rsid w:val="5E871CB1"/>
    <w:rsid w:val="5F12488F"/>
    <w:rsid w:val="656A70AF"/>
    <w:rsid w:val="66AA15BF"/>
    <w:rsid w:val="69340CF8"/>
    <w:rsid w:val="6BD2675F"/>
    <w:rsid w:val="6BD937EB"/>
    <w:rsid w:val="6C171CF3"/>
    <w:rsid w:val="6DDF526D"/>
    <w:rsid w:val="6F2A17D8"/>
    <w:rsid w:val="744B3E55"/>
    <w:rsid w:val="74EB7879"/>
    <w:rsid w:val="7931434A"/>
    <w:rsid w:val="7BDA70B6"/>
    <w:rsid w:val="7C115C9E"/>
    <w:rsid w:val="7C8810B1"/>
    <w:rsid w:val="7DFD38EA"/>
    <w:rsid w:val="7E2C2E60"/>
    <w:rsid w:val="7EA22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qFormat/>
    <w:uiPriority w:val="0"/>
    <w:pPr>
      <w:widowControl/>
      <w:jc w:val="left"/>
    </w:pPr>
    <w:rPr>
      <w:kern w:val="0"/>
      <w:szCs w:val="20"/>
    </w:r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oc 5"/>
    <w:basedOn w:val="1"/>
    <w:next w:val="1"/>
    <w:qFormat/>
    <w:uiPriority w:val="0"/>
    <w:pPr>
      <w:ind w:left="1680" w:leftChars="800"/>
    </w:pPr>
  </w:style>
  <w:style w:type="paragraph" w:styleId="5">
    <w:name w:val="Balloon Text"/>
    <w:basedOn w:val="1"/>
    <w:link w:val="17"/>
    <w:qFormat/>
    <w:uiPriority w:val="0"/>
    <w:rPr>
      <w:sz w:val="18"/>
      <w:szCs w:val="18"/>
    </w:rPr>
  </w:style>
  <w:style w:type="paragraph" w:styleId="6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annotation subject"/>
    <w:basedOn w:val="2"/>
    <w:next w:val="2"/>
    <w:link w:val="16"/>
    <w:qFormat/>
    <w:uiPriority w:val="0"/>
    <w:pPr>
      <w:widowControl w:val="0"/>
    </w:pPr>
    <w:rPr>
      <w:b/>
      <w:bCs/>
      <w:kern w:val="2"/>
      <w:szCs w:val="24"/>
    </w:rPr>
  </w:style>
  <w:style w:type="paragraph" w:styleId="9">
    <w:name w:val="Body Text First Indent"/>
    <w:basedOn w:val="3"/>
    <w:next w:val="1"/>
    <w:qFormat/>
    <w:uiPriority w:val="0"/>
    <w:pPr>
      <w:spacing w:after="0" w:line="360" w:lineRule="auto"/>
      <w:ind w:firstLine="425"/>
    </w:pPr>
    <w:rPr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annotation reference"/>
    <w:basedOn w:val="12"/>
    <w:qFormat/>
    <w:uiPriority w:val="0"/>
    <w:rPr>
      <w:sz w:val="21"/>
      <w:szCs w:val="21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5">
    <w:name w:val="批注文字 Char"/>
    <w:basedOn w:val="12"/>
    <w:link w:val="2"/>
    <w:qFormat/>
    <w:uiPriority w:val="0"/>
    <w:rPr>
      <w:rFonts w:asciiTheme="minorHAnsi" w:hAnsiTheme="minorHAnsi" w:eastAsiaTheme="minorEastAsia" w:cstheme="minorBidi"/>
      <w:sz w:val="21"/>
    </w:rPr>
  </w:style>
  <w:style w:type="character" w:customStyle="1" w:styleId="16">
    <w:name w:val="批注主题 Char"/>
    <w:basedOn w:val="15"/>
    <w:link w:val="8"/>
    <w:qFormat/>
    <w:uiPriority w:val="0"/>
  </w:style>
  <w:style w:type="character" w:customStyle="1" w:styleId="17">
    <w:name w:val="批注框文本 Char"/>
    <w:basedOn w:val="12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8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9">
    <w:name w:val="页脚 Char"/>
    <w:basedOn w:val="12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24"/>
    </w:rPr>
  </w:style>
  <w:style w:type="character" w:customStyle="1" w:styleId="20">
    <w:name w:val="fontstyle01"/>
    <w:basedOn w:val="12"/>
    <w:qFormat/>
    <w:uiPriority w:val="0"/>
    <w:rPr>
      <w:rFonts w:ascii="宋体" w:hAnsi="宋体" w:eastAsia="宋体" w:cs="宋体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3</Pages>
  <Words>1852</Words>
  <Characters>1963</Characters>
  <Lines>10</Lines>
  <Paragraphs>2</Paragraphs>
  <TotalTime>19</TotalTime>
  <ScaleCrop>false</ScaleCrop>
  <LinksUpToDate>false</LinksUpToDate>
  <CharactersWithSpaces>1977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2025-01-15T03:35:00Z</dcterms:created>
  <dc:creator>ye</dc:creator>
  <cp:lastModifiedBy>Lily</cp:lastModifiedBy>
  <cp:lastPrinted>2021-08-11T08:36:00Z</cp:lastPrinted>
  <dcterms:modified xsi:type="dcterms:W3CDTF">2026-09-15T07:10:44Z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BFC10624C9934651AED48D20644D449C_13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