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05AD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中山市东升医院10楼皮肤科病房及3楼皮肤科门诊</w:t>
      </w:r>
    </w:p>
    <w:p w14:paraId="38BEF2B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rPr>
        <w:t>中央空调改造项目</w:t>
      </w:r>
      <w:r>
        <w:rPr>
          <w:rFonts w:hint="eastAsia" w:ascii="宋体" w:hAnsi="宋体" w:cs="宋体"/>
          <w:b/>
          <w:bCs/>
          <w:sz w:val="32"/>
          <w:szCs w:val="32"/>
          <w:lang w:val="en-US" w:eastAsia="zh-CN"/>
        </w:rPr>
        <w:t>院内采购公告</w:t>
      </w:r>
    </w:p>
    <w:p w14:paraId="4373067C">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ascii="宋体" w:cs="宋体"/>
          <w:sz w:val="24"/>
          <w:szCs w:val="24"/>
        </w:rPr>
      </w:pPr>
      <w:r>
        <w:rPr>
          <w:rFonts w:hint="eastAsia" w:ascii="宋体" w:hAnsi="宋体" w:cs="宋体"/>
          <w:b/>
          <w:sz w:val="24"/>
          <w:szCs w:val="24"/>
        </w:rPr>
        <w:t>一、项目概况</w:t>
      </w:r>
    </w:p>
    <w:p w14:paraId="55EDFC85">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cs="宋体"/>
          <w:sz w:val="24"/>
          <w:szCs w:val="24"/>
        </w:rPr>
      </w:pPr>
      <w:r>
        <w:rPr>
          <w:rFonts w:ascii="宋体" w:hAnsi="宋体" w:cs="宋体"/>
          <w:sz w:val="24"/>
          <w:szCs w:val="24"/>
        </w:rPr>
        <w:t>1.</w:t>
      </w:r>
      <w:r>
        <w:rPr>
          <w:rFonts w:hint="eastAsia" w:ascii="宋体" w:hAnsi="宋体" w:cs="宋体"/>
          <w:sz w:val="24"/>
          <w:szCs w:val="24"/>
          <w:lang w:val="en-US" w:eastAsia="zh-CN"/>
        </w:rPr>
        <w:t xml:space="preserve"> </w:t>
      </w:r>
      <w:r>
        <w:rPr>
          <w:rFonts w:hint="eastAsia" w:ascii="宋体" w:hAnsi="宋体" w:cs="宋体"/>
          <w:sz w:val="24"/>
          <w:szCs w:val="24"/>
        </w:rPr>
        <w:t>项目名称：中山市东升医院</w:t>
      </w:r>
      <w:r>
        <w:rPr>
          <w:rFonts w:ascii="宋体" w:hAnsi="宋体" w:cs="宋体"/>
          <w:sz w:val="24"/>
          <w:szCs w:val="24"/>
        </w:rPr>
        <w:t>10</w:t>
      </w:r>
      <w:r>
        <w:rPr>
          <w:rFonts w:hint="eastAsia" w:ascii="宋体" w:hAnsi="宋体" w:cs="宋体"/>
          <w:sz w:val="24"/>
          <w:szCs w:val="24"/>
        </w:rPr>
        <w:t>楼皮肤科病房及</w:t>
      </w:r>
      <w:r>
        <w:rPr>
          <w:rFonts w:ascii="宋体" w:hAnsi="宋体" w:cs="宋体"/>
          <w:sz w:val="24"/>
          <w:szCs w:val="24"/>
        </w:rPr>
        <w:t>3</w:t>
      </w:r>
      <w:r>
        <w:rPr>
          <w:rFonts w:hint="eastAsia" w:ascii="宋体" w:hAnsi="宋体" w:cs="宋体"/>
          <w:sz w:val="24"/>
          <w:szCs w:val="24"/>
        </w:rPr>
        <w:t>楼皮肤科门诊中央空调改造项目</w:t>
      </w:r>
    </w:p>
    <w:p w14:paraId="44AAD197">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2. 项目编号：FW-CW-CW-2026049</w:t>
      </w:r>
    </w:p>
    <w:p w14:paraId="39B7DEFD">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宋体" w:cs="宋体"/>
          <w:sz w:val="24"/>
          <w:szCs w:val="24"/>
        </w:rPr>
      </w:pPr>
      <w:r>
        <w:rPr>
          <w:rFonts w:hint="eastAsia" w:ascii="宋体" w:hAnsi="宋体" w:cs="宋体"/>
          <w:sz w:val="24"/>
          <w:szCs w:val="24"/>
          <w:lang w:val="en-US" w:eastAsia="zh-CN"/>
        </w:rPr>
        <w:t>3</w:t>
      </w:r>
      <w:r>
        <w:rPr>
          <w:rFonts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sz w:val="24"/>
          <w:szCs w:val="24"/>
        </w:rPr>
        <w:t>预算金额：</w:t>
      </w:r>
      <w:r>
        <w:rPr>
          <w:rFonts w:ascii="宋体" w:hAnsi="宋体" w:cs="宋体"/>
          <w:sz w:val="24"/>
          <w:szCs w:val="24"/>
        </w:rPr>
        <w:t>107315</w:t>
      </w:r>
      <w:r>
        <w:rPr>
          <w:rFonts w:hint="eastAsia" w:ascii="宋体" w:hAnsi="宋体" w:cs="宋体"/>
          <w:sz w:val="24"/>
          <w:szCs w:val="24"/>
        </w:rPr>
        <w:t>元（含税全包价，包括设备费、配件费、运输费、保险费、卸车费、吊车费、安装调试费、检测费、培训费、税费及响应供应商认为实施过程中的不可预见费用，采购人不再另行支付）。</w:t>
      </w:r>
    </w:p>
    <w:p w14:paraId="46164D59">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宋体" w:cs="宋体"/>
          <w:sz w:val="24"/>
          <w:szCs w:val="24"/>
        </w:rPr>
      </w:pPr>
      <w:r>
        <w:rPr>
          <w:rFonts w:hint="eastAsia" w:ascii="宋体" w:hAnsi="宋体" w:cs="宋体"/>
          <w:sz w:val="24"/>
          <w:szCs w:val="24"/>
          <w:lang w:val="en-US" w:eastAsia="zh-CN"/>
        </w:rPr>
        <w:t>4</w:t>
      </w:r>
      <w:r>
        <w:rPr>
          <w:rFonts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sz w:val="24"/>
          <w:szCs w:val="24"/>
        </w:rPr>
        <w:t>供货期：合同签订后</w:t>
      </w:r>
      <w:r>
        <w:rPr>
          <w:rFonts w:ascii="宋体" w:hAnsi="宋体" w:cs="宋体"/>
          <w:sz w:val="24"/>
          <w:szCs w:val="24"/>
        </w:rPr>
        <w:t>20</w:t>
      </w:r>
      <w:r>
        <w:rPr>
          <w:rFonts w:hint="eastAsia" w:ascii="宋体" w:hAnsi="宋体" w:cs="宋体"/>
          <w:sz w:val="24"/>
          <w:szCs w:val="24"/>
        </w:rPr>
        <w:t>个自然日内完成安装、改造和维修、调试等。</w:t>
      </w:r>
    </w:p>
    <w:p w14:paraId="7E4F7E67">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cs="宋体"/>
          <w:bCs/>
          <w:kern w:val="2"/>
          <w:sz w:val="24"/>
          <w:szCs w:val="24"/>
          <w:lang w:val="en-US" w:eastAsia="zh-CN" w:bidi="ar-SA"/>
        </w:rPr>
        <w:t xml:space="preserve">5. </w:t>
      </w:r>
      <w:r>
        <w:rPr>
          <w:rFonts w:hint="eastAsia" w:ascii="宋体" w:hAnsi="宋体" w:eastAsia="宋体" w:cs="宋体"/>
          <w:bCs/>
          <w:kern w:val="2"/>
          <w:sz w:val="24"/>
          <w:szCs w:val="24"/>
          <w:lang w:val="en-US" w:eastAsia="zh-CN" w:bidi="ar-SA"/>
        </w:rPr>
        <w:t>项目内容：委托具备相应资质的第三方维修服务供应商，对东升医院10楼皮肤科病房及3楼皮肤科门诊中央空调系统的风机盘管、管道等设施实施改造工程。</w:t>
      </w:r>
    </w:p>
    <w:p w14:paraId="00A18FA3">
      <w:pPr>
        <w:keepNext w:val="0"/>
        <w:keepLines w:val="0"/>
        <w:pageBreakBefore w:val="0"/>
        <w:widowControl w:val="0"/>
        <w:kinsoku/>
        <w:wordWrap/>
        <w:overflowPunct/>
        <w:topLinePunct w:val="0"/>
        <w:autoSpaceDE/>
        <w:autoSpaceDN/>
        <w:bidi w:val="0"/>
        <w:adjustRightInd/>
        <w:snapToGrid/>
        <w:spacing w:after="95" w:afterLines="30" w:line="420" w:lineRule="exact"/>
        <w:jc w:val="left"/>
        <w:textAlignment w:val="auto"/>
        <w:rPr>
          <w:rFonts w:ascii="宋体" w:cs="宋体"/>
          <w:sz w:val="24"/>
          <w:szCs w:val="24"/>
        </w:rPr>
      </w:pPr>
      <w:r>
        <w:rPr>
          <w:rFonts w:hint="eastAsia" w:ascii="宋体" w:hAnsi="宋体" w:cs="宋体"/>
          <w:sz w:val="24"/>
          <w:szCs w:val="24"/>
          <w:lang w:val="en-US" w:eastAsia="zh-CN"/>
        </w:rPr>
        <w:t>6</w:t>
      </w:r>
      <w:r>
        <w:rPr>
          <w:rFonts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sz w:val="24"/>
          <w:szCs w:val="24"/>
        </w:rPr>
        <w:t>项目清单：</w:t>
      </w:r>
    </w:p>
    <w:tbl>
      <w:tblPr>
        <w:tblStyle w:val="8"/>
        <w:tblW w:w="9752" w:type="dxa"/>
        <w:jc w:val="center"/>
        <w:tblLayout w:type="fixed"/>
        <w:tblCellMar>
          <w:top w:w="57" w:type="dxa"/>
          <w:left w:w="57" w:type="dxa"/>
          <w:bottom w:w="57" w:type="dxa"/>
          <w:right w:w="57" w:type="dxa"/>
        </w:tblCellMar>
      </w:tblPr>
      <w:tblGrid>
        <w:gridCol w:w="795"/>
        <w:gridCol w:w="2595"/>
        <w:gridCol w:w="1190"/>
        <w:gridCol w:w="1035"/>
        <w:gridCol w:w="2175"/>
        <w:gridCol w:w="1962"/>
      </w:tblGrid>
      <w:tr w14:paraId="2C52EEB6">
        <w:tblPrEx>
          <w:tblCellMar>
            <w:top w:w="57" w:type="dxa"/>
            <w:left w:w="57" w:type="dxa"/>
            <w:bottom w:w="57" w:type="dxa"/>
            <w:right w:w="57" w:type="dxa"/>
          </w:tblCellMar>
        </w:tblPrEx>
        <w:trPr>
          <w:trHeight w:val="312" w:hRule="exact"/>
          <w:tblHeader/>
          <w:jc w:val="center"/>
        </w:trPr>
        <w:tc>
          <w:tcPr>
            <w:tcW w:w="795" w:type="dxa"/>
            <w:vMerge w:val="restart"/>
            <w:tcBorders>
              <w:top w:val="single" w:color="000000" w:sz="4" w:space="0"/>
              <w:left w:val="single" w:color="000000" w:sz="4" w:space="0"/>
              <w:bottom w:val="single" w:color="000000" w:sz="4" w:space="0"/>
              <w:right w:val="single" w:color="000000" w:sz="4" w:space="0"/>
            </w:tcBorders>
            <w:vAlign w:val="center"/>
          </w:tcPr>
          <w:p w14:paraId="01E15978">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Cs w:val="21"/>
              </w:rPr>
            </w:pPr>
            <w:r>
              <w:rPr>
                <w:rFonts w:hint="eastAsia" w:ascii="宋体" w:hAnsi="宋体" w:cs="宋体"/>
                <w:b/>
                <w:bCs/>
                <w:color w:val="000000"/>
                <w:kern w:val="0"/>
                <w:szCs w:val="21"/>
              </w:rPr>
              <w:t>序号</w:t>
            </w:r>
          </w:p>
        </w:tc>
        <w:tc>
          <w:tcPr>
            <w:tcW w:w="2595" w:type="dxa"/>
            <w:vMerge w:val="restart"/>
            <w:tcBorders>
              <w:top w:val="single" w:color="000000" w:sz="4" w:space="0"/>
              <w:left w:val="single" w:color="000000" w:sz="4" w:space="0"/>
              <w:bottom w:val="single" w:color="000000" w:sz="4" w:space="0"/>
              <w:right w:val="single" w:color="000000" w:sz="4" w:space="0"/>
            </w:tcBorders>
            <w:noWrap/>
            <w:vAlign w:val="center"/>
          </w:tcPr>
          <w:p w14:paraId="15F02F7E">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eastAsia" w:ascii="宋体" w:eastAsia="宋体" w:cs="宋体"/>
                <w:b/>
                <w:bCs/>
                <w:color w:val="000000"/>
                <w:szCs w:val="21"/>
                <w:lang w:eastAsia="zh-CN"/>
              </w:rPr>
            </w:pPr>
            <w:r>
              <w:rPr>
                <w:rFonts w:hint="eastAsia" w:ascii="宋体" w:hAnsi="宋体" w:cs="宋体"/>
                <w:b/>
                <w:bCs/>
                <w:color w:val="000000"/>
                <w:kern w:val="0"/>
                <w:szCs w:val="21"/>
                <w:lang w:val="en-US" w:eastAsia="zh-CN"/>
              </w:rPr>
              <w:t>项目</w:t>
            </w:r>
          </w:p>
        </w:tc>
        <w:tc>
          <w:tcPr>
            <w:tcW w:w="1190" w:type="dxa"/>
            <w:vMerge w:val="restart"/>
            <w:tcBorders>
              <w:top w:val="single" w:color="000000" w:sz="4" w:space="0"/>
              <w:left w:val="single" w:color="000000" w:sz="4" w:space="0"/>
              <w:bottom w:val="single" w:color="000000" w:sz="4" w:space="0"/>
              <w:right w:val="single" w:color="000000" w:sz="4" w:space="0"/>
            </w:tcBorders>
            <w:noWrap/>
            <w:vAlign w:val="center"/>
          </w:tcPr>
          <w:p w14:paraId="5DCA10BF">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Cs w:val="21"/>
              </w:rPr>
            </w:pPr>
            <w:r>
              <w:rPr>
                <w:rFonts w:hint="eastAsia" w:ascii="宋体" w:hAnsi="宋体" w:cs="宋体"/>
                <w:b/>
                <w:bCs/>
                <w:color w:val="000000"/>
                <w:kern w:val="0"/>
                <w:szCs w:val="21"/>
              </w:rPr>
              <w:t>数量</w:t>
            </w:r>
          </w:p>
        </w:tc>
        <w:tc>
          <w:tcPr>
            <w:tcW w:w="1035" w:type="dxa"/>
            <w:vMerge w:val="restart"/>
            <w:tcBorders>
              <w:top w:val="single" w:color="000000" w:sz="4" w:space="0"/>
              <w:left w:val="single" w:color="000000" w:sz="4" w:space="0"/>
              <w:bottom w:val="single" w:color="000000" w:sz="4" w:space="0"/>
              <w:right w:val="single" w:color="000000" w:sz="4" w:space="0"/>
            </w:tcBorders>
            <w:noWrap/>
            <w:vAlign w:val="center"/>
          </w:tcPr>
          <w:p w14:paraId="75AB2EFB">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Cs w:val="21"/>
              </w:rPr>
            </w:pPr>
            <w:r>
              <w:rPr>
                <w:rFonts w:hint="eastAsia" w:ascii="宋体" w:hAnsi="宋体" w:cs="宋体"/>
                <w:b/>
                <w:bCs/>
                <w:color w:val="000000"/>
                <w:kern w:val="0"/>
                <w:szCs w:val="21"/>
              </w:rPr>
              <w:t>单位</w:t>
            </w:r>
          </w:p>
        </w:tc>
        <w:tc>
          <w:tcPr>
            <w:tcW w:w="2175" w:type="dxa"/>
            <w:vMerge w:val="restart"/>
            <w:tcBorders>
              <w:top w:val="single" w:color="000000" w:sz="4" w:space="0"/>
              <w:left w:val="single" w:color="000000" w:sz="4" w:space="0"/>
              <w:bottom w:val="single" w:color="000000" w:sz="4" w:space="0"/>
              <w:right w:val="single" w:color="000000" w:sz="4" w:space="0"/>
            </w:tcBorders>
            <w:noWrap/>
            <w:vAlign w:val="center"/>
          </w:tcPr>
          <w:p w14:paraId="75773DFA">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default" w:ascii="宋体" w:eastAsia="宋体" w:cs="宋体"/>
                <w:b/>
                <w:bCs/>
                <w:color w:val="000000"/>
                <w:szCs w:val="21"/>
                <w:lang w:val="en-US" w:eastAsia="zh-CN"/>
              </w:rPr>
            </w:pPr>
            <w:r>
              <w:rPr>
                <w:rFonts w:hint="eastAsia" w:ascii="宋体" w:hAnsi="宋体" w:cs="宋体"/>
                <w:b/>
                <w:bCs/>
                <w:color w:val="000000"/>
                <w:kern w:val="0"/>
                <w:szCs w:val="21"/>
                <w:lang w:val="en-US" w:eastAsia="zh-CN"/>
              </w:rPr>
              <w:t>报价金额（元）</w:t>
            </w:r>
          </w:p>
        </w:tc>
        <w:tc>
          <w:tcPr>
            <w:tcW w:w="1962" w:type="dxa"/>
            <w:vMerge w:val="restart"/>
            <w:tcBorders>
              <w:top w:val="single" w:color="000000" w:sz="4" w:space="0"/>
              <w:left w:val="single" w:color="000000" w:sz="4" w:space="0"/>
              <w:bottom w:val="single" w:color="000000" w:sz="4" w:space="0"/>
              <w:right w:val="single" w:color="000000" w:sz="4" w:space="0"/>
            </w:tcBorders>
            <w:noWrap/>
            <w:vAlign w:val="center"/>
          </w:tcPr>
          <w:p w14:paraId="5BAE2D39">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Cs w:val="21"/>
              </w:rPr>
            </w:pPr>
            <w:r>
              <w:rPr>
                <w:rFonts w:hint="eastAsia" w:ascii="宋体" w:hAnsi="宋体" w:cs="宋体"/>
                <w:b/>
                <w:bCs/>
                <w:color w:val="000000"/>
                <w:kern w:val="0"/>
                <w:szCs w:val="21"/>
              </w:rPr>
              <w:t>备注</w:t>
            </w:r>
          </w:p>
        </w:tc>
      </w:tr>
      <w:tr w14:paraId="1F140AAF">
        <w:tblPrEx>
          <w:tblCellMar>
            <w:top w:w="57" w:type="dxa"/>
            <w:left w:w="57" w:type="dxa"/>
            <w:bottom w:w="57" w:type="dxa"/>
            <w:right w:w="57" w:type="dxa"/>
          </w:tblCellMar>
        </w:tblPrEx>
        <w:trPr>
          <w:trHeight w:val="312" w:hRule="exact"/>
          <w:tblHeader/>
          <w:jc w:val="center"/>
        </w:trPr>
        <w:tc>
          <w:tcPr>
            <w:tcW w:w="795" w:type="dxa"/>
            <w:vMerge w:val="continue"/>
            <w:tcBorders>
              <w:top w:val="single" w:color="000000" w:sz="4" w:space="0"/>
              <w:left w:val="single" w:color="000000" w:sz="4" w:space="0"/>
              <w:bottom w:val="single" w:color="000000" w:sz="4" w:space="0"/>
              <w:right w:val="single" w:color="000000" w:sz="4" w:space="0"/>
            </w:tcBorders>
            <w:vAlign w:val="center"/>
          </w:tcPr>
          <w:p w14:paraId="7B22645A">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Cs w:val="21"/>
              </w:rPr>
            </w:pPr>
          </w:p>
        </w:tc>
        <w:tc>
          <w:tcPr>
            <w:tcW w:w="2595" w:type="dxa"/>
            <w:vMerge w:val="continue"/>
            <w:tcBorders>
              <w:top w:val="single" w:color="000000" w:sz="4" w:space="0"/>
              <w:left w:val="single" w:color="000000" w:sz="4" w:space="0"/>
              <w:bottom w:val="single" w:color="000000" w:sz="4" w:space="0"/>
              <w:right w:val="single" w:color="000000" w:sz="4" w:space="0"/>
            </w:tcBorders>
            <w:noWrap/>
            <w:vAlign w:val="center"/>
          </w:tcPr>
          <w:p w14:paraId="40B2A1E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Cs w:val="21"/>
              </w:rPr>
            </w:pPr>
          </w:p>
        </w:tc>
        <w:tc>
          <w:tcPr>
            <w:tcW w:w="1190" w:type="dxa"/>
            <w:vMerge w:val="continue"/>
            <w:tcBorders>
              <w:top w:val="single" w:color="000000" w:sz="4" w:space="0"/>
              <w:left w:val="single" w:color="000000" w:sz="4" w:space="0"/>
              <w:bottom w:val="single" w:color="000000" w:sz="4" w:space="0"/>
              <w:right w:val="single" w:color="000000" w:sz="4" w:space="0"/>
            </w:tcBorders>
            <w:noWrap/>
            <w:vAlign w:val="center"/>
          </w:tcPr>
          <w:p w14:paraId="6FF0F05E">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Cs w:val="21"/>
              </w:rPr>
            </w:pPr>
          </w:p>
        </w:tc>
        <w:tc>
          <w:tcPr>
            <w:tcW w:w="1035" w:type="dxa"/>
            <w:vMerge w:val="continue"/>
            <w:tcBorders>
              <w:top w:val="single" w:color="000000" w:sz="4" w:space="0"/>
              <w:left w:val="single" w:color="000000" w:sz="4" w:space="0"/>
              <w:bottom w:val="single" w:color="000000" w:sz="4" w:space="0"/>
              <w:right w:val="single" w:color="000000" w:sz="4" w:space="0"/>
            </w:tcBorders>
            <w:noWrap/>
            <w:vAlign w:val="center"/>
          </w:tcPr>
          <w:p w14:paraId="6491E3BD">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Cs w:val="21"/>
              </w:rPr>
            </w:pPr>
          </w:p>
        </w:tc>
        <w:tc>
          <w:tcPr>
            <w:tcW w:w="2175" w:type="dxa"/>
            <w:vMerge w:val="continue"/>
            <w:tcBorders>
              <w:top w:val="single" w:color="000000" w:sz="4" w:space="0"/>
              <w:left w:val="single" w:color="000000" w:sz="4" w:space="0"/>
              <w:bottom w:val="single" w:color="000000" w:sz="4" w:space="0"/>
              <w:right w:val="single" w:color="000000" w:sz="4" w:space="0"/>
            </w:tcBorders>
            <w:noWrap/>
            <w:vAlign w:val="center"/>
          </w:tcPr>
          <w:p w14:paraId="3659FBD9">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Cs w:val="21"/>
              </w:rPr>
            </w:pPr>
          </w:p>
        </w:tc>
        <w:tc>
          <w:tcPr>
            <w:tcW w:w="1962" w:type="dxa"/>
            <w:vMerge w:val="continue"/>
            <w:tcBorders>
              <w:top w:val="single" w:color="000000" w:sz="4" w:space="0"/>
              <w:left w:val="single" w:color="000000" w:sz="4" w:space="0"/>
              <w:bottom w:val="single" w:color="000000" w:sz="4" w:space="0"/>
              <w:right w:val="single" w:color="000000" w:sz="4" w:space="0"/>
            </w:tcBorders>
            <w:noWrap/>
            <w:vAlign w:val="center"/>
          </w:tcPr>
          <w:p w14:paraId="32BF830A">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Cs w:val="21"/>
              </w:rPr>
            </w:pPr>
          </w:p>
        </w:tc>
      </w:tr>
      <w:tr w14:paraId="7EB84135">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2F0CB8B4">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ascii="宋体" w:hAnsi="宋体" w:cs="宋体"/>
                <w:color w:val="000000"/>
                <w:kern w:val="0"/>
                <w:sz w:val="20"/>
                <w:szCs w:val="20"/>
              </w:rPr>
              <w:t>1</w:t>
            </w:r>
          </w:p>
        </w:tc>
        <w:tc>
          <w:tcPr>
            <w:tcW w:w="2595" w:type="dxa"/>
            <w:tcBorders>
              <w:top w:val="single" w:color="000000" w:sz="4" w:space="0"/>
              <w:left w:val="single" w:color="000000" w:sz="4" w:space="0"/>
              <w:bottom w:val="single" w:color="000000" w:sz="4" w:space="0"/>
              <w:right w:val="single" w:color="000000" w:sz="4" w:space="0"/>
            </w:tcBorders>
            <w:vAlign w:val="center"/>
          </w:tcPr>
          <w:p w14:paraId="00113C2D">
            <w:pPr>
              <w:keepNext w:val="0"/>
              <w:keepLines w:val="0"/>
              <w:widowControl/>
              <w:suppressLineNumbers w:val="0"/>
              <w:snapToGrid w:val="0"/>
              <w:ind w:left="0" w:leftChars="0" w:right="0" w:rightChars="0" w:firstLine="0" w:firstLineChars="0"/>
              <w:jc w:val="left"/>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风机盘管FP-08</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3E73B92E">
            <w:pPr>
              <w:keepNext w:val="0"/>
              <w:keepLines w:val="0"/>
              <w:widowControl/>
              <w:suppressLineNumbers w:val="0"/>
              <w:snapToGrid w:val="0"/>
              <w:ind w:left="0" w:leftChars="0" w:right="0" w:rightChars="0" w:firstLine="0" w:firstLineChars="0"/>
              <w:jc w:val="center"/>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10.0 </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0437036E">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hint="eastAsia" w:ascii="宋体" w:hAnsi="宋体" w:cs="宋体"/>
                <w:color w:val="000000"/>
                <w:kern w:val="0"/>
                <w:sz w:val="20"/>
                <w:szCs w:val="20"/>
              </w:rPr>
              <w:t>台</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47C12AE4">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vMerge w:val="restart"/>
            <w:tcBorders>
              <w:top w:val="single" w:color="000000" w:sz="4" w:space="0"/>
              <w:left w:val="single" w:color="000000" w:sz="4" w:space="0"/>
              <w:right w:val="single" w:color="000000" w:sz="4" w:space="0"/>
            </w:tcBorders>
            <w:vAlign w:val="center"/>
          </w:tcPr>
          <w:p w14:paraId="27C3D007">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eastAsia" w:ascii="宋体" w:eastAsia="宋体" w:cs="宋体"/>
                <w:color w:val="000000"/>
                <w:sz w:val="20"/>
                <w:szCs w:val="20"/>
                <w:lang w:val="en-US" w:eastAsia="zh-CN"/>
              </w:rPr>
            </w:pPr>
            <w:r>
              <w:rPr>
                <w:rFonts w:hint="eastAsia" w:ascii="宋体" w:hAnsi="宋体" w:cs="宋体"/>
                <w:color w:val="000000"/>
                <w:kern w:val="0"/>
                <w:sz w:val="20"/>
                <w:szCs w:val="20"/>
              </w:rPr>
              <w:t>美的</w:t>
            </w:r>
            <w:r>
              <w:rPr>
                <w:rFonts w:hint="eastAsia" w:ascii="宋体" w:hAnsi="宋体" w:cs="宋体"/>
                <w:color w:val="000000"/>
                <w:kern w:val="0"/>
                <w:sz w:val="20"/>
                <w:szCs w:val="20"/>
                <w:lang w:eastAsia="zh-CN"/>
              </w:rPr>
              <w:t>、天加或格力</w:t>
            </w:r>
          </w:p>
        </w:tc>
      </w:tr>
      <w:tr w14:paraId="6DEB6D4E">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2E19F13D">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ascii="宋体" w:hAnsi="宋体" w:cs="宋体"/>
                <w:color w:val="000000"/>
                <w:kern w:val="0"/>
                <w:sz w:val="20"/>
                <w:szCs w:val="20"/>
              </w:rPr>
              <w:t>2</w:t>
            </w:r>
          </w:p>
        </w:tc>
        <w:tc>
          <w:tcPr>
            <w:tcW w:w="2595" w:type="dxa"/>
            <w:tcBorders>
              <w:top w:val="single" w:color="000000" w:sz="4" w:space="0"/>
              <w:left w:val="single" w:color="000000" w:sz="4" w:space="0"/>
              <w:bottom w:val="single" w:color="000000" w:sz="4" w:space="0"/>
              <w:right w:val="single" w:color="000000" w:sz="4" w:space="0"/>
            </w:tcBorders>
            <w:vAlign w:val="center"/>
          </w:tcPr>
          <w:p w14:paraId="5C779333">
            <w:pPr>
              <w:keepNext w:val="0"/>
              <w:keepLines w:val="0"/>
              <w:widowControl/>
              <w:suppressLineNumbers w:val="0"/>
              <w:snapToGrid w:val="0"/>
              <w:ind w:left="0" w:leftChars="0" w:right="0" w:rightChars="0" w:firstLine="0" w:firstLineChars="0"/>
              <w:jc w:val="left"/>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风机盘管FP-08</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710FE06E">
            <w:pPr>
              <w:keepNext w:val="0"/>
              <w:keepLines w:val="0"/>
              <w:widowControl/>
              <w:suppressLineNumbers w:val="0"/>
              <w:snapToGrid w:val="0"/>
              <w:ind w:left="0" w:leftChars="0" w:right="0" w:rightChars="0" w:firstLine="0" w:firstLineChars="0"/>
              <w:jc w:val="center"/>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3.0 </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7AE5F737">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hint="eastAsia" w:ascii="宋体" w:hAnsi="宋体" w:cs="宋体"/>
                <w:color w:val="000000"/>
                <w:kern w:val="0"/>
                <w:sz w:val="20"/>
                <w:szCs w:val="20"/>
              </w:rPr>
              <w:t>台</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34DFEAED">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vMerge w:val="continue"/>
            <w:tcBorders>
              <w:left w:val="single" w:color="000000" w:sz="4" w:space="0"/>
              <w:bottom w:val="single" w:color="000000" w:sz="4" w:space="0"/>
              <w:right w:val="single" w:color="000000" w:sz="4" w:space="0"/>
            </w:tcBorders>
            <w:vAlign w:val="center"/>
          </w:tcPr>
          <w:p w14:paraId="514083E1">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20"/>
                <w:szCs w:val="20"/>
              </w:rPr>
            </w:pPr>
          </w:p>
        </w:tc>
      </w:tr>
      <w:tr w14:paraId="18E24CCE">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39BE31F7">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ascii="宋体" w:hAnsi="宋体" w:cs="宋体"/>
                <w:color w:val="000000"/>
                <w:kern w:val="0"/>
                <w:sz w:val="20"/>
                <w:szCs w:val="20"/>
              </w:rPr>
              <w:t>3</w:t>
            </w:r>
          </w:p>
        </w:tc>
        <w:tc>
          <w:tcPr>
            <w:tcW w:w="2595" w:type="dxa"/>
            <w:tcBorders>
              <w:top w:val="single" w:color="000000" w:sz="4" w:space="0"/>
              <w:left w:val="single" w:color="000000" w:sz="4" w:space="0"/>
              <w:bottom w:val="single" w:color="000000" w:sz="4" w:space="0"/>
              <w:right w:val="single" w:color="000000" w:sz="4" w:space="0"/>
            </w:tcBorders>
            <w:vAlign w:val="center"/>
          </w:tcPr>
          <w:p w14:paraId="6D07C22E">
            <w:pPr>
              <w:keepNext w:val="0"/>
              <w:keepLines w:val="0"/>
              <w:widowControl/>
              <w:suppressLineNumbers w:val="0"/>
              <w:snapToGrid w:val="0"/>
              <w:ind w:left="0" w:leftChars="0" w:right="0" w:rightChars="0" w:firstLine="0" w:firstLineChars="0"/>
              <w:jc w:val="left"/>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镀锌钢管DN20</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4EF946E9">
            <w:pPr>
              <w:keepNext w:val="0"/>
              <w:keepLines w:val="0"/>
              <w:widowControl/>
              <w:suppressLineNumbers w:val="0"/>
              <w:snapToGrid w:val="0"/>
              <w:ind w:left="0" w:leftChars="0" w:right="0" w:rightChars="0" w:firstLine="0" w:firstLineChars="0"/>
              <w:jc w:val="center"/>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80.0 </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7072C42A">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hint="eastAsia" w:ascii="宋体" w:hAnsi="宋体" w:cs="宋体"/>
                <w:color w:val="000000"/>
                <w:kern w:val="0"/>
                <w:sz w:val="20"/>
                <w:szCs w:val="20"/>
              </w:rPr>
              <w:t>米</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01A5EC2F">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63FE6E38">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20"/>
                <w:szCs w:val="20"/>
              </w:rPr>
            </w:pPr>
          </w:p>
        </w:tc>
      </w:tr>
      <w:tr w14:paraId="3D02FF93">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6CBC8369">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ascii="宋体" w:hAnsi="宋体" w:cs="宋体"/>
                <w:color w:val="000000"/>
                <w:kern w:val="0"/>
                <w:sz w:val="20"/>
                <w:szCs w:val="20"/>
              </w:rPr>
              <w:t>4</w:t>
            </w:r>
          </w:p>
        </w:tc>
        <w:tc>
          <w:tcPr>
            <w:tcW w:w="2595" w:type="dxa"/>
            <w:tcBorders>
              <w:top w:val="single" w:color="000000" w:sz="4" w:space="0"/>
              <w:left w:val="single" w:color="000000" w:sz="4" w:space="0"/>
              <w:bottom w:val="single" w:color="000000" w:sz="4" w:space="0"/>
              <w:right w:val="single" w:color="000000" w:sz="4" w:space="0"/>
            </w:tcBorders>
            <w:vAlign w:val="center"/>
          </w:tcPr>
          <w:p w14:paraId="0BA956AC">
            <w:pPr>
              <w:keepNext w:val="0"/>
              <w:keepLines w:val="0"/>
              <w:widowControl/>
              <w:suppressLineNumbers w:val="0"/>
              <w:snapToGrid w:val="0"/>
              <w:ind w:left="0" w:leftChars="0" w:right="0" w:rightChars="0" w:firstLine="0" w:firstLineChars="0"/>
              <w:jc w:val="left"/>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PVC排水管DN25(含保温)</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1F12ACB7">
            <w:pPr>
              <w:keepNext w:val="0"/>
              <w:keepLines w:val="0"/>
              <w:widowControl/>
              <w:suppressLineNumbers w:val="0"/>
              <w:snapToGrid w:val="0"/>
              <w:ind w:left="0" w:leftChars="0" w:right="0" w:rightChars="0" w:firstLine="0" w:firstLineChars="0"/>
              <w:jc w:val="center"/>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60.0 </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7594BCA6">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hint="eastAsia" w:ascii="宋体" w:hAnsi="宋体" w:cs="宋体"/>
                <w:color w:val="000000"/>
                <w:kern w:val="0"/>
                <w:sz w:val="20"/>
                <w:szCs w:val="20"/>
              </w:rPr>
              <w:t>套</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6AE7C330">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2FE18C83">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20"/>
                <w:szCs w:val="20"/>
              </w:rPr>
            </w:pPr>
          </w:p>
        </w:tc>
      </w:tr>
      <w:tr w14:paraId="092AD193">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69420F6B">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ascii="宋体" w:hAnsi="宋体" w:cs="宋体"/>
                <w:color w:val="000000"/>
                <w:kern w:val="0"/>
                <w:sz w:val="20"/>
                <w:szCs w:val="20"/>
              </w:rPr>
              <w:t>5</w:t>
            </w:r>
          </w:p>
        </w:tc>
        <w:tc>
          <w:tcPr>
            <w:tcW w:w="2595" w:type="dxa"/>
            <w:tcBorders>
              <w:top w:val="single" w:color="000000" w:sz="4" w:space="0"/>
              <w:left w:val="single" w:color="000000" w:sz="4" w:space="0"/>
              <w:bottom w:val="single" w:color="000000" w:sz="4" w:space="0"/>
              <w:right w:val="single" w:color="000000" w:sz="4" w:space="0"/>
            </w:tcBorders>
            <w:vAlign w:val="center"/>
          </w:tcPr>
          <w:p w14:paraId="2FE08948">
            <w:pPr>
              <w:keepNext w:val="0"/>
              <w:keepLines w:val="0"/>
              <w:widowControl/>
              <w:suppressLineNumbers w:val="0"/>
              <w:snapToGrid w:val="0"/>
              <w:ind w:left="0" w:leftChars="0" w:right="0" w:rightChars="0" w:firstLine="0" w:firstLineChars="0"/>
              <w:jc w:val="left"/>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橡塑B1级保温管套DN20</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76BF02A2">
            <w:pPr>
              <w:keepNext w:val="0"/>
              <w:keepLines w:val="0"/>
              <w:widowControl/>
              <w:suppressLineNumbers w:val="0"/>
              <w:snapToGrid w:val="0"/>
              <w:ind w:left="0" w:leftChars="0" w:right="0" w:rightChars="0" w:firstLine="0" w:firstLineChars="0"/>
              <w:jc w:val="center"/>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80.0 </w:t>
            </w:r>
          </w:p>
        </w:tc>
        <w:tc>
          <w:tcPr>
            <w:tcW w:w="1035" w:type="dxa"/>
            <w:tcBorders>
              <w:top w:val="single" w:color="000000" w:sz="4" w:space="0"/>
              <w:left w:val="single" w:color="000000" w:sz="4" w:space="0"/>
              <w:bottom w:val="single" w:color="000000" w:sz="4" w:space="0"/>
              <w:right w:val="single" w:color="000000" w:sz="4" w:space="0"/>
            </w:tcBorders>
            <w:vAlign w:val="center"/>
          </w:tcPr>
          <w:p w14:paraId="0DDAE873">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hint="eastAsia" w:ascii="宋体" w:hAnsi="宋体" w:cs="宋体"/>
                <w:color w:val="000000"/>
                <w:kern w:val="0"/>
                <w:sz w:val="20"/>
                <w:szCs w:val="20"/>
              </w:rPr>
              <w:t>米</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39852172">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327F29B8">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20"/>
                <w:szCs w:val="20"/>
              </w:rPr>
            </w:pPr>
          </w:p>
        </w:tc>
      </w:tr>
      <w:tr w14:paraId="65D75EFC">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429EF07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ascii="宋体" w:hAnsi="宋体" w:cs="宋体"/>
                <w:color w:val="000000"/>
                <w:kern w:val="0"/>
                <w:sz w:val="20"/>
                <w:szCs w:val="20"/>
              </w:rPr>
              <w:t>6</w:t>
            </w:r>
          </w:p>
        </w:tc>
        <w:tc>
          <w:tcPr>
            <w:tcW w:w="2595" w:type="dxa"/>
            <w:tcBorders>
              <w:top w:val="single" w:color="000000" w:sz="4" w:space="0"/>
              <w:left w:val="single" w:color="000000" w:sz="4" w:space="0"/>
              <w:bottom w:val="single" w:color="000000" w:sz="4" w:space="0"/>
              <w:right w:val="single" w:color="000000" w:sz="4" w:space="0"/>
            </w:tcBorders>
            <w:vAlign w:val="center"/>
          </w:tcPr>
          <w:p w14:paraId="652CE8D2">
            <w:pPr>
              <w:keepNext w:val="0"/>
              <w:keepLines w:val="0"/>
              <w:widowControl/>
              <w:suppressLineNumbers w:val="0"/>
              <w:snapToGrid w:val="0"/>
              <w:ind w:left="0" w:leftChars="0" w:right="0" w:rightChars="0" w:firstLine="0" w:firstLineChars="0"/>
              <w:jc w:val="left"/>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铜闸阀DN20</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439AA852">
            <w:pPr>
              <w:keepNext w:val="0"/>
              <w:keepLines w:val="0"/>
              <w:widowControl/>
              <w:suppressLineNumbers w:val="0"/>
              <w:snapToGrid w:val="0"/>
              <w:ind w:left="0" w:leftChars="0" w:right="0" w:rightChars="0" w:firstLine="0" w:firstLineChars="0"/>
              <w:jc w:val="center"/>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26.0 </w:t>
            </w:r>
          </w:p>
        </w:tc>
        <w:tc>
          <w:tcPr>
            <w:tcW w:w="1035" w:type="dxa"/>
            <w:tcBorders>
              <w:top w:val="single" w:color="000000" w:sz="4" w:space="0"/>
              <w:left w:val="single" w:color="000000" w:sz="4" w:space="0"/>
              <w:bottom w:val="single" w:color="000000" w:sz="4" w:space="0"/>
              <w:right w:val="single" w:color="000000" w:sz="4" w:space="0"/>
            </w:tcBorders>
            <w:vAlign w:val="center"/>
          </w:tcPr>
          <w:p w14:paraId="7109FB67">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hint="eastAsia" w:ascii="宋体" w:hAnsi="宋体" w:cs="宋体"/>
                <w:color w:val="000000"/>
                <w:kern w:val="0"/>
                <w:sz w:val="20"/>
                <w:szCs w:val="20"/>
              </w:rPr>
              <w:t>个</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6EF5BBD4">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56A0273B">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20"/>
                <w:szCs w:val="20"/>
              </w:rPr>
            </w:pPr>
          </w:p>
        </w:tc>
      </w:tr>
      <w:tr w14:paraId="1324C515">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47A3255A">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ascii="宋体" w:hAnsi="宋体" w:cs="宋体"/>
                <w:color w:val="000000"/>
                <w:kern w:val="0"/>
                <w:sz w:val="20"/>
                <w:szCs w:val="20"/>
              </w:rPr>
              <w:t>7</w:t>
            </w:r>
          </w:p>
        </w:tc>
        <w:tc>
          <w:tcPr>
            <w:tcW w:w="2595" w:type="dxa"/>
            <w:tcBorders>
              <w:top w:val="single" w:color="000000" w:sz="4" w:space="0"/>
              <w:left w:val="single" w:color="000000" w:sz="4" w:space="0"/>
              <w:bottom w:val="single" w:color="000000" w:sz="4" w:space="0"/>
              <w:right w:val="single" w:color="000000" w:sz="4" w:space="0"/>
            </w:tcBorders>
            <w:vAlign w:val="center"/>
          </w:tcPr>
          <w:p w14:paraId="2D69A05F">
            <w:pPr>
              <w:keepNext w:val="0"/>
              <w:keepLines w:val="0"/>
              <w:widowControl/>
              <w:suppressLineNumbers w:val="0"/>
              <w:snapToGrid w:val="0"/>
              <w:ind w:left="0" w:leftChars="0" w:right="0" w:rightChars="0" w:firstLine="0" w:firstLineChars="0"/>
              <w:jc w:val="left"/>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不锈钢软管DN20</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7CBBD50E">
            <w:pPr>
              <w:keepNext w:val="0"/>
              <w:keepLines w:val="0"/>
              <w:widowControl/>
              <w:suppressLineNumbers w:val="0"/>
              <w:snapToGrid w:val="0"/>
              <w:ind w:left="0" w:leftChars="0" w:right="0" w:rightChars="0" w:firstLine="0" w:firstLineChars="0"/>
              <w:jc w:val="center"/>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26.0 </w:t>
            </w:r>
          </w:p>
        </w:tc>
        <w:tc>
          <w:tcPr>
            <w:tcW w:w="1035" w:type="dxa"/>
            <w:tcBorders>
              <w:top w:val="single" w:color="000000" w:sz="4" w:space="0"/>
              <w:left w:val="single" w:color="000000" w:sz="4" w:space="0"/>
              <w:bottom w:val="single" w:color="000000" w:sz="4" w:space="0"/>
              <w:right w:val="single" w:color="000000" w:sz="4" w:space="0"/>
            </w:tcBorders>
            <w:vAlign w:val="center"/>
          </w:tcPr>
          <w:p w14:paraId="71A2C62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hint="eastAsia" w:ascii="宋体" w:hAnsi="宋体" w:cs="宋体"/>
                <w:color w:val="000000"/>
                <w:kern w:val="0"/>
                <w:sz w:val="20"/>
                <w:szCs w:val="20"/>
              </w:rPr>
              <w:t>条</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4A430D10">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7AB2E5E4">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20"/>
                <w:szCs w:val="20"/>
              </w:rPr>
            </w:pPr>
          </w:p>
        </w:tc>
      </w:tr>
      <w:tr w14:paraId="09C8E970">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1DF4A23A">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ascii="宋体" w:hAnsi="宋体" w:cs="宋体"/>
                <w:color w:val="000000"/>
                <w:kern w:val="0"/>
                <w:sz w:val="20"/>
                <w:szCs w:val="20"/>
              </w:rPr>
              <w:t>8</w:t>
            </w:r>
          </w:p>
        </w:tc>
        <w:tc>
          <w:tcPr>
            <w:tcW w:w="2595" w:type="dxa"/>
            <w:tcBorders>
              <w:top w:val="single" w:color="000000" w:sz="4" w:space="0"/>
              <w:left w:val="single" w:color="000000" w:sz="4" w:space="0"/>
              <w:bottom w:val="single" w:color="000000" w:sz="4" w:space="0"/>
              <w:right w:val="single" w:color="000000" w:sz="4" w:space="0"/>
            </w:tcBorders>
            <w:vAlign w:val="center"/>
          </w:tcPr>
          <w:p w14:paraId="27B70408">
            <w:pPr>
              <w:keepNext w:val="0"/>
              <w:keepLines w:val="0"/>
              <w:widowControl/>
              <w:suppressLineNumbers w:val="0"/>
              <w:snapToGrid w:val="0"/>
              <w:ind w:left="0" w:leftChars="0" w:right="0" w:rightChars="0" w:firstLine="0" w:firstLineChars="0"/>
              <w:jc w:val="left"/>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电动二通阀</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25B61EE5">
            <w:pPr>
              <w:keepNext w:val="0"/>
              <w:keepLines w:val="0"/>
              <w:widowControl/>
              <w:suppressLineNumbers w:val="0"/>
              <w:snapToGrid w:val="0"/>
              <w:ind w:left="0" w:leftChars="0" w:right="0" w:rightChars="0" w:firstLine="0" w:firstLineChars="0"/>
              <w:jc w:val="center"/>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13.0 </w:t>
            </w:r>
          </w:p>
        </w:tc>
        <w:tc>
          <w:tcPr>
            <w:tcW w:w="1035" w:type="dxa"/>
            <w:tcBorders>
              <w:top w:val="single" w:color="000000" w:sz="4" w:space="0"/>
              <w:left w:val="single" w:color="000000" w:sz="4" w:space="0"/>
              <w:bottom w:val="single" w:color="000000" w:sz="4" w:space="0"/>
              <w:right w:val="single" w:color="000000" w:sz="4" w:space="0"/>
            </w:tcBorders>
            <w:vAlign w:val="center"/>
          </w:tcPr>
          <w:p w14:paraId="76CFCBFA">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hint="eastAsia" w:ascii="宋体" w:hAnsi="宋体" w:cs="宋体"/>
                <w:color w:val="000000"/>
                <w:kern w:val="0"/>
                <w:sz w:val="20"/>
                <w:szCs w:val="20"/>
              </w:rPr>
              <w:t>个</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068F15D0">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215B8E8D">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20"/>
                <w:szCs w:val="20"/>
              </w:rPr>
            </w:pPr>
          </w:p>
        </w:tc>
      </w:tr>
      <w:tr w14:paraId="463DC315">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6F2EE97C">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ascii="宋体" w:hAnsi="宋体" w:cs="宋体"/>
                <w:color w:val="000000"/>
                <w:kern w:val="0"/>
                <w:sz w:val="20"/>
                <w:szCs w:val="20"/>
              </w:rPr>
              <w:t>9</w:t>
            </w:r>
          </w:p>
        </w:tc>
        <w:tc>
          <w:tcPr>
            <w:tcW w:w="2595" w:type="dxa"/>
            <w:tcBorders>
              <w:top w:val="single" w:color="000000" w:sz="4" w:space="0"/>
              <w:left w:val="single" w:color="000000" w:sz="4" w:space="0"/>
              <w:bottom w:val="single" w:color="000000" w:sz="4" w:space="0"/>
              <w:right w:val="single" w:color="000000" w:sz="4" w:space="0"/>
            </w:tcBorders>
            <w:vAlign w:val="center"/>
          </w:tcPr>
          <w:p w14:paraId="4320513E">
            <w:pPr>
              <w:keepNext w:val="0"/>
              <w:keepLines w:val="0"/>
              <w:widowControl/>
              <w:suppressLineNumbers w:val="0"/>
              <w:snapToGrid w:val="0"/>
              <w:ind w:left="0" w:leftChars="0" w:right="0" w:rightChars="0" w:firstLine="0" w:firstLineChars="0"/>
              <w:jc w:val="left"/>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线管/控制线/电源线</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2F04DEFD">
            <w:pPr>
              <w:keepNext w:val="0"/>
              <w:keepLines w:val="0"/>
              <w:widowControl/>
              <w:suppressLineNumbers w:val="0"/>
              <w:snapToGrid w:val="0"/>
              <w:ind w:left="0" w:leftChars="0" w:right="0" w:rightChars="0" w:firstLine="0" w:firstLineChars="0"/>
              <w:jc w:val="center"/>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13.0 </w:t>
            </w:r>
          </w:p>
        </w:tc>
        <w:tc>
          <w:tcPr>
            <w:tcW w:w="1035" w:type="dxa"/>
            <w:tcBorders>
              <w:top w:val="single" w:color="000000" w:sz="4" w:space="0"/>
              <w:left w:val="single" w:color="000000" w:sz="4" w:space="0"/>
              <w:bottom w:val="single" w:color="000000" w:sz="4" w:space="0"/>
              <w:right w:val="single" w:color="000000" w:sz="4" w:space="0"/>
            </w:tcBorders>
            <w:vAlign w:val="center"/>
          </w:tcPr>
          <w:p w14:paraId="451A287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hint="eastAsia" w:ascii="宋体" w:hAnsi="宋体" w:cs="宋体"/>
                <w:color w:val="000000"/>
                <w:kern w:val="0"/>
                <w:sz w:val="20"/>
                <w:szCs w:val="20"/>
              </w:rPr>
              <w:t>个</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7E46B0E6">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46C3D52E">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20"/>
                <w:szCs w:val="20"/>
              </w:rPr>
            </w:pPr>
          </w:p>
        </w:tc>
      </w:tr>
      <w:tr w14:paraId="214EFF0D">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7F956E26">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ascii="宋体" w:hAnsi="宋体" w:cs="宋体"/>
                <w:color w:val="000000"/>
                <w:kern w:val="0"/>
                <w:sz w:val="20"/>
                <w:szCs w:val="20"/>
              </w:rPr>
              <w:t>10</w:t>
            </w:r>
          </w:p>
        </w:tc>
        <w:tc>
          <w:tcPr>
            <w:tcW w:w="2595" w:type="dxa"/>
            <w:tcBorders>
              <w:top w:val="single" w:color="000000" w:sz="4" w:space="0"/>
              <w:left w:val="single" w:color="000000" w:sz="4" w:space="0"/>
              <w:bottom w:val="single" w:color="000000" w:sz="4" w:space="0"/>
              <w:right w:val="single" w:color="000000" w:sz="4" w:space="0"/>
            </w:tcBorders>
            <w:vAlign w:val="center"/>
          </w:tcPr>
          <w:p w14:paraId="365988A1">
            <w:pPr>
              <w:keepNext w:val="0"/>
              <w:keepLines w:val="0"/>
              <w:widowControl/>
              <w:suppressLineNumbers w:val="0"/>
              <w:snapToGrid w:val="0"/>
              <w:ind w:left="0" w:leftChars="0" w:right="0" w:rightChars="0" w:firstLine="0" w:firstLineChars="0"/>
              <w:jc w:val="left"/>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设备及水管吊支架</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76C89ED2">
            <w:pPr>
              <w:keepNext w:val="0"/>
              <w:keepLines w:val="0"/>
              <w:widowControl/>
              <w:suppressLineNumbers w:val="0"/>
              <w:snapToGrid w:val="0"/>
              <w:ind w:left="0" w:leftChars="0" w:right="0" w:rightChars="0" w:firstLine="0" w:firstLineChars="0"/>
              <w:jc w:val="center"/>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13.0 </w:t>
            </w:r>
          </w:p>
        </w:tc>
        <w:tc>
          <w:tcPr>
            <w:tcW w:w="1035" w:type="dxa"/>
            <w:tcBorders>
              <w:top w:val="single" w:color="000000" w:sz="4" w:space="0"/>
              <w:left w:val="single" w:color="000000" w:sz="4" w:space="0"/>
              <w:bottom w:val="single" w:color="000000" w:sz="4" w:space="0"/>
              <w:right w:val="single" w:color="000000" w:sz="4" w:space="0"/>
            </w:tcBorders>
            <w:vAlign w:val="center"/>
          </w:tcPr>
          <w:p w14:paraId="33092B9A">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hint="eastAsia" w:ascii="宋体" w:hAnsi="宋体" w:cs="宋体"/>
                <w:color w:val="000000"/>
                <w:kern w:val="0"/>
                <w:sz w:val="20"/>
                <w:szCs w:val="20"/>
              </w:rPr>
              <w:t>项</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56A8B150">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0FFCCFE0">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20"/>
                <w:szCs w:val="20"/>
              </w:rPr>
            </w:pPr>
          </w:p>
        </w:tc>
      </w:tr>
      <w:tr w14:paraId="00EE672A">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631FBC14">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ascii="宋体" w:hAnsi="宋体" w:cs="宋体"/>
                <w:color w:val="000000"/>
                <w:kern w:val="0"/>
                <w:sz w:val="20"/>
                <w:szCs w:val="20"/>
              </w:rPr>
              <w:t>11</w:t>
            </w:r>
          </w:p>
        </w:tc>
        <w:tc>
          <w:tcPr>
            <w:tcW w:w="2595" w:type="dxa"/>
            <w:tcBorders>
              <w:top w:val="single" w:color="000000" w:sz="4" w:space="0"/>
              <w:left w:val="single" w:color="000000" w:sz="4" w:space="0"/>
              <w:bottom w:val="single" w:color="000000" w:sz="4" w:space="0"/>
              <w:right w:val="single" w:color="000000" w:sz="4" w:space="0"/>
            </w:tcBorders>
            <w:vAlign w:val="center"/>
          </w:tcPr>
          <w:p w14:paraId="55D25EC0">
            <w:pPr>
              <w:keepNext w:val="0"/>
              <w:keepLines w:val="0"/>
              <w:widowControl/>
              <w:suppressLineNumbers w:val="0"/>
              <w:snapToGrid w:val="0"/>
              <w:ind w:left="0" w:leftChars="0" w:right="0" w:rightChars="0" w:firstLine="0" w:firstLineChars="0"/>
              <w:jc w:val="left"/>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电线WDZ-YJV-3*2.5</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50FFE0E9">
            <w:pPr>
              <w:keepNext w:val="0"/>
              <w:keepLines w:val="0"/>
              <w:widowControl/>
              <w:suppressLineNumbers w:val="0"/>
              <w:snapToGrid w:val="0"/>
              <w:ind w:left="0" w:leftChars="0" w:right="0" w:rightChars="0" w:firstLine="0" w:firstLineChars="0"/>
              <w:jc w:val="center"/>
              <w:textAlignment w:val="center"/>
              <w:rPr>
                <w:rFonts w:asci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130.0 </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16A5E05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20"/>
                <w:szCs w:val="20"/>
              </w:rPr>
            </w:pPr>
            <w:r>
              <w:rPr>
                <w:rFonts w:hint="eastAsia" w:ascii="宋体" w:hAnsi="宋体" w:cs="宋体"/>
                <w:color w:val="000000"/>
                <w:kern w:val="0"/>
                <w:sz w:val="20"/>
                <w:szCs w:val="20"/>
              </w:rPr>
              <w:t>米</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78916A23">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070E1E91">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20"/>
                <w:szCs w:val="20"/>
              </w:rPr>
            </w:pPr>
          </w:p>
        </w:tc>
      </w:tr>
      <w:tr w14:paraId="25BB1146">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52915277">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12</w:t>
            </w:r>
          </w:p>
        </w:tc>
        <w:tc>
          <w:tcPr>
            <w:tcW w:w="2595" w:type="dxa"/>
            <w:tcBorders>
              <w:top w:val="single" w:color="000000" w:sz="4" w:space="0"/>
              <w:left w:val="single" w:color="000000" w:sz="4" w:space="0"/>
              <w:bottom w:val="single" w:color="000000" w:sz="4" w:space="0"/>
              <w:right w:val="single" w:color="000000" w:sz="4" w:space="0"/>
            </w:tcBorders>
            <w:vAlign w:val="center"/>
          </w:tcPr>
          <w:p w14:paraId="4AD26D60">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镀锌风管（部分利旧）</w:t>
            </w:r>
          </w:p>
        </w:tc>
        <w:tc>
          <w:tcPr>
            <w:tcW w:w="1190" w:type="dxa"/>
            <w:tcBorders>
              <w:top w:val="single" w:color="000000" w:sz="4" w:space="0"/>
              <w:left w:val="single" w:color="000000" w:sz="4" w:space="0"/>
              <w:bottom w:val="single" w:color="000000" w:sz="4" w:space="0"/>
              <w:right w:val="single" w:color="000000" w:sz="4" w:space="0"/>
            </w:tcBorders>
            <w:vAlign w:val="center"/>
          </w:tcPr>
          <w:p w14:paraId="6D4594DC">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120</w:t>
            </w:r>
          </w:p>
        </w:tc>
        <w:tc>
          <w:tcPr>
            <w:tcW w:w="1035" w:type="dxa"/>
            <w:tcBorders>
              <w:top w:val="single" w:color="000000" w:sz="4" w:space="0"/>
              <w:left w:val="single" w:color="000000" w:sz="4" w:space="0"/>
              <w:bottom w:val="single" w:color="000000" w:sz="4" w:space="0"/>
              <w:right w:val="single" w:color="000000" w:sz="4" w:space="0"/>
            </w:tcBorders>
            <w:vAlign w:val="center"/>
          </w:tcPr>
          <w:p w14:paraId="63A991FC">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平方</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74B41DD5">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7D959537">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69C9F63D">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087505FD">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13</w:t>
            </w:r>
          </w:p>
        </w:tc>
        <w:tc>
          <w:tcPr>
            <w:tcW w:w="2595" w:type="dxa"/>
            <w:tcBorders>
              <w:top w:val="single" w:color="000000" w:sz="4" w:space="0"/>
              <w:left w:val="single" w:color="000000" w:sz="4" w:space="0"/>
              <w:bottom w:val="single" w:color="000000" w:sz="4" w:space="0"/>
              <w:right w:val="single" w:color="000000" w:sz="4" w:space="0"/>
            </w:tcBorders>
            <w:vAlign w:val="center"/>
          </w:tcPr>
          <w:p w14:paraId="5151734E">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天花拆除</w:t>
            </w:r>
          </w:p>
        </w:tc>
        <w:tc>
          <w:tcPr>
            <w:tcW w:w="1190" w:type="dxa"/>
            <w:tcBorders>
              <w:top w:val="single" w:color="000000" w:sz="4" w:space="0"/>
              <w:left w:val="single" w:color="000000" w:sz="4" w:space="0"/>
              <w:bottom w:val="single" w:color="000000" w:sz="4" w:space="0"/>
              <w:right w:val="single" w:color="000000" w:sz="4" w:space="0"/>
            </w:tcBorders>
            <w:vAlign w:val="center"/>
          </w:tcPr>
          <w:p w14:paraId="34FAB1AE">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1</w:t>
            </w:r>
          </w:p>
        </w:tc>
        <w:tc>
          <w:tcPr>
            <w:tcW w:w="1035" w:type="dxa"/>
            <w:tcBorders>
              <w:top w:val="single" w:color="000000" w:sz="4" w:space="0"/>
              <w:left w:val="single" w:color="000000" w:sz="4" w:space="0"/>
              <w:bottom w:val="single" w:color="000000" w:sz="4" w:space="0"/>
              <w:right w:val="single" w:color="000000" w:sz="4" w:space="0"/>
            </w:tcBorders>
            <w:vAlign w:val="center"/>
          </w:tcPr>
          <w:p w14:paraId="5ABF19B4">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项</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62BAFFD1">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7C7063AE">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78D1579A">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4D12B0BB">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14</w:t>
            </w:r>
          </w:p>
        </w:tc>
        <w:tc>
          <w:tcPr>
            <w:tcW w:w="2595" w:type="dxa"/>
            <w:tcBorders>
              <w:top w:val="single" w:color="000000" w:sz="4" w:space="0"/>
              <w:left w:val="single" w:color="000000" w:sz="4" w:space="0"/>
              <w:bottom w:val="single" w:color="000000" w:sz="4" w:space="0"/>
              <w:right w:val="single" w:color="000000" w:sz="4" w:space="0"/>
            </w:tcBorders>
            <w:vAlign w:val="center"/>
          </w:tcPr>
          <w:p w14:paraId="5D17F405">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天花恢复</w:t>
            </w:r>
          </w:p>
        </w:tc>
        <w:tc>
          <w:tcPr>
            <w:tcW w:w="1190" w:type="dxa"/>
            <w:tcBorders>
              <w:top w:val="single" w:color="000000" w:sz="4" w:space="0"/>
              <w:left w:val="single" w:color="000000" w:sz="4" w:space="0"/>
              <w:bottom w:val="single" w:color="000000" w:sz="4" w:space="0"/>
              <w:right w:val="single" w:color="000000" w:sz="4" w:space="0"/>
            </w:tcBorders>
            <w:vAlign w:val="center"/>
          </w:tcPr>
          <w:p w14:paraId="5530A3FE">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1</w:t>
            </w:r>
          </w:p>
        </w:tc>
        <w:tc>
          <w:tcPr>
            <w:tcW w:w="1035" w:type="dxa"/>
            <w:tcBorders>
              <w:top w:val="single" w:color="000000" w:sz="4" w:space="0"/>
              <w:left w:val="single" w:color="000000" w:sz="4" w:space="0"/>
              <w:bottom w:val="single" w:color="000000" w:sz="4" w:space="0"/>
              <w:right w:val="single" w:color="000000" w:sz="4" w:space="0"/>
            </w:tcBorders>
            <w:vAlign w:val="center"/>
          </w:tcPr>
          <w:p w14:paraId="09F3956E">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项</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3F83D296">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546F32F4">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7FA5DEBF">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35A559B3">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15</w:t>
            </w:r>
          </w:p>
        </w:tc>
        <w:tc>
          <w:tcPr>
            <w:tcW w:w="2595" w:type="dxa"/>
            <w:tcBorders>
              <w:top w:val="single" w:color="000000" w:sz="4" w:space="0"/>
              <w:left w:val="single" w:color="000000" w:sz="4" w:space="0"/>
              <w:bottom w:val="single" w:color="000000" w:sz="4" w:space="0"/>
              <w:right w:val="single" w:color="000000" w:sz="4" w:space="0"/>
            </w:tcBorders>
            <w:vAlign w:val="center"/>
          </w:tcPr>
          <w:p w14:paraId="310D49F4">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五金辅材</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7140A8C0">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1.0 </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12A67EB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项</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2F3E0F93">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0"/>
                <w:szCs w:val="20"/>
              </w:rPr>
            </w:pPr>
          </w:p>
        </w:tc>
        <w:tc>
          <w:tcPr>
            <w:tcW w:w="1962" w:type="dxa"/>
            <w:tcBorders>
              <w:top w:val="single" w:color="000000" w:sz="4" w:space="0"/>
              <w:left w:val="single" w:color="000000" w:sz="4" w:space="0"/>
              <w:bottom w:val="single" w:color="000000" w:sz="4" w:space="0"/>
              <w:right w:val="single" w:color="000000" w:sz="4" w:space="0"/>
            </w:tcBorders>
            <w:vAlign w:val="center"/>
          </w:tcPr>
          <w:p w14:paraId="57B209FC">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20"/>
              </w:rPr>
            </w:pPr>
          </w:p>
        </w:tc>
      </w:tr>
      <w:tr w14:paraId="48614C14">
        <w:tblPrEx>
          <w:tblCellMar>
            <w:top w:w="57" w:type="dxa"/>
            <w:left w:w="57" w:type="dxa"/>
            <w:bottom w:w="57" w:type="dxa"/>
            <w:right w:w="57" w:type="dxa"/>
          </w:tblCellMar>
        </w:tblPrEx>
        <w:trPr>
          <w:trHeight w:val="482" w:hRule="exact"/>
          <w:jc w:val="center"/>
        </w:trPr>
        <w:tc>
          <w:tcPr>
            <w:tcW w:w="5615" w:type="dxa"/>
            <w:gridSpan w:val="4"/>
            <w:tcBorders>
              <w:top w:val="single" w:color="000000" w:sz="4" w:space="0"/>
              <w:left w:val="single" w:color="000000" w:sz="4" w:space="0"/>
              <w:bottom w:val="single" w:color="000000" w:sz="4" w:space="0"/>
              <w:right w:val="single" w:color="000000" w:sz="4" w:space="0"/>
            </w:tcBorders>
            <w:noWrap/>
            <w:vAlign w:val="center"/>
          </w:tcPr>
          <w:p w14:paraId="50FC3D7D">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default" w:ascii="宋体" w:hAnsi="宋体" w:eastAsia="宋体" w:cs="宋体"/>
                <w:color w:val="000000"/>
                <w:kern w:val="0"/>
                <w:sz w:val="20"/>
                <w:szCs w:val="20"/>
                <w:lang w:val="en-US" w:eastAsia="zh-CN"/>
              </w:rPr>
            </w:pPr>
            <w:r>
              <w:rPr>
                <w:rFonts w:hint="eastAsia" w:ascii="宋体" w:hAnsi="宋体" w:cs="宋体"/>
                <w:b/>
                <w:bCs/>
                <w:color w:val="000000"/>
                <w:kern w:val="0"/>
                <w:sz w:val="20"/>
                <w:szCs w:val="20"/>
                <w:lang w:val="en-US" w:eastAsia="zh-CN"/>
              </w:rPr>
              <w:t>合计（含税价）</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6536C687">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21"/>
                <w:szCs w:val="21"/>
              </w:rPr>
            </w:pPr>
            <w:r>
              <w:rPr>
                <w:rFonts w:hint="eastAsia" w:ascii="宋体" w:hAnsi="宋体" w:eastAsia="宋体" w:cs="宋体"/>
                <w:b/>
                <w:bCs/>
                <w:sz w:val="21"/>
                <w:szCs w:val="21"/>
              </w:rPr>
              <w:t>107315</w:t>
            </w:r>
          </w:p>
        </w:tc>
        <w:tc>
          <w:tcPr>
            <w:tcW w:w="1962" w:type="dxa"/>
            <w:tcBorders>
              <w:top w:val="single" w:color="000000" w:sz="4" w:space="0"/>
              <w:left w:val="single" w:color="000000" w:sz="4" w:space="0"/>
              <w:bottom w:val="single" w:color="000000" w:sz="4" w:space="0"/>
              <w:right w:val="single" w:color="000000" w:sz="4" w:space="0"/>
            </w:tcBorders>
            <w:vAlign w:val="center"/>
          </w:tcPr>
          <w:p w14:paraId="5E7D83A1">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20"/>
              </w:rPr>
            </w:pPr>
          </w:p>
        </w:tc>
      </w:tr>
    </w:tbl>
    <w:p w14:paraId="510D6270">
      <w:pPr>
        <w:keepNext w:val="0"/>
        <w:keepLines w:val="0"/>
        <w:pageBreakBefore w:val="0"/>
        <w:widowControl w:val="0"/>
        <w:kinsoku/>
        <w:wordWrap/>
        <w:overflowPunct/>
        <w:topLinePunct w:val="0"/>
        <w:autoSpaceDE/>
        <w:autoSpaceDN/>
        <w:bidi w:val="0"/>
        <w:adjustRightInd/>
        <w:snapToGrid/>
        <w:spacing w:before="63" w:beforeLines="20" w:line="420" w:lineRule="exact"/>
        <w:jc w:val="left"/>
        <w:textAlignment w:val="auto"/>
        <w:rPr>
          <w:rFonts w:ascii="宋体" w:cs="宋体"/>
          <w:sz w:val="24"/>
          <w:szCs w:val="24"/>
        </w:rPr>
      </w:pPr>
      <w:r>
        <w:rPr>
          <w:rFonts w:hint="eastAsia" w:ascii="宋体" w:hAnsi="宋体" w:cs="宋体"/>
          <w:sz w:val="24"/>
          <w:szCs w:val="24"/>
          <w:lang w:val="en-US" w:eastAsia="zh-CN"/>
        </w:rPr>
        <w:t>7</w:t>
      </w:r>
      <w:r>
        <w:rPr>
          <w:rFonts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sz w:val="24"/>
          <w:szCs w:val="24"/>
        </w:rPr>
        <w:t>投标报价要求：</w:t>
      </w:r>
    </w:p>
    <w:p w14:paraId="65E3ED4F">
      <w:pPr>
        <w:keepNext w:val="0"/>
        <w:keepLines w:val="0"/>
        <w:pageBreakBefore w:val="0"/>
        <w:widowControl w:val="0"/>
        <w:kinsoku/>
        <w:wordWrap/>
        <w:overflowPunct/>
        <w:topLinePunct w:val="0"/>
        <w:autoSpaceDE/>
        <w:autoSpaceDN/>
        <w:bidi w:val="0"/>
        <w:spacing w:line="420" w:lineRule="exact"/>
        <w:jc w:val="left"/>
        <w:textAlignment w:val="auto"/>
        <w:rPr>
          <w:rFonts w:asci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w:t>
      </w:r>
      <w:r>
        <w:rPr>
          <w:rFonts w:hint="eastAsia" w:ascii="宋体" w:hAnsi="宋体" w:cs="宋体"/>
          <w:sz w:val="24"/>
          <w:szCs w:val="24"/>
          <w:lang w:val="en-US" w:eastAsia="zh-CN"/>
        </w:rPr>
        <w:t>本次响应报价应为人民币含税全包价，包括价格、包装费、运杂费、保险费、卸车费、安装费、人工费、税金及响应供应商认为需要的其他费用等。</w:t>
      </w:r>
    </w:p>
    <w:p w14:paraId="5C3BA123">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w:t>
      </w:r>
      <w:r>
        <w:rPr>
          <w:rFonts w:hint="eastAsia" w:ascii="宋体" w:hAnsi="宋体" w:cs="宋体"/>
          <w:bCs/>
          <w:kern w:val="2"/>
          <w:sz w:val="24"/>
          <w:szCs w:val="24"/>
          <w:lang w:val="en-US" w:eastAsia="zh-CN" w:bidi="ar-SA"/>
        </w:rPr>
        <w:t>2</w:t>
      </w:r>
      <w:r>
        <w:rPr>
          <w:rFonts w:hint="eastAsia" w:ascii="宋体" w:hAnsi="宋体" w:eastAsia="宋体" w:cs="宋体"/>
          <w:bCs/>
          <w:kern w:val="2"/>
          <w:sz w:val="24"/>
          <w:szCs w:val="24"/>
          <w:lang w:val="en-US" w:eastAsia="zh-CN" w:bidi="ar-SA"/>
        </w:rPr>
        <w:t>）供应商</w:t>
      </w:r>
      <w:r>
        <w:rPr>
          <w:rFonts w:hint="eastAsia" w:ascii="宋体" w:hAnsi="宋体" w:cs="宋体"/>
          <w:bCs/>
          <w:kern w:val="2"/>
          <w:sz w:val="24"/>
          <w:szCs w:val="24"/>
          <w:lang w:val="en-US" w:eastAsia="zh-CN" w:bidi="ar-SA"/>
        </w:rPr>
        <w:t>须</w:t>
      </w:r>
      <w:r>
        <w:rPr>
          <w:rFonts w:hint="eastAsia" w:ascii="宋体" w:hAnsi="宋体" w:eastAsia="宋体" w:cs="宋体"/>
          <w:bCs/>
          <w:kern w:val="2"/>
          <w:sz w:val="24"/>
          <w:szCs w:val="24"/>
          <w:lang w:val="en-US" w:eastAsia="zh-CN" w:bidi="ar-SA"/>
        </w:rPr>
        <w:t>根据本项目预算金额</w:t>
      </w:r>
      <w:r>
        <w:rPr>
          <w:rFonts w:hint="eastAsia" w:ascii="宋体" w:hAnsi="宋体" w:cs="宋体"/>
          <w:bCs/>
          <w:kern w:val="2"/>
          <w:sz w:val="24"/>
          <w:szCs w:val="24"/>
          <w:lang w:val="en-US" w:eastAsia="zh-CN" w:bidi="ar-SA"/>
        </w:rPr>
        <w:t>报出</w:t>
      </w:r>
      <w:r>
        <w:rPr>
          <w:rFonts w:hint="eastAsia" w:ascii="宋体" w:hAnsi="宋体" w:eastAsia="宋体" w:cs="宋体"/>
          <w:bCs/>
          <w:kern w:val="2"/>
          <w:sz w:val="24"/>
          <w:szCs w:val="24"/>
          <w:lang w:val="en-US" w:eastAsia="zh-CN" w:bidi="ar-SA"/>
        </w:rPr>
        <w:t>下浮率，并附项目清单报价。</w:t>
      </w:r>
      <w:r>
        <w:rPr>
          <w:rFonts w:hint="eastAsia" w:ascii="宋体" w:hAnsi="宋体" w:eastAsia="宋体" w:cs="宋体"/>
          <w:b/>
          <w:bCs w:val="0"/>
          <w:kern w:val="2"/>
          <w:sz w:val="24"/>
          <w:szCs w:val="24"/>
          <w:u w:val="single"/>
          <w:lang w:val="en-US" w:eastAsia="zh-CN" w:bidi="ar-SA"/>
        </w:rPr>
        <w:t>下浮率取值范围为0%（含）至50%（含）</w:t>
      </w:r>
      <w:r>
        <w:rPr>
          <w:rFonts w:hint="eastAsia" w:ascii="宋体" w:hAnsi="宋体" w:eastAsia="宋体" w:cs="宋体"/>
          <w:bCs/>
          <w:kern w:val="2"/>
          <w:sz w:val="24"/>
          <w:szCs w:val="24"/>
          <w:lang w:val="en-US" w:eastAsia="zh-CN" w:bidi="ar-SA"/>
        </w:rPr>
        <w:t>，超出取值范围的报价将被视为无效报价。</w:t>
      </w:r>
    </w:p>
    <w:p w14:paraId="1ECA18FE">
      <w:pPr>
        <w:keepNext w:val="0"/>
        <w:keepLines w:val="0"/>
        <w:pageBreakBefore w:val="0"/>
        <w:widowControl w:val="0"/>
        <w:kinsoku/>
        <w:wordWrap/>
        <w:overflowPunct/>
        <w:topLinePunct w:val="0"/>
        <w:autoSpaceDE/>
        <w:autoSpaceDN/>
        <w:bidi w:val="0"/>
        <w:spacing w:line="420" w:lineRule="exact"/>
        <w:jc w:val="left"/>
        <w:textAlignment w:val="auto"/>
        <w:rPr>
          <w:rFonts w:asci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）计算方式</w:t>
      </w:r>
      <w:r>
        <w:rPr>
          <w:rFonts w:hint="eastAsia" w:ascii="宋体" w:hAnsi="宋体" w:cs="宋体"/>
          <w:sz w:val="24"/>
          <w:szCs w:val="24"/>
          <w:lang w:eastAsia="zh-CN"/>
        </w:rPr>
        <w:t>：</w:t>
      </w:r>
      <w:r>
        <w:rPr>
          <w:rFonts w:hint="eastAsia" w:ascii="宋体" w:hAnsi="宋体" w:cs="宋体"/>
          <w:sz w:val="24"/>
          <w:szCs w:val="24"/>
        </w:rPr>
        <w:t>结算价格＝</w:t>
      </w:r>
      <w:r>
        <w:rPr>
          <w:rFonts w:hint="eastAsia" w:ascii="宋体" w:hAnsi="宋体" w:cs="宋体"/>
          <w:sz w:val="24"/>
          <w:szCs w:val="24"/>
          <w:lang w:val="en-US" w:eastAsia="zh-CN"/>
        </w:rPr>
        <w:t xml:space="preserve">项目预算金额 </w:t>
      </w: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成交下浮率）</w:t>
      </w:r>
    </w:p>
    <w:p w14:paraId="285CFCF2">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sz w:val="24"/>
          <w:szCs w:val="24"/>
          <w:lang w:eastAsia="zh-CN"/>
        </w:rPr>
      </w:pPr>
      <w:r>
        <w:rPr>
          <w:rFonts w:hint="eastAsia" w:ascii="宋体" w:hAnsi="宋体" w:cs="宋体"/>
          <w:sz w:val="24"/>
          <w:szCs w:val="24"/>
          <w:lang w:eastAsia="zh-CN"/>
        </w:rPr>
        <w:t>（4）成交供应商须开具与响应文件中供应商名称、响应报价一致的增值税普通发票。</w:t>
      </w:r>
    </w:p>
    <w:p w14:paraId="4ED8999A">
      <w:pPr>
        <w:keepNext w:val="0"/>
        <w:keepLines w:val="0"/>
        <w:pageBreakBefore w:val="0"/>
        <w:widowControl w:val="0"/>
        <w:kinsoku/>
        <w:wordWrap/>
        <w:overflowPunct/>
        <w:topLinePunct w:val="0"/>
        <w:autoSpaceDE/>
        <w:autoSpaceDN/>
        <w:bidi w:val="0"/>
        <w:spacing w:line="420" w:lineRule="exact"/>
        <w:jc w:val="left"/>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w:t>
      </w:r>
      <w:r>
        <w:rPr>
          <w:rFonts w:hint="eastAsia" w:ascii="宋体" w:hAnsi="宋体" w:cs="宋体"/>
          <w:sz w:val="24"/>
          <w:szCs w:val="24"/>
          <w:lang w:val="en-US" w:eastAsia="zh-CN"/>
        </w:rPr>
        <w:t>5</w:t>
      </w:r>
      <w:r>
        <w:rPr>
          <w:rFonts w:hint="default" w:ascii="宋体" w:hAnsi="宋体" w:eastAsia="宋体" w:cs="宋体"/>
          <w:sz w:val="24"/>
          <w:szCs w:val="24"/>
          <w:lang w:val="en-US" w:eastAsia="zh-CN"/>
        </w:rPr>
        <w:t>）</w:t>
      </w:r>
      <w:r>
        <w:rPr>
          <w:rFonts w:hint="eastAsia" w:ascii="宋体" w:hAnsi="宋体" w:cs="宋体"/>
          <w:sz w:val="24"/>
          <w:szCs w:val="24"/>
          <w:lang w:val="en-US" w:eastAsia="zh-CN"/>
        </w:rPr>
        <w:t>报价次数：1次。</w:t>
      </w:r>
    </w:p>
    <w:p w14:paraId="79F00642">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eastAsia="宋体" w:cs="宋体"/>
          <w:color w:val="000000"/>
          <w:sz w:val="24"/>
          <w:szCs w:val="24"/>
          <w:shd w:val="clear" w:color="auto" w:fill="FFFFFF"/>
          <w:lang w:eastAsia="zh-CN"/>
        </w:rPr>
      </w:pPr>
      <w:r>
        <w:rPr>
          <w:rFonts w:hint="eastAsia" w:ascii="宋体" w:hAnsi="宋体" w:cs="宋体"/>
          <w:sz w:val="24"/>
          <w:szCs w:val="24"/>
          <w:lang w:val="en-US" w:eastAsia="zh-CN"/>
        </w:rPr>
        <w:t>8</w:t>
      </w:r>
      <w:r>
        <w:rPr>
          <w:rFonts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color w:val="000000"/>
          <w:sz w:val="24"/>
          <w:szCs w:val="24"/>
          <w:shd w:val="clear" w:color="auto" w:fill="FFFFFF"/>
          <w:lang w:eastAsia="zh-CN"/>
        </w:rPr>
        <w:t>拟参与本项目的供应商如需现场勘察，请</w:t>
      </w:r>
      <w:r>
        <w:rPr>
          <w:rFonts w:hint="eastAsia" w:ascii="宋体" w:hAnsi="宋体" w:cs="宋体"/>
          <w:color w:val="000000"/>
          <w:sz w:val="24"/>
          <w:szCs w:val="24"/>
          <w:highlight w:val="none"/>
          <w:shd w:val="clear" w:color="auto" w:fill="FFFFFF"/>
          <w:lang w:eastAsia="zh-CN"/>
        </w:rPr>
        <w:t>于2026年</w:t>
      </w:r>
      <w:r>
        <w:rPr>
          <w:rFonts w:hint="eastAsia" w:ascii="宋体" w:hAnsi="宋体" w:cs="宋体"/>
          <w:color w:val="000000"/>
          <w:sz w:val="24"/>
          <w:szCs w:val="24"/>
          <w:highlight w:val="none"/>
          <w:shd w:val="clear" w:color="auto" w:fill="FFFFFF"/>
          <w:lang w:val="en-US" w:eastAsia="zh-CN"/>
        </w:rPr>
        <w:t>7</w:t>
      </w:r>
      <w:r>
        <w:rPr>
          <w:rFonts w:hint="eastAsia" w:ascii="宋体" w:hAnsi="宋体" w:cs="宋体"/>
          <w:color w:val="000000"/>
          <w:sz w:val="24"/>
          <w:szCs w:val="24"/>
          <w:highlight w:val="none"/>
          <w:shd w:val="clear" w:color="auto" w:fill="FFFFFF"/>
          <w:lang w:eastAsia="zh-CN"/>
        </w:rPr>
        <w:t>月</w:t>
      </w:r>
      <w:r>
        <w:rPr>
          <w:rFonts w:hint="eastAsia" w:ascii="宋体" w:hAnsi="宋体" w:cs="宋体"/>
          <w:color w:val="000000"/>
          <w:sz w:val="24"/>
          <w:szCs w:val="24"/>
          <w:highlight w:val="none"/>
          <w:shd w:val="clear" w:color="auto" w:fill="FFFFFF"/>
          <w:lang w:val="en-US" w:eastAsia="zh-CN"/>
        </w:rPr>
        <w:t>16</w:t>
      </w:r>
      <w:r>
        <w:rPr>
          <w:rFonts w:hint="eastAsia" w:ascii="宋体" w:hAnsi="宋体" w:cs="宋体"/>
          <w:color w:val="000000"/>
          <w:sz w:val="24"/>
          <w:szCs w:val="24"/>
          <w:highlight w:val="none"/>
          <w:shd w:val="clear" w:color="auto" w:fill="FFFFFF"/>
          <w:lang w:eastAsia="zh-CN"/>
        </w:rPr>
        <w:t>日12时前，</w:t>
      </w:r>
      <w:r>
        <w:rPr>
          <w:rFonts w:hint="eastAsia" w:ascii="宋体" w:hAnsi="宋体" w:cs="宋体"/>
          <w:color w:val="000000"/>
          <w:sz w:val="24"/>
          <w:szCs w:val="24"/>
          <w:shd w:val="clear" w:color="auto" w:fill="FFFFFF"/>
          <w:lang w:eastAsia="zh-CN"/>
        </w:rPr>
        <w:t>将营业执照扫描件及委托人证明发送至邮箱</w:t>
      </w:r>
      <w:r>
        <w:rPr>
          <w:rFonts w:hint="eastAsia" w:ascii="宋体" w:hAnsi="宋体" w:cs="宋体"/>
          <w:color w:val="000000"/>
          <w:sz w:val="24"/>
          <w:szCs w:val="24"/>
          <w:u w:val="single"/>
          <w:shd w:val="clear" w:color="auto" w:fill="FFFFFF"/>
          <w:lang w:eastAsia="zh-CN"/>
        </w:rPr>
        <w:t>zssdsyyzwk@12</w:t>
      </w:r>
      <w:r>
        <w:rPr>
          <w:rFonts w:hint="eastAsia" w:ascii="宋体" w:hAnsi="宋体" w:cs="宋体"/>
          <w:color w:val="000000"/>
          <w:sz w:val="24"/>
          <w:szCs w:val="24"/>
          <w:highlight w:val="none"/>
          <w:shd w:val="clear" w:color="auto" w:fill="FFFFFF"/>
          <w:lang w:eastAsia="zh-CN"/>
        </w:rPr>
        <w:t>6.com预约现场勘察，统一现场勘察于</w:t>
      </w:r>
      <w:r>
        <w:rPr>
          <w:rFonts w:hint="eastAsia" w:ascii="宋体" w:hAnsi="宋体" w:cs="宋体"/>
          <w:color w:val="000000"/>
          <w:sz w:val="24"/>
          <w:szCs w:val="24"/>
          <w:highlight w:val="none"/>
          <w:shd w:val="clear" w:color="auto" w:fill="FFFFFF"/>
          <w:lang w:val="en-US" w:eastAsia="zh-CN"/>
        </w:rPr>
        <w:t>2026年7</w:t>
      </w:r>
      <w:r>
        <w:rPr>
          <w:rFonts w:hint="eastAsia" w:ascii="宋体" w:hAnsi="宋体" w:cs="宋体"/>
          <w:color w:val="000000"/>
          <w:sz w:val="24"/>
          <w:szCs w:val="24"/>
          <w:highlight w:val="none"/>
          <w:shd w:val="clear" w:color="auto" w:fill="FFFFFF"/>
          <w:lang w:eastAsia="zh-CN"/>
        </w:rPr>
        <w:t>月</w:t>
      </w:r>
      <w:r>
        <w:rPr>
          <w:rFonts w:hint="eastAsia" w:ascii="宋体" w:hAnsi="宋体" w:cs="宋体"/>
          <w:color w:val="000000"/>
          <w:sz w:val="24"/>
          <w:szCs w:val="24"/>
          <w:highlight w:val="none"/>
          <w:shd w:val="clear" w:color="auto" w:fill="FFFFFF"/>
          <w:lang w:val="en-US" w:eastAsia="zh-CN"/>
        </w:rPr>
        <w:t>16</w:t>
      </w:r>
      <w:r>
        <w:rPr>
          <w:rFonts w:hint="eastAsia" w:ascii="宋体" w:hAnsi="宋体" w:cs="宋体"/>
          <w:color w:val="000000"/>
          <w:sz w:val="24"/>
          <w:szCs w:val="24"/>
          <w:highlight w:val="none"/>
          <w:shd w:val="clear" w:color="auto" w:fill="FFFFFF"/>
          <w:lang w:eastAsia="zh-CN"/>
        </w:rPr>
        <w:t>日15时进行，供应商完成预约后于该时间到</w:t>
      </w:r>
      <w:r>
        <w:rPr>
          <w:rFonts w:hint="eastAsia" w:ascii="宋体" w:hAnsi="宋体" w:cs="宋体"/>
          <w:color w:val="000000"/>
          <w:sz w:val="24"/>
          <w:szCs w:val="24"/>
          <w:shd w:val="clear" w:color="auto" w:fill="FFFFFF"/>
          <w:lang w:eastAsia="zh-CN"/>
        </w:rPr>
        <w:t>总务科签到参与。逾期未完成预约的，视为自动放弃现场勘察权利；未参与现场勘察直接参与本项目报价的，视为已充分知晓施工现场条件及周边环境，默认同意按照本项目清单内容开展施工并自行承担相应风险，报价成本相关后果由供应商自行承担。</w:t>
      </w:r>
    </w:p>
    <w:p w14:paraId="3B8EBDB0">
      <w:pPr>
        <w:pStyle w:val="3"/>
        <w:keepNext w:val="0"/>
        <w:keepLines w:val="0"/>
        <w:pageBreakBefore w:val="0"/>
        <w:widowControl w:val="0"/>
        <w:kinsoku/>
        <w:wordWrap/>
        <w:overflowPunct/>
        <w:topLinePunct w:val="0"/>
        <w:autoSpaceDE/>
        <w:autoSpaceDN/>
        <w:bidi w:val="0"/>
        <w:spacing w:line="420" w:lineRule="exact"/>
        <w:textAlignment w:val="auto"/>
        <w:rPr>
          <w:rFonts w:hint="eastAsia" w:eastAsia="宋体"/>
          <w:sz w:val="24"/>
          <w:szCs w:val="24"/>
          <w:lang w:eastAsia="zh-CN"/>
        </w:rPr>
      </w:pPr>
      <w:r>
        <w:rPr>
          <w:rFonts w:hint="eastAsia" w:hAnsi="宋体" w:cs="宋体"/>
          <w:color w:val="000000"/>
          <w:sz w:val="24"/>
          <w:szCs w:val="24"/>
          <w:shd w:val="clear" w:color="auto" w:fill="FFFFFF"/>
          <w:lang w:val="en-US" w:eastAsia="zh-CN"/>
        </w:rPr>
        <w:t>9</w:t>
      </w:r>
      <w:r>
        <w:rPr>
          <w:rFonts w:hAnsi="宋体" w:cs="宋体"/>
          <w:color w:val="000000"/>
          <w:sz w:val="24"/>
          <w:szCs w:val="24"/>
          <w:shd w:val="clear" w:color="auto" w:fill="FFFFFF"/>
        </w:rPr>
        <w:t>.</w:t>
      </w:r>
      <w:r>
        <w:rPr>
          <w:rFonts w:hint="eastAsia" w:hAnsi="宋体" w:cs="宋体"/>
          <w:color w:val="000000"/>
          <w:sz w:val="24"/>
          <w:szCs w:val="24"/>
          <w:shd w:val="clear" w:color="auto" w:fill="FFFFFF"/>
          <w:lang w:val="en-US" w:eastAsia="zh-CN"/>
        </w:rPr>
        <w:t xml:space="preserve"> </w:t>
      </w:r>
      <w:r>
        <w:rPr>
          <w:rFonts w:hint="eastAsia" w:hAnsi="宋体" w:cs="宋体"/>
          <w:color w:val="000000"/>
          <w:sz w:val="24"/>
          <w:szCs w:val="24"/>
          <w:shd w:val="clear" w:color="auto" w:fill="FFFFFF"/>
          <w:lang w:eastAsia="zh-CN"/>
        </w:rPr>
        <w:t>未经采购人同意，成交供应商不得以任何方式分包</w:t>
      </w:r>
      <w:r>
        <w:rPr>
          <w:rFonts w:hint="eastAsia" w:hAnsi="宋体" w:cs="宋体"/>
          <w:color w:val="000000"/>
          <w:sz w:val="24"/>
          <w:szCs w:val="24"/>
          <w:shd w:val="clear" w:color="auto" w:fill="FFFFFF"/>
          <w:lang w:val="en-US" w:eastAsia="zh-CN"/>
        </w:rPr>
        <w:t>或转包本项目，否则视为违约，将追究相关责任，并由违约方承担相应损失。</w:t>
      </w:r>
    </w:p>
    <w:p w14:paraId="623AF82B">
      <w:pPr>
        <w:pStyle w:val="7"/>
        <w:keepNext w:val="0"/>
        <w:keepLines w:val="0"/>
        <w:pageBreakBefore w:val="0"/>
        <w:widowControl w:val="0"/>
        <w:kinsoku/>
        <w:wordWrap/>
        <w:overflowPunct/>
        <w:topLinePunct w:val="0"/>
        <w:autoSpaceDE/>
        <w:autoSpaceDN/>
        <w:bidi w:val="0"/>
        <w:adjustRightInd/>
        <w:snapToGrid/>
        <w:spacing w:before="157" w:beforeLines="50" w:beforeAutospacing="0" w:afterAutospacing="0" w:line="420" w:lineRule="exact"/>
        <w:jc w:val="both"/>
        <w:textAlignment w:val="auto"/>
        <w:rPr>
          <w:rFonts w:ascii="宋体" w:cs="宋体"/>
          <w:color w:val="000000"/>
          <w:sz w:val="24"/>
          <w:szCs w:val="24"/>
        </w:rPr>
      </w:pPr>
      <w:r>
        <w:rPr>
          <w:rFonts w:hint="eastAsia" w:ascii="宋体" w:hAnsi="宋体" w:cs="宋体"/>
          <w:b/>
          <w:sz w:val="24"/>
          <w:szCs w:val="24"/>
        </w:rPr>
        <w:t>二、</w:t>
      </w:r>
      <w:r>
        <w:rPr>
          <w:rStyle w:val="11"/>
          <w:rFonts w:hint="eastAsia" w:ascii="宋体" w:hAnsi="宋体" w:cs="宋体"/>
          <w:color w:val="000000"/>
          <w:sz w:val="24"/>
          <w:szCs w:val="24"/>
        </w:rPr>
        <w:t>供应商资格：</w:t>
      </w:r>
    </w:p>
    <w:p w14:paraId="5E1B9A03">
      <w:pPr>
        <w:pStyle w:val="7"/>
        <w:keepNext w:val="0"/>
        <w:keepLines w:val="0"/>
        <w:pageBreakBefore w:val="0"/>
        <w:widowControl w:val="0"/>
        <w:kinsoku/>
        <w:wordWrap/>
        <w:overflowPunct/>
        <w:topLinePunct w:val="0"/>
        <w:autoSpaceDE/>
        <w:autoSpaceDN/>
        <w:bidi w:val="0"/>
        <w:spacing w:beforeAutospacing="0" w:afterAutospacing="0" w:line="420" w:lineRule="exact"/>
        <w:textAlignment w:val="auto"/>
        <w:rPr>
          <w:rFonts w:hint="eastAsia" w:ascii="宋体" w:hAnsi="宋体" w:cs="宋体"/>
          <w:color w:val="000000"/>
          <w:sz w:val="24"/>
          <w:szCs w:val="24"/>
        </w:rPr>
      </w:pPr>
      <w:r>
        <w:rPr>
          <w:rFonts w:hint="eastAsia" w:ascii="宋体" w:hAnsi="宋体" w:cs="宋体"/>
          <w:color w:val="000000"/>
          <w:sz w:val="24"/>
          <w:szCs w:val="24"/>
        </w:rPr>
        <w:t>1. 响应供应商须为在中华人民共和国境内注册，能够独立承担民事责任的企业法人、其他组织或自然人。若为分支机构参与投标，须提供总公司与分公司的营业执照复印件，以及总公司出具给分支机构的授权书。</w:t>
      </w:r>
    </w:p>
    <w:p w14:paraId="0CEA6117">
      <w:pPr>
        <w:pStyle w:val="7"/>
        <w:keepNext w:val="0"/>
        <w:keepLines w:val="0"/>
        <w:pageBreakBefore w:val="0"/>
        <w:widowControl w:val="0"/>
        <w:kinsoku/>
        <w:wordWrap/>
        <w:overflowPunct/>
        <w:topLinePunct w:val="0"/>
        <w:autoSpaceDE/>
        <w:autoSpaceDN/>
        <w:bidi w:val="0"/>
        <w:spacing w:beforeAutospacing="0" w:afterAutospacing="0" w:line="420" w:lineRule="exact"/>
        <w:textAlignment w:val="auto"/>
        <w:rPr>
          <w:rFonts w:hint="eastAsia"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响应供应商须持有有效的营业执照，且其经营范围应包含与本项目相关的业务内容。</w:t>
      </w:r>
    </w:p>
    <w:p w14:paraId="2DE12372">
      <w:pPr>
        <w:pStyle w:val="7"/>
        <w:keepNext w:val="0"/>
        <w:keepLines w:val="0"/>
        <w:pageBreakBefore w:val="0"/>
        <w:widowControl w:val="0"/>
        <w:kinsoku/>
        <w:wordWrap/>
        <w:overflowPunct/>
        <w:topLinePunct w:val="0"/>
        <w:autoSpaceDE/>
        <w:autoSpaceDN/>
        <w:bidi w:val="0"/>
        <w:spacing w:beforeAutospacing="0" w:afterAutospacing="0" w:line="420" w:lineRule="exact"/>
        <w:textAlignment w:val="auto"/>
        <w:rPr>
          <w:rFonts w:hint="eastAsia" w:ascii="宋体" w:hAnsi="宋体" w:cs="宋体"/>
          <w:color w:val="000000"/>
          <w:sz w:val="24"/>
          <w:szCs w:val="24"/>
        </w:rPr>
      </w:pPr>
      <w:r>
        <w:rPr>
          <w:rFonts w:hint="eastAsia" w:ascii="宋体" w:hAnsi="宋体" w:cs="宋体"/>
          <w:color w:val="000000"/>
          <w:sz w:val="24"/>
          <w:szCs w:val="24"/>
        </w:rPr>
        <w:t>3. 响应供应商应具有项目的承接能力、合同的履约能力、售后供应能力和良好的信誉。</w:t>
      </w:r>
    </w:p>
    <w:p w14:paraId="17140997">
      <w:pPr>
        <w:pStyle w:val="7"/>
        <w:keepNext w:val="0"/>
        <w:keepLines w:val="0"/>
        <w:pageBreakBefore w:val="0"/>
        <w:widowControl w:val="0"/>
        <w:kinsoku/>
        <w:wordWrap/>
        <w:overflowPunct/>
        <w:topLinePunct w:val="0"/>
        <w:autoSpaceDE/>
        <w:autoSpaceDN/>
        <w:bidi w:val="0"/>
        <w:spacing w:beforeAutospacing="0" w:afterAutospacing="0" w:line="420" w:lineRule="exact"/>
        <w:textAlignment w:val="auto"/>
        <w:rPr>
          <w:rFonts w:ascii="宋体" w:cs="宋体"/>
          <w:color w:val="000000"/>
          <w:sz w:val="24"/>
          <w:szCs w:val="24"/>
        </w:rPr>
      </w:pPr>
      <w:r>
        <w:rPr>
          <w:rFonts w:hint="eastAsia" w:ascii="宋体" w:hAnsi="宋体" w:cs="宋体"/>
          <w:color w:val="000000"/>
          <w:sz w:val="24"/>
          <w:szCs w:val="24"/>
        </w:rPr>
        <w:t>4. 响应供应商在参与公开招标活动中未有违法违纪行为并受过处罚，响应供应商无围标、串标行为。</w:t>
      </w:r>
    </w:p>
    <w:p w14:paraId="2F24D07C">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ascii="宋体" w:cs="宋体"/>
          <w:b/>
          <w:sz w:val="24"/>
          <w:szCs w:val="24"/>
        </w:rPr>
      </w:pPr>
      <w:r>
        <w:rPr>
          <w:rFonts w:hint="eastAsia" w:ascii="宋体" w:hAnsi="宋体" w:cs="宋体"/>
          <w:b/>
          <w:sz w:val="24"/>
          <w:szCs w:val="24"/>
        </w:rPr>
        <w:t>三、项目要求</w:t>
      </w:r>
    </w:p>
    <w:p w14:paraId="49D1797C">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1.</w:t>
      </w:r>
      <w:r>
        <w:rPr>
          <w:rFonts w:hint="eastAsia" w:ascii="宋体" w:hAnsi="宋体" w:cs="宋体"/>
          <w:bCs/>
          <w:sz w:val="24"/>
          <w:szCs w:val="24"/>
          <w:lang w:val="en-US" w:eastAsia="zh-CN"/>
        </w:rPr>
        <w:t xml:space="preserve"> 本项目安装前，需结合我院实际情况制定改造方案与实施计划，经管理部门审核确认后方可开展改造作业。</w:t>
      </w:r>
    </w:p>
    <w:p w14:paraId="10D946E0">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2.</w:t>
      </w:r>
      <w:r>
        <w:rPr>
          <w:rFonts w:hint="eastAsia" w:ascii="宋体" w:hAnsi="宋体" w:cs="宋体"/>
          <w:bCs/>
          <w:sz w:val="24"/>
          <w:szCs w:val="24"/>
          <w:lang w:val="en-US" w:eastAsia="zh-CN"/>
        </w:rPr>
        <w:t xml:space="preserve"> 成交供应商须委派1名项目负责人，在本项目服务期内负责现场组织、指挥、管理与协调等工作，确保项目按期完成。项目竣工后，在规定保修期内，项目负责人需根据实际保修需求随时到场指挥，统筹安排保修工作。项目安装实施期间，须保证项目负责人在岗履职；若因项目负责人缺位对项目推进造成严重影响，采购人有权要求更换项目负责人，由此产生的全部损失由成交供应商承担。成交供应商须在成交通知书发出后30日内、签订合同前，向采购人提交项目负责人基础信息完成备案；项目负责人发生变动的，须及时更新备案资料并向采购人移交更新后的备案信息。若逾期未配齐项目服务人员，视为成交供应商拒签合同，成交供应商须赔偿采购人因此遭受的全部损失。【响应方式：（1）为证明拟投入项目负责人为供应商员工，需要供应商提供为其购买社保证明（投标当天前三个月内的任意一个月）复印件，若供应商成立时间不足1个月的应提供《社保声明函》代替社保证明（成立时间以营业执照注册时间为准）】</w:t>
      </w:r>
    </w:p>
    <w:p w14:paraId="7269EE0E">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3.</w:t>
      </w:r>
      <w:r>
        <w:rPr>
          <w:rFonts w:hint="eastAsia" w:ascii="宋体" w:hAnsi="宋体" w:cs="宋体"/>
          <w:bCs/>
          <w:sz w:val="24"/>
          <w:szCs w:val="24"/>
          <w:lang w:val="en-US" w:eastAsia="zh-CN"/>
        </w:rPr>
        <w:t xml:space="preserve"> 对于高空作业、有限空间作业、焊工、压力管道作业、带电作业等需持证上岗的作业项目，作业人员须持有相应的有效资格证件，并提前向采购人报备。</w:t>
      </w:r>
    </w:p>
    <w:p w14:paraId="61C0AE49">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4.</w:t>
      </w:r>
      <w:r>
        <w:rPr>
          <w:rFonts w:hint="eastAsia" w:ascii="宋体" w:hAnsi="宋体" w:cs="宋体"/>
          <w:bCs/>
          <w:sz w:val="24"/>
          <w:szCs w:val="24"/>
          <w:lang w:val="en-US" w:eastAsia="zh-CN"/>
        </w:rPr>
        <w:t xml:space="preserve"> 安装实施期间，若存在现场管理不当情形（含清洁维护、物品保护、文明作业等方面），该项目结算费用扣减5%。</w:t>
      </w:r>
    </w:p>
    <w:p w14:paraId="0E4D9D9E">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5.</w:t>
      </w:r>
      <w:r>
        <w:rPr>
          <w:rFonts w:hint="eastAsia" w:ascii="宋体" w:hAnsi="宋体" w:cs="宋体"/>
          <w:bCs/>
          <w:sz w:val="24"/>
          <w:szCs w:val="24"/>
          <w:lang w:val="en-US" w:eastAsia="zh-CN"/>
        </w:rPr>
        <w:t xml:space="preserve"> 应急要求：供应商须结合本项目实际情况制定应急预案，落实风险管控，履行安全、消防安全等相关职责，保障各类事故得到有效处置。</w:t>
      </w:r>
    </w:p>
    <w:p w14:paraId="2745B109">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6.</w:t>
      </w:r>
      <w:r>
        <w:rPr>
          <w:rFonts w:hint="eastAsia" w:ascii="宋体" w:hAnsi="宋体" w:cs="宋体"/>
          <w:bCs/>
          <w:sz w:val="24"/>
          <w:szCs w:val="24"/>
          <w:lang w:val="en-US" w:eastAsia="zh-CN"/>
        </w:rPr>
        <w:t xml:space="preserve"> 成交供应商派驻本项目的维修人员须遵守采购人各项管理制度，若发生违规行为，全部后果由成交供应商承担。</w:t>
      </w:r>
    </w:p>
    <w:p w14:paraId="18C00B1F">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ascii="宋体" w:cs="宋体"/>
          <w:b/>
          <w:sz w:val="24"/>
          <w:szCs w:val="24"/>
        </w:rPr>
      </w:pPr>
      <w:r>
        <w:rPr>
          <w:rFonts w:hint="eastAsia" w:ascii="宋体" w:hAnsi="宋体" w:cs="宋体"/>
          <w:b/>
          <w:sz w:val="24"/>
          <w:szCs w:val="24"/>
          <w:lang w:val="en-US" w:eastAsia="zh-CN"/>
        </w:rPr>
        <w:t>四</w:t>
      </w:r>
      <w:r>
        <w:rPr>
          <w:rFonts w:hint="eastAsia" w:ascii="宋体" w:hAnsi="宋体" w:cs="宋体"/>
          <w:b/>
          <w:sz w:val="24"/>
          <w:szCs w:val="24"/>
        </w:rPr>
        <w:t>、验收</w:t>
      </w:r>
    </w:p>
    <w:p w14:paraId="01F93CCA">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1.</w:t>
      </w:r>
      <w:r>
        <w:rPr>
          <w:rFonts w:hint="eastAsia" w:ascii="宋体" w:hAnsi="宋体" w:cs="宋体"/>
          <w:bCs/>
          <w:sz w:val="24"/>
          <w:szCs w:val="24"/>
          <w:lang w:val="en-US" w:eastAsia="zh-CN"/>
        </w:rPr>
        <w:t xml:space="preserve"> 项目实施过程中，成交供应商应保证所提供的合同设备、配件为全新未使用产品，其质量、规格及技术特征符合国家标准、规范及采购需求文件的要求。</w:t>
      </w:r>
    </w:p>
    <w:p w14:paraId="402F467E">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2.</w:t>
      </w:r>
      <w:r>
        <w:rPr>
          <w:rFonts w:hint="eastAsia" w:ascii="宋体" w:hAnsi="宋体" w:cs="宋体"/>
          <w:bCs/>
          <w:sz w:val="24"/>
          <w:szCs w:val="24"/>
          <w:lang w:val="en-US" w:eastAsia="zh-CN"/>
        </w:rPr>
        <w:t xml:space="preserve"> 成交供应商提供的设备须具备出厂合格证或合格报告等证明资料。</w:t>
      </w:r>
    </w:p>
    <w:p w14:paraId="11AF2F4B">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3.</w:t>
      </w:r>
      <w:r>
        <w:rPr>
          <w:rFonts w:hint="eastAsia" w:ascii="宋体" w:hAnsi="宋体" w:cs="宋体"/>
          <w:bCs/>
          <w:sz w:val="24"/>
          <w:szCs w:val="24"/>
          <w:lang w:val="en-US" w:eastAsia="zh-CN"/>
        </w:rPr>
        <w:t xml:space="preserve"> 项目完成后，须完成系统调试与试运行，确保满足设计要求与使用功能。</w:t>
      </w:r>
    </w:p>
    <w:p w14:paraId="66C2C4FA">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4.</w:t>
      </w:r>
      <w:r>
        <w:rPr>
          <w:rFonts w:hint="eastAsia" w:ascii="宋体" w:hAnsi="宋体" w:cs="宋体"/>
          <w:bCs/>
          <w:sz w:val="24"/>
          <w:szCs w:val="24"/>
          <w:lang w:val="en-US" w:eastAsia="zh-CN"/>
        </w:rPr>
        <w:t xml:space="preserve"> 项目所需办理的各类证件手续须齐全，并完成完整移交。</w:t>
      </w:r>
    </w:p>
    <w:p w14:paraId="3234F185">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ascii="宋体" w:cs="宋体"/>
          <w:b/>
          <w:sz w:val="24"/>
          <w:szCs w:val="24"/>
        </w:rPr>
      </w:pPr>
      <w:r>
        <w:rPr>
          <w:rFonts w:hint="eastAsia" w:ascii="宋体" w:hAnsi="宋体" w:cs="宋体"/>
          <w:b/>
          <w:sz w:val="24"/>
          <w:szCs w:val="24"/>
          <w:lang w:val="en-US" w:eastAsia="zh-CN"/>
        </w:rPr>
        <w:t>五</w:t>
      </w:r>
      <w:r>
        <w:rPr>
          <w:rFonts w:hint="eastAsia" w:ascii="宋体" w:hAnsi="宋体" w:cs="宋体"/>
          <w:b/>
          <w:sz w:val="24"/>
          <w:szCs w:val="24"/>
        </w:rPr>
        <w:t>、售后质保及要求</w:t>
      </w:r>
    </w:p>
    <w:p w14:paraId="0B8DAE77">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1.</w:t>
      </w:r>
      <w:r>
        <w:rPr>
          <w:rFonts w:hint="eastAsia" w:ascii="宋体" w:hAnsi="宋体" w:cs="宋体"/>
          <w:bCs/>
          <w:sz w:val="24"/>
          <w:szCs w:val="24"/>
          <w:lang w:val="en-US" w:eastAsia="zh-CN"/>
        </w:rPr>
        <w:t xml:space="preserve"> 质保期：</w:t>
      </w:r>
      <w:r>
        <w:rPr>
          <w:rFonts w:hint="eastAsia" w:ascii="宋体" w:hAnsi="宋体" w:cs="宋体"/>
          <w:color w:val="000000"/>
          <w:sz w:val="24"/>
          <w:szCs w:val="24"/>
          <w:shd w:val="clear" w:color="auto" w:fill="FFFFFF"/>
          <w:lang w:val="en-US" w:eastAsia="zh-CN"/>
        </w:rPr>
        <w:t>配件质保期限不得少于一</w:t>
      </w:r>
      <w:bookmarkStart w:id="0" w:name="_GoBack"/>
      <w:bookmarkEnd w:id="0"/>
      <w:r>
        <w:rPr>
          <w:rFonts w:hint="eastAsia" w:ascii="宋体" w:hAnsi="宋体" w:cs="宋体"/>
          <w:color w:val="000000"/>
          <w:sz w:val="24"/>
          <w:szCs w:val="24"/>
          <w:shd w:val="clear" w:color="auto" w:fill="FFFFFF"/>
          <w:lang w:val="en-US" w:eastAsia="zh-CN"/>
        </w:rPr>
        <w:t>年，保修期自项目竣工验收合格之日起计算，质保期内成交供应商须对设备质量实行“三包”。成交供应商提交验收报告时，需向采购人出具质量保修书，若出现安装质量问题，由成交供应商承担全部责任，并提供无偿保修。</w:t>
      </w:r>
    </w:p>
    <w:p w14:paraId="633C88E0">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val="en-US" w:eastAsia="zh-CN"/>
        </w:rPr>
        <w:t>2. 质保期内成交供应商负责对其所提供的配件开展维修及系统维护工作，不另行收取费用，人为因素、不可抗力（如火灾、地震等）导致的故障除外。保修期内采购人所购设备各部件发生非人为故障，成交供应商需免费上门更换同品牌、规格型号不低于原部件的新部件。</w:t>
      </w:r>
    </w:p>
    <w:p w14:paraId="3BD1A7A2">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3.</w:t>
      </w:r>
      <w:r>
        <w:rPr>
          <w:rFonts w:hint="eastAsia" w:ascii="宋体" w:hAnsi="宋体" w:cs="宋体"/>
          <w:bCs/>
          <w:sz w:val="24"/>
          <w:szCs w:val="24"/>
          <w:lang w:val="en-US" w:eastAsia="zh-CN"/>
        </w:rPr>
        <w:t xml:space="preserve"> 质保期内同一</w:t>
      </w:r>
      <w:r>
        <w:rPr>
          <w:rFonts w:hint="eastAsia" w:ascii="宋体" w:hAnsi="宋体" w:cs="宋体"/>
          <w:color w:val="000000"/>
          <w:sz w:val="24"/>
          <w:szCs w:val="24"/>
          <w:shd w:val="clear" w:color="auto" w:fill="FFFFFF"/>
          <w:lang w:val="en-US" w:eastAsia="zh-CN"/>
        </w:rPr>
        <w:t>配件</w:t>
      </w:r>
      <w:r>
        <w:rPr>
          <w:rFonts w:hint="eastAsia" w:ascii="宋体" w:hAnsi="宋体" w:cs="宋体"/>
          <w:bCs/>
          <w:sz w:val="24"/>
          <w:szCs w:val="24"/>
          <w:lang w:val="en-US" w:eastAsia="zh-CN"/>
        </w:rPr>
        <w:t>一个月内连续3次发生同一故障，成交供应商须无偿更换同档次</w:t>
      </w:r>
      <w:r>
        <w:rPr>
          <w:rFonts w:hint="eastAsia" w:ascii="宋体" w:hAnsi="宋体" w:cs="宋体"/>
          <w:color w:val="000000"/>
          <w:sz w:val="24"/>
          <w:szCs w:val="24"/>
          <w:shd w:val="clear" w:color="auto" w:fill="FFFFFF"/>
          <w:lang w:val="en-US" w:eastAsia="zh-CN"/>
        </w:rPr>
        <w:t>配件</w:t>
      </w:r>
      <w:r>
        <w:rPr>
          <w:rFonts w:hint="eastAsia" w:ascii="宋体" w:hAnsi="宋体" w:cs="宋体"/>
          <w:bCs/>
          <w:sz w:val="24"/>
          <w:szCs w:val="24"/>
          <w:lang w:val="en-US" w:eastAsia="zh-CN"/>
        </w:rPr>
        <w:t>。</w:t>
      </w:r>
    </w:p>
    <w:p w14:paraId="2270B08F">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eastAsia="宋体" w:cs="宋体"/>
          <w:bCs/>
          <w:sz w:val="24"/>
          <w:szCs w:val="24"/>
          <w:lang w:eastAsia="zh-CN"/>
        </w:rPr>
      </w:pPr>
      <w:r>
        <w:rPr>
          <w:rFonts w:ascii="宋体" w:hAnsi="宋体" w:cs="宋体"/>
          <w:bCs/>
          <w:sz w:val="24"/>
          <w:szCs w:val="24"/>
        </w:rPr>
        <w:t>4</w:t>
      </w:r>
      <w:r>
        <w:rPr>
          <w:rFonts w:hint="eastAsia" w:ascii="宋体" w:hAnsi="宋体" w:cs="宋体"/>
          <w:bCs/>
          <w:sz w:val="24"/>
          <w:szCs w:val="24"/>
        </w:rPr>
        <w:t>.</w:t>
      </w:r>
      <w:r>
        <w:rPr>
          <w:rFonts w:hint="eastAsia" w:ascii="宋体" w:hAnsi="宋体" w:cs="宋体"/>
          <w:bCs/>
          <w:sz w:val="24"/>
          <w:szCs w:val="24"/>
          <w:lang w:val="en-US" w:eastAsia="zh-CN"/>
        </w:rPr>
        <w:t xml:space="preserve"> </w:t>
      </w:r>
      <w:r>
        <w:rPr>
          <w:rFonts w:hint="eastAsia" w:ascii="宋体" w:hAnsi="宋体" w:cs="宋体"/>
          <w:bCs/>
          <w:sz w:val="24"/>
          <w:szCs w:val="24"/>
          <w:lang w:eastAsia="zh-CN"/>
        </w:rPr>
        <w:t>质保期内，成交供应商提供24小时电话响应服务，接到报修后1小时内作出响应，4小时内到场排查故障，8小时内完成故障修复。若成交供应商未按约定时限开展维修，采购人可另行委托人员维修，所产生的相关费用由成交供应商承担，采购人可从质量保证金中予以扣除。若故障无法在8小时内修复，成交供应商需在24小时内提供相同类型设备予以更换。</w:t>
      </w:r>
    </w:p>
    <w:p w14:paraId="7C03E7BB">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5.</w:t>
      </w:r>
      <w:r>
        <w:rPr>
          <w:rFonts w:hint="eastAsia" w:ascii="宋体" w:hAnsi="宋体" w:cs="宋体"/>
          <w:bCs/>
          <w:sz w:val="24"/>
          <w:szCs w:val="24"/>
          <w:lang w:val="en-US" w:eastAsia="zh-CN"/>
        </w:rPr>
        <w:t xml:space="preserve"> 本项目保修期及本文件未列明的其他项目保修期，按国家现行质量保修办法的规定执行。</w:t>
      </w:r>
    </w:p>
    <w:p w14:paraId="6588E36E">
      <w:pPr>
        <w:keepNext w:val="0"/>
        <w:keepLines w:val="0"/>
        <w:pageBreakBefore w:val="0"/>
        <w:widowControl w:val="0"/>
        <w:kinsoku/>
        <w:wordWrap/>
        <w:overflowPunct/>
        <w:topLinePunct w:val="0"/>
        <w:autoSpaceDE/>
        <w:autoSpaceDN/>
        <w:bidi w:val="0"/>
        <w:spacing w:line="420" w:lineRule="exact"/>
        <w:jc w:val="left"/>
        <w:textAlignment w:val="auto"/>
        <w:rPr>
          <w:rFonts w:hint="eastAsia" w:eastAsia="宋体"/>
          <w:lang w:eastAsia="zh-CN"/>
        </w:rPr>
      </w:pPr>
      <w:r>
        <w:rPr>
          <w:rFonts w:hint="eastAsia" w:ascii="宋体" w:hAnsi="宋体" w:cs="宋体"/>
          <w:bCs/>
          <w:sz w:val="24"/>
          <w:szCs w:val="24"/>
          <w:lang w:eastAsia="zh-CN"/>
        </w:rPr>
        <w:t>6.</w:t>
      </w:r>
      <w:r>
        <w:rPr>
          <w:rFonts w:hint="eastAsia" w:ascii="宋体" w:hAnsi="宋体" w:cs="宋体"/>
          <w:bCs/>
          <w:sz w:val="24"/>
          <w:szCs w:val="24"/>
          <w:lang w:val="en-US" w:eastAsia="zh-CN"/>
        </w:rPr>
        <w:t xml:space="preserve"> 质保期内，成交供应商负责设备的定期维护保养，频次不低于每季度一次。</w:t>
      </w:r>
    </w:p>
    <w:p w14:paraId="23FDAF70">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ascii="宋体" w:cs="宋体"/>
          <w:b/>
          <w:sz w:val="24"/>
          <w:szCs w:val="24"/>
        </w:rPr>
      </w:pPr>
      <w:r>
        <w:rPr>
          <w:rFonts w:hint="eastAsia" w:ascii="宋体" w:hAnsi="宋体" w:cs="宋体"/>
          <w:b/>
          <w:sz w:val="24"/>
          <w:szCs w:val="24"/>
          <w:lang w:val="en-US" w:eastAsia="zh-CN"/>
        </w:rPr>
        <w:t>六</w:t>
      </w:r>
      <w:r>
        <w:rPr>
          <w:rFonts w:hint="eastAsia" w:ascii="宋体" w:hAnsi="宋体" w:cs="宋体"/>
          <w:b/>
          <w:sz w:val="24"/>
          <w:szCs w:val="24"/>
        </w:rPr>
        <w:t>、付款方式</w:t>
      </w:r>
    </w:p>
    <w:p w14:paraId="3B7C2D58">
      <w:pPr>
        <w:keepNext w:val="0"/>
        <w:keepLines w:val="0"/>
        <w:pageBreakBefore w:val="0"/>
        <w:widowControl w:val="0"/>
        <w:kinsoku/>
        <w:wordWrap/>
        <w:overflowPunct/>
        <w:topLinePunct w:val="0"/>
        <w:autoSpaceDE/>
        <w:autoSpaceDN/>
        <w:bidi w:val="0"/>
        <w:spacing w:line="420" w:lineRule="exact"/>
        <w:ind w:firstLine="480" w:firstLineChars="200"/>
        <w:jc w:val="left"/>
        <w:textAlignment w:val="auto"/>
        <w:rPr>
          <w:rFonts w:ascii="宋体" w:cs="宋体"/>
          <w:b/>
          <w:sz w:val="24"/>
          <w:szCs w:val="24"/>
        </w:rPr>
      </w:pPr>
      <w:r>
        <w:rPr>
          <w:rFonts w:hint="eastAsia" w:ascii="宋体" w:hAnsi="宋体" w:cs="宋体"/>
          <w:bCs/>
          <w:sz w:val="24"/>
          <w:szCs w:val="24"/>
        </w:rPr>
        <w:t>项目完成并验收合格后，成交供应商提供合同金额的有效普通增值税发票（含税），采购人核对发票无误后</w:t>
      </w:r>
      <w:r>
        <w:rPr>
          <w:rFonts w:ascii="宋体" w:hAnsi="宋体" w:cs="宋体"/>
          <w:bCs/>
          <w:sz w:val="24"/>
          <w:szCs w:val="24"/>
        </w:rPr>
        <w:t>6</w:t>
      </w:r>
      <w:r>
        <w:rPr>
          <w:rFonts w:hint="eastAsia" w:ascii="宋体" w:hAnsi="宋体" w:cs="宋体"/>
          <w:bCs/>
          <w:sz w:val="24"/>
          <w:szCs w:val="24"/>
        </w:rPr>
        <w:t>个月内支付</w:t>
      </w:r>
      <w:r>
        <w:rPr>
          <w:rFonts w:ascii="宋体" w:hAnsi="宋体" w:cs="宋体"/>
          <w:bCs/>
          <w:sz w:val="24"/>
          <w:szCs w:val="24"/>
        </w:rPr>
        <w:t>95%</w:t>
      </w:r>
      <w:r>
        <w:rPr>
          <w:rFonts w:hint="eastAsia" w:ascii="宋体" w:hAnsi="宋体" w:cs="宋体"/>
          <w:bCs/>
          <w:sz w:val="24"/>
          <w:szCs w:val="24"/>
        </w:rPr>
        <w:t>结算金额减去预付款的金额，剩余结算金额的</w:t>
      </w:r>
      <w:r>
        <w:rPr>
          <w:rFonts w:ascii="宋体" w:hAnsi="宋体" w:cs="宋体"/>
          <w:bCs/>
          <w:sz w:val="24"/>
          <w:szCs w:val="24"/>
        </w:rPr>
        <w:t>5%</w:t>
      </w:r>
      <w:r>
        <w:rPr>
          <w:rFonts w:hint="eastAsia" w:ascii="宋体" w:hAnsi="宋体" w:cs="宋体"/>
          <w:bCs/>
          <w:sz w:val="24"/>
          <w:szCs w:val="24"/>
        </w:rPr>
        <w:t>作为质量保证金，质保期满后一次性无息退还。</w:t>
      </w:r>
    </w:p>
    <w:p w14:paraId="45BAF62C">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ascii="宋体" w:cs="宋体"/>
          <w:b/>
          <w:sz w:val="24"/>
          <w:szCs w:val="24"/>
        </w:rPr>
      </w:pPr>
      <w:r>
        <w:rPr>
          <w:rFonts w:hint="eastAsia" w:ascii="宋体" w:hAnsi="宋体" w:cs="宋体"/>
          <w:b/>
          <w:sz w:val="24"/>
          <w:szCs w:val="24"/>
          <w:lang w:val="en-US" w:eastAsia="zh-CN"/>
        </w:rPr>
        <w:t>七</w:t>
      </w:r>
      <w:r>
        <w:rPr>
          <w:rFonts w:hint="eastAsia" w:ascii="宋体" w:hAnsi="宋体" w:cs="宋体"/>
          <w:b/>
          <w:sz w:val="24"/>
          <w:szCs w:val="24"/>
        </w:rPr>
        <w:t>、违约责任</w:t>
      </w:r>
    </w:p>
    <w:p w14:paraId="00720101">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 因成交供应商原因引发的所有安全事故及相应责任、后果，均由成交供应商承担全部责任，采购人保留追究成交供应商法律责任及要求其进行赔偿的权利。</w:t>
      </w:r>
    </w:p>
    <w:p w14:paraId="7388F3C0">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 若成交供应商未按约定时间完成项目，每延误一日，需按中标总额的5‰向采购人支付违约金；若延误超过30日，采购人有权终止合同，成交供应商应按中标总金额的30%向采购人支付违约金，且由此引发的经济损失由成交供应商承担。</w:t>
      </w:r>
    </w:p>
    <w:p w14:paraId="24F1C0E4">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 若成交供应商未按规定履行义务，在服务过程中存在弄虚作假或严重不负责任的行为，或者擅自转包、分包本服务项目，采购人有权终止合同。</w:t>
      </w:r>
    </w:p>
    <w:p w14:paraId="3A442D6A">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 若成交供应商无故放弃成交资格，需向采购人支付成交价5%的违约金。</w:t>
      </w:r>
    </w:p>
    <w:p w14:paraId="1ADC2559">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5. 在质保期内，若成交供应商未在规定的4小时内到达现场并作出有效响应及处理，每次扣减500元。</w:t>
      </w:r>
    </w:p>
    <w:p w14:paraId="0376DB0D">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6. 若项目安装质量不符合要求，成交供应商必须在限期内进行整改；若成交供应商未进行处理，采购人有权另行委托第三方公司处理，由此产生的所有费用由成交供应商承担，采购人有权向成交供应商追索该费用，同时成交供应商还须向采购人支付该项目结算费用30%的违约金。</w:t>
      </w:r>
    </w:p>
    <w:p w14:paraId="1C143F1C">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7. 在合同有效期内，若发生单次严重安全事故导致人员重伤、死亡或重大财产损失，采购人有权解除合同，成交供应商须根据过错程度承担相关责任及进行赔偿，并向采购人支付5万元的违约金。</w:t>
      </w:r>
    </w:p>
    <w:p w14:paraId="1263CBD1">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8. 成交供应商使用的材料、工具、器械等必须符合国家安全标准，严禁使用不合格产品；一经发现，采购人有权解除合同，成交供应商须承担相关责任及进行赔偿，并向采购人支付5万元的违约金。</w:t>
      </w:r>
    </w:p>
    <w:p w14:paraId="6ABD2C3B">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9. 若成交供应商提供的服务存在其他严重不符合用户需求书及响应文件规定的情形，采购人有权解除合同，成交供应商须承担相关责任及进行赔偿，并向采购人支付5万元的违约金。</w:t>
      </w:r>
    </w:p>
    <w:p w14:paraId="6CD889B4">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10. 若因成交供应商服务不到位，导致采购人收到科室投诉或被检查发现不达标，每次扣减300元，情节严重的加倍扣罚；若维修质量不达标或屡次维修达不到使用要求，每次扣减500元。</w:t>
      </w:r>
    </w:p>
    <w:p w14:paraId="6E308D05">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11. 若因成交供应商的服务，导致采购人遭受任何第三方提出的赔偿、补偿或罚款要求及其他经济损失，且采购人为维权产生律师费等维权支出的，采购人有权就赔偿、补偿或罚款金额及维权支出等费用全额向成交供应商追偿。</w:t>
      </w:r>
    </w:p>
    <w:p w14:paraId="6F83C95C">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12. 其他违约责任按照《中华人民共和国民法典》的相关规定处理。</w:t>
      </w:r>
    </w:p>
    <w:p w14:paraId="618F796A">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八、评审方式</w:t>
      </w:r>
    </w:p>
    <w:p w14:paraId="2B6F2DF4">
      <w:pPr>
        <w:keepNext w:val="0"/>
        <w:keepLines w:val="0"/>
        <w:pageBreakBefore w:val="0"/>
        <w:widowControl w:val="0"/>
        <w:kinsoku/>
        <w:wordWrap/>
        <w:overflowPunct/>
        <w:topLinePunct w:val="0"/>
        <w:autoSpaceDE/>
        <w:autoSpaceDN/>
        <w:bidi w:val="0"/>
        <w:spacing w:line="420" w:lineRule="exact"/>
        <w:ind w:firstLine="480" w:firstLineChars="200"/>
        <w:jc w:val="left"/>
        <w:textAlignment w:val="auto"/>
        <w:rPr>
          <w:rFonts w:hint="eastAsia" w:ascii="宋体" w:hAnsi="宋体" w:cs="宋体"/>
          <w:bCs/>
          <w:sz w:val="24"/>
          <w:szCs w:val="24"/>
          <w:lang w:val="en-US" w:eastAsia="zh-CN"/>
        </w:rPr>
      </w:pPr>
      <w:r>
        <w:rPr>
          <w:rFonts w:hint="eastAsia" w:ascii="宋体" w:hAnsi="宋体" w:cs="宋体"/>
          <w:bCs/>
          <w:sz w:val="24"/>
          <w:szCs w:val="24"/>
          <w:lang w:val="en-US" w:eastAsia="zh-CN"/>
        </w:rPr>
        <w:t>本项目的评审采用</w:t>
      </w:r>
      <w:r>
        <w:rPr>
          <w:rFonts w:hint="eastAsia" w:ascii="宋体" w:hAnsi="宋体" w:cs="宋体"/>
          <w:b/>
          <w:bCs w:val="0"/>
          <w:sz w:val="24"/>
          <w:szCs w:val="24"/>
          <w:u w:val="single"/>
          <w:lang w:val="en-US" w:eastAsia="zh-CN"/>
        </w:rPr>
        <w:t>最低价法</w:t>
      </w:r>
      <w:r>
        <w:rPr>
          <w:rFonts w:hint="eastAsia" w:ascii="宋体" w:hAnsi="宋体" w:cs="宋体"/>
          <w:bCs/>
          <w:sz w:val="24"/>
          <w:szCs w:val="24"/>
          <w:lang w:val="en-US" w:eastAsia="zh-CN"/>
        </w:rPr>
        <w:t>（报价格式详见响应文件模板中（一）报价单），在符合项目需求的前提下，选取最低价格为拟中选供应商，如有两家或以上供应商相同报价时，以平台响应报名时间更早者为优先。</w:t>
      </w:r>
    </w:p>
    <w:p w14:paraId="1DDDA49C">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九、提交方式</w:t>
      </w:r>
    </w:p>
    <w:p w14:paraId="0FE52E0E">
      <w:pPr>
        <w:keepNext w:val="0"/>
        <w:keepLines w:val="0"/>
        <w:pageBreakBefore w:val="0"/>
        <w:widowControl w:val="0"/>
        <w:kinsoku/>
        <w:wordWrap/>
        <w:overflowPunct/>
        <w:topLinePunct w:val="0"/>
        <w:autoSpaceDE/>
        <w:autoSpaceDN/>
        <w:bidi w:val="0"/>
        <w:spacing w:line="420" w:lineRule="exact"/>
        <w:ind w:firstLine="480" w:firstLineChars="200"/>
        <w:jc w:val="left"/>
        <w:textAlignment w:val="auto"/>
        <w:rPr>
          <w:rFonts w:hint="eastAsia" w:ascii="宋体" w:hAnsi="宋体" w:cs="宋体"/>
          <w:bCs/>
          <w:sz w:val="24"/>
          <w:szCs w:val="24"/>
          <w:lang w:val="en-US" w:eastAsia="zh-CN"/>
        </w:rPr>
      </w:pPr>
      <w:r>
        <w:rPr>
          <w:rFonts w:hint="eastAsia" w:ascii="宋体" w:hAnsi="宋体" w:cs="宋体"/>
          <w:bCs/>
          <w:sz w:val="24"/>
          <w:szCs w:val="24"/>
          <w:lang w:val="en-US" w:eastAsia="zh-CN"/>
        </w:rPr>
        <w:t>请</w:t>
      </w:r>
      <w:r>
        <w:rPr>
          <w:rFonts w:hint="eastAsia" w:ascii="宋体" w:hAnsi="宋体" w:cs="宋体"/>
          <w:bCs/>
          <w:sz w:val="24"/>
          <w:szCs w:val="24"/>
          <w:highlight w:val="none"/>
          <w:lang w:val="en-US" w:eastAsia="zh-CN"/>
        </w:rPr>
        <w:t>于2026年7月20日17点之前将以上</w:t>
      </w:r>
      <w:r>
        <w:rPr>
          <w:rFonts w:hint="eastAsia" w:ascii="宋体" w:hAnsi="宋体" w:cs="宋体"/>
          <w:bCs/>
          <w:sz w:val="24"/>
          <w:szCs w:val="24"/>
          <w:lang w:val="en-US" w:eastAsia="zh-CN"/>
        </w:rPr>
        <w:t>资料（招标文件格式附模版）一式三份（一正二副）密封加盖公章，投递资料封面注明项目名称、供应商名称、联系人及联系电话，可通过现场提交或邮寄方式提交。所有提交的资料一律不予退还。</w:t>
      </w:r>
    </w:p>
    <w:p w14:paraId="66247B5E">
      <w:pPr>
        <w:keepNext w:val="0"/>
        <w:keepLines w:val="0"/>
        <w:pageBreakBefore w:val="0"/>
        <w:widowControl w:val="0"/>
        <w:kinsoku/>
        <w:wordWrap/>
        <w:overflowPunct/>
        <w:topLinePunct w:val="0"/>
        <w:autoSpaceDE/>
        <w:autoSpaceDN/>
        <w:bidi w:val="0"/>
        <w:adjustRightInd/>
        <w:snapToGrid/>
        <w:spacing w:before="157" w:beforeLines="50" w:line="420" w:lineRule="exact"/>
        <w:ind w:firstLine="482" w:firstLineChars="200"/>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递交地址：中山市小榄镇兆隆路一号东升医院行政楼七楼采购办。</w:t>
      </w:r>
    </w:p>
    <w:p w14:paraId="209DAC67">
      <w:pPr>
        <w:keepNext w:val="0"/>
        <w:keepLines w:val="0"/>
        <w:pageBreakBefore w:val="0"/>
        <w:widowControl w:val="0"/>
        <w:kinsoku/>
        <w:wordWrap/>
        <w:overflowPunct/>
        <w:topLinePunct w:val="0"/>
        <w:autoSpaceDE/>
        <w:autoSpaceDN/>
        <w:bidi w:val="0"/>
        <w:adjustRightInd/>
        <w:snapToGrid/>
        <w:spacing w:before="157" w:beforeLines="50" w:line="420" w:lineRule="exact"/>
        <w:ind w:firstLine="482" w:firstLineChars="200"/>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项目截止时间为止，逾期送达或者未送达指定地点或未按要求密封和加写标记的投标文件，招标人均不予受理。</w:t>
      </w:r>
    </w:p>
    <w:p w14:paraId="723937B3">
      <w:pPr>
        <w:keepNext w:val="0"/>
        <w:keepLines w:val="0"/>
        <w:pageBreakBefore w:val="0"/>
        <w:widowControl w:val="0"/>
        <w:kinsoku/>
        <w:wordWrap/>
        <w:overflowPunct/>
        <w:topLinePunct w:val="0"/>
        <w:autoSpaceDE/>
        <w:autoSpaceDN/>
        <w:bidi w:val="0"/>
        <w:adjustRightInd/>
        <w:snapToGrid/>
        <w:spacing w:before="157" w:beforeLines="50" w:line="420" w:lineRule="exact"/>
        <w:ind w:firstLine="482" w:firstLineChars="200"/>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供应商应在医院采购平台</w:t>
      </w:r>
      <w:r>
        <w:rPr>
          <w:rFonts w:hint="eastAsia" w:ascii="宋体" w:hAnsi="宋体" w:cs="宋体"/>
          <w:b/>
          <w:bCs w:val="0"/>
          <w:sz w:val="24"/>
          <w:szCs w:val="24"/>
          <w:lang w:val="en-US" w:eastAsia="zh-CN"/>
        </w:rPr>
        <w:fldChar w:fldCharType="begin"/>
      </w:r>
      <w:r>
        <w:rPr>
          <w:rFonts w:hint="eastAsia" w:ascii="宋体" w:hAnsi="宋体" w:cs="宋体"/>
          <w:b/>
          <w:bCs w:val="0"/>
          <w:sz w:val="24"/>
          <w:szCs w:val="24"/>
          <w:lang w:val="en-US" w:eastAsia="zh-CN"/>
        </w:rPr>
        <w:instrText xml:space="preserve"> HYPERLINK "https://www.cotenders.cn/" </w:instrText>
      </w:r>
      <w:r>
        <w:rPr>
          <w:rFonts w:hint="eastAsia" w:ascii="宋体" w:hAnsi="宋体" w:cs="宋体"/>
          <w:b/>
          <w:bCs w:val="0"/>
          <w:sz w:val="24"/>
          <w:szCs w:val="24"/>
          <w:lang w:val="en-US" w:eastAsia="zh-CN"/>
        </w:rPr>
        <w:fldChar w:fldCharType="separate"/>
      </w:r>
      <w:r>
        <w:rPr>
          <w:rFonts w:hint="eastAsia" w:ascii="宋体" w:hAnsi="宋体" w:cs="宋体"/>
          <w:b/>
          <w:bCs w:val="0"/>
          <w:sz w:val="24"/>
          <w:szCs w:val="24"/>
          <w:lang w:val="en-US" w:eastAsia="zh-CN"/>
        </w:rPr>
        <w:t>https://www.cotenders.cn/</w:t>
      </w:r>
      <w:r>
        <w:rPr>
          <w:rFonts w:hint="eastAsia" w:ascii="宋体" w:hAnsi="宋体" w:cs="宋体"/>
          <w:b/>
          <w:bCs w:val="0"/>
          <w:sz w:val="24"/>
          <w:szCs w:val="24"/>
          <w:lang w:val="en-US" w:eastAsia="zh-CN"/>
        </w:rPr>
        <w:fldChar w:fldCharType="end"/>
      </w:r>
      <w:r>
        <w:rPr>
          <w:rFonts w:hint="eastAsia" w:ascii="宋体" w:hAnsi="宋体" w:cs="宋体"/>
          <w:b/>
          <w:bCs w:val="0"/>
          <w:sz w:val="24"/>
          <w:szCs w:val="24"/>
          <w:lang w:val="en-US" w:eastAsia="zh-CN"/>
        </w:rPr>
        <w:t xml:space="preserve"> 完成项目响应登记并上传电子文件。</w:t>
      </w:r>
    </w:p>
    <w:p w14:paraId="5BEBAA6E">
      <w:pPr>
        <w:keepNext w:val="0"/>
        <w:keepLines w:val="0"/>
        <w:pageBreakBefore w:val="0"/>
        <w:widowControl w:val="0"/>
        <w:kinsoku/>
        <w:wordWrap/>
        <w:overflowPunct/>
        <w:topLinePunct w:val="0"/>
        <w:autoSpaceDE/>
        <w:autoSpaceDN/>
        <w:bidi w:val="0"/>
        <w:spacing w:line="420" w:lineRule="exact"/>
        <w:jc w:val="left"/>
        <w:textAlignment w:val="auto"/>
        <w:rPr>
          <w:rFonts w:hint="eastAsia" w:ascii="宋体" w:hAnsi="宋体" w:cs="宋体"/>
          <w:b/>
          <w:bCs w:val="0"/>
          <w:sz w:val="24"/>
          <w:szCs w:val="24"/>
          <w:lang w:val="en-US" w:eastAsia="zh-CN"/>
        </w:rPr>
      </w:pPr>
    </w:p>
    <w:p w14:paraId="7AF634F2">
      <w:pPr>
        <w:keepNext w:val="0"/>
        <w:keepLines w:val="0"/>
        <w:pageBreakBefore w:val="0"/>
        <w:widowControl w:val="0"/>
        <w:kinsoku/>
        <w:wordWrap/>
        <w:overflowPunct/>
        <w:topLinePunct w:val="0"/>
        <w:autoSpaceDE/>
        <w:autoSpaceDN/>
        <w:bidi w:val="0"/>
        <w:spacing w:line="420" w:lineRule="exact"/>
        <w:ind w:firstLine="482" w:firstLineChars="200"/>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联系人：杨老师</w:t>
      </w:r>
    </w:p>
    <w:p w14:paraId="525A12D6">
      <w:pPr>
        <w:keepNext w:val="0"/>
        <w:keepLines w:val="0"/>
        <w:pageBreakBefore w:val="0"/>
        <w:widowControl w:val="0"/>
        <w:kinsoku/>
        <w:wordWrap/>
        <w:overflowPunct/>
        <w:topLinePunct w:val="0"/>
        <w:autoSpaceDE/>
        <w:autoSpaceDN/>
        <w:bidi w:val="0"/>
        <w:spacing w:line="420" w:lineRule="exact"/>
        <w:ind w:firstLine="482" w:firstLineChars="200"/>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联系电话：0760-22896930</w:t>
      </w:r>
    </w:p>
    <w:p w14:paraId="64917D5F">
      <w:pPr>
        <w:keepNext w:val="0"/>
        <w:keepLines w:val="0"/>
        <w:pageBreakBefore w:val="0"/>
        <w:widowControl w:val="0"/>
        <w:kinsoku/>
        <w:wordWrap/>
        <w:overflowPunct/>
        <w:topLinePunct w:val="0"/>
        <w:autoSpaceDE/>
        <w:autoSpaceDN/>
        <w:bidi w:val="0"/>
        <w:spacing w:line="420" w:lineRule="exact"/>
        <w:ind w:firstLine="482" w:firstLineChars="200"/>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纪检联系人：吴老师</w:t>
      </w:r>
    </w:p>
    <w:p w14:paraId="67B7B6D9">
      <w:pPr>
        <w:keepNext w:val="0"/>
        <w:keepLines w:val="0"/>
        <w:pageBreakBefore w:val="0"/>
        <w:widowControl w:val="0"/>
        <w:kinsoku/>
        <w:wordWrap/>
        <w:overflowPunct/>
        <w:topLinePunct w:val="0"/>
        <w:autoSpaceDE/>
        <w:autoSpaceDN/>
        <w:bidi w:val="0"/>
        <w:spacing w:line="420" w:lineRule="exact"/>
        <w:ind w:firstLine="482" w:firstLineChars="200"/>
        <w:jc w:val="left"/>
        <w:textAlignment w:val="auto"/>
        <w:rPr>
          <w:rFonts w:hint="eastAsia" w:ascii="宋体" w:hAnsi="宋体" w:cs="宋体"/>
          <w:b/>
          <w:bCs w:val="0"/>
          <w:sz w:val="24"/>
          <w:szCs w:val="24"/>
        </w:rPr>
      </w:pPr>
      <w:r>
        <w:rPr>
          <w:rFonts w:hint="eastAsia" w:ascii="宋体" w:hAnsi="宋体" w:cs="宋体"/>
          <w:b/>
          <w:bCs w:val="0"/>
          <w:sz w:val="24"/>
          <w:szCs w:val="24"/>
          <w:lang w:val="en-US" w:eastAsia="zh-CN"/>
        </w:rPr>
        <w:t>联系电话：0760-22825236</w:t>
      </w:r>
    </w:p>
    <w:sectPr>
      <w:headerReference r:id="rId5" w:type="first"/>
      <w:footerReference r:id="rId8" w:type="first"/>
      <w:headerReference r:id="rId3" w:type="default"/>
      <w:footerReference r:id="rId6" w:type="default"/>
      <w:headerReference r:id="rId4" w:type="even"/>
      <w:footerReference r:id="rId7" w:type="even"/>
      <w:pgSz w:w="11906" w:h="16838"/>
      <w:pgMar w:top="1213" w:right="1179" w:bottom="1213" w:left="1179" w:header="170" w:footer="31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3B94D">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AAC69">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02AAC69">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B9C54">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9E444">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F6574">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690F0">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267FA">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195C9B"/>
    <w:rsid w:val="00165329"/>
    <w:rsid w:val="004B6CA1"/>
    <w:rsid w:val="00860DEE"/>
    <w:rsid w:val="009F7A3B"/>
    <w:rsid w:val="00CF1E51"/>
    <w:rsid w:val="03675B39"/>
    <w:rsid w:val="046D4438"/>
    <w:rsid w:val="05257DE5"/>
    <w:rsid w:val="07396A7A"/>
    <w:rsid w:val="076C036C"/>
    <w:rsid w:val="07F92796"/>
    <w:rsid w:val="0B5D6B4A"/>
    <w:rsid w:val="1A9D694B"/>
    <w:rsid w:val="1EB159B3"/>
    <w:rsid w:val="24720A2F"/>
    <w:rsid w:val="2A195C9B"/>
    <w:rsid w:val="2BB82AE8"/>
    <w:rsid w:val="379F04AB"/>
    <w:rsid w:val="3CEA6C43"/>
    <w:rsid w:val="42A105E3"/>
    <w:rsid w:val="463A63D0"/>
    <w:rsid w:val="4B35200A"/>
    <w:rsid w:val="4EC9046F"/>
    <w:rsid w:val="4F7D0D1F"/>
    <w:rsid w:val="544D7D8B"/>
    <w:rsid w:val="58937D37"/>
    <w:rsid w:val="58B14934"/>
    <w:rsid w:val="58B35B51"/>
    <w:rsid w:val="5CC62FA9"/>
    <w:rsid w:val="5E561A5C"/>
    <w:rsid w:val="609E0ECD"/>
    <w:rsid w:val="68694A97"/>
    <w:rsid w:val="6D93142B"/>
    <w:rsid w:val="6E5730A7"/>
    <w:rsid w:val="6E674BDA"/>
    <w:rsid w:val="71995F66"/>
    <w:rsid w:val="731E5786"/>
    <w:rsid w:val="77361D9F"/>
    <w:rsid w:val="7F4E6F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ocked="1"/>
    <w:lsdException w:uiPriority="99" w:name="heading 2" w:locked="1"/>
    <w:lsdException w:uiPriority="99" w:name="heading 3" w:locked="1"/>
    <w:lsdException w:uiPriority="99" w:name="heading 4" w:locked="1"/>
    <w:lsdException w:uiPriority="99" w:name="heading 5" w:locked="1"/>
    <w:lsdException w:uiPriority="99" w:name="heading 6" w:locked="1"/>
    <w:lsdException w:uiPriority="99" w:name="heading 7" w:locked="1"/>
    <w:lsdException w:uiPriority="99" w:name="heading 8" w:locked="1"/>
    <w:lsdException w:uiPriority="99"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qFormat="1" w:unhideWhenUsed="0" w:uiPriority="99" w:semiHidden="0" w:name="toc 5"/>
    <w:lsdException w:uiPriority="99" w:name="toc 6"/>
    <w:lsdException w:uiPriority="99" w:name="toc 7"/>
    <w:lsdException w:uiPriority="99" w:name="toc 8"/>
    <w:lsdException w:uiPriority="99" w:name="toc 9"/>
    <w:lsdException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uiPriority="99"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ocked="1"/>
    <w:lsdException w:uiPriority="99" w:name="Closing"/>
    <w:lsdException w:uiPriority="99" w:name="Signature"/>
    <w:lsdException w:unhideWhenUsed="0" w:uiPriority="99" w:name="Default Paragraph Font"/>
    <w:lsdException w:qFormat="1" w:unhideWhenUsed="0" w:uiPriority="99" w:semiHidden="0" w:name="Body Text"/>
    <w:lsdException w:unhideWhenUsed="0" w:uiPriority="99" w:semiHidden="0" w:name="Body Text Indent" w:locked="1"/>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unhideWhenUsed="0" w:uiPriority="99" w:semiHidden="0" w:name="Emphasis" w:locked="1"/>
    <w:lsdException w:uiPriority="99" w:name="Document Map"/>
    <w:lsdException w:unhideWhenUsed="0" w:uiPriority="99" w:semiHidden="0" w:name="Plain Text" w:locked="1"/>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uiPriority w:val="99"/>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iPriority w:val="99"/>
    <w:pPr>
      <w:ind w:firstLine="420"/>
    </w:pPr>
    <w:rPr>
      <w:szCs w:val="22"/>
    </w:rPr>
  </w:style>
  <w:style w:type="paragraph" w:styleId="3">
    <w:name w:val="Body Text"/>
    <w:basedOn w:val="1"/>
    <w:link w:val="12"/>
    <w:qFormat/>
    <w:uiPriority w:val="99"/>
    <w:pPr>
      <w:adjustRightInd w:val="0"/>
      <w:snapToGrid w:val="0"/>
      <w:spacing w:line="500" w:lineRule="atLeast"/>
    </w:pPr>
    <w:rPr>
      <w:rFonts w:ascii="宋体"/>
      <w:bCs/>
      <w:sz w:val="28"/>
    </w:rPr>
  </w:style>
  <w:style w:type="paragraph" w:styleId="4">
    <w:name w:val="toc 5"/>
    <w:basedOn w:val="1"/>
    <w:qFormat/>
    <w:uiPriority w:val="99"/>
    <w:pPr>
      <w:ind w:left="1680"/>
    </w:pPr>
    <w:rPr>
      <w:kern w:val="1"/>
    </w:rPr>
  </w:style>
  <w:style w:type="paragraph" w:styleId="5">
    <w:name w:val="footer"/>
    <w:basedOn w:val="1"/>
    <w:link w:val="16"/>
    <w:qFormat/>
    <w:uiPriority w:val="99"/>
    <w:pPr>
      <w:tabs>
        <w:tab w:val="center" w:pos="4153"/>
        <w:tab w:val="right" w:pos="8306"/>
      </w:tabs>
      <w:snapToGrid w:val="0"/>
      <w:jc w:val="left"/>
    </w:pPr>
    <w:rPr>
      <w:sz w:val="18"/>
      <w:szCs w:val="18"/>
    </w:rPr>
  </w:style>
  <w:style w:type="paragraph" w:styleId="6">
    <w:name w:val="header"/>
    <w:basedOn w:val="1"/>
    <w:link w:val="15"/>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table" w:styleId="9">
    <w:name w:val="Table Grid"/>
    <w:basedOn w:val="8"/>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99"/>
    <w:rPr>
      <w:rFonts w:cs="Times New Roman"/>
      <w:b/>
    </w:rPr>
  </w:style>
  <w:style w:type="character" w:customStyle="1" w:styleId="12">
    <w:name w:val="Body Text Char"/>
    <w:basedOn w:val="10"/>
    <w:link w:val="3"/>
    <w:semiHidden/>
    <w:qFormat/>
    <w:uiPriority w:val="99"/>
    <w:rPr>
      <w:rFonts w:ascii="Calibri" w:hAnsi="Calibri"/>
      <w:szCs w:val="24"/>
    </w:rPr>
  </w:style>
  <w:style w:type="paragraph" w:styleId="13">
    <w:name w:val="List Paragraph"/>
    <w:basedOn w:val="1"/>
    <w:qFormat/>
    <w:uiPriority w:val="99"/>
    <w:pPr>
      <w:spacing w:line="360" w:lineRule="auto"/>
      <w:ind w:firstLine="420" w:firstLineChars="200"/>
    </w:pPr>
    <w:rPr>
      <w:sz w:val="24"/>
    </w:rPr>
  </w:style>
  <w:style w:type="paragraph" w:customStyle="1" w:styleId="14">
    <w:name w:val="null3"/>
    <w:qFormat/>
    <w:uiPriority w:val="99"/>
    <w:rPr>
      <w:rFonts w:ascii="Calibri" w:hAnsi="Calibri" w:eastAsia="宋体" w:cs="Times New Roman"/>
      <w:kern w:val="0"/>
      <w:sz w:val="20"/>
      <w:szCs w:val="20"/>
      <w:lang w:val="en-US" w:eastAsia="zh-CN" w:bidi="ar-SA"/>
    </w:rPr>
  </w:style>
  <w:style w:type="character" w:customStyle="1" w:styleId="15">
    <w:name w:val="Header Char"/>
    <w:basedOn w:val="10"/>
    <w:link w:val="6"/>
    <w:semiHidden/>
    <w:qFormat/>
    <w:uiPriority w:val="99"/>
    <w:rPr>
      <w:rFonts w:ascii="Calibri" w:hAnsi="Calibri"/>
      <w:sz w:val="18"/>
      <w:szCs w:val="18"/>
    </w:rPr>
  </w:style>
  <w:style w:type="character" w:customStyle="1" w:styleId="16">
    <w:name w:val="Footer Char"/>
    <w:basedOn w:val="10"/>
    <w:link w:val="5"/>
    <w:semiHidden/>
    <w:qFormat/>
    <w:uiPriority w:val="99"/>
    <w:rPr>
      <w:rFonts w:ascii="Calibri" w:hAnsi="Calibri"/>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5</Pages>
  <Words>3864</Words>
  <Characters>4122</Characters>
  <Lines>0</Lines>
  <Paragraphs>0</Paragraphs>
  <TotalTime>8</TotalTime>
  <ScaleCrop>false</ScaleCrop>
  <LinksUpToDate>false</LinksUpToDate>
  <CharactersWithSpaces>4177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2026-06-26T17:09:00Z</dcterms:created>
  <dc:creator>小军</dc:creator>
  <cp:lastModifiedBy>Lily</cp:lastModifiedBy>
  <dcterms:modified xsi:type="dcterms:W3CDTF">2026-07-13T09:02:36Z</dcterms:modified>
  <dc:title>中山市东升医院10楼皮肤科病房及3楼皮肤科门诊中央空调改造项目采购需求书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F02C7B6CCFB6427A8BF276D8192623E9_13</vt:lpwstr>
  </property>
  <property fmtid="{D5CDD505-2E9C-101B-9397-08002B2CF9AE}" pid="4" name="KSOTemplateDocerSaveRecord">
    <vt:lpwstr>eyJoZGlkIjoiZjMxODI1ZDk1NTM3ZThjZDIyMDM0N2Q4Njc3ODMwMjMiLCJ1c2VySWQiOiIyNjI5MDY5MzEifQ==</vt:lpwstr>
  </property>
</Properties>
</file>