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52B9F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中山市东升医院2026-2028年度食堂经营和改造项目院内遴选公告</w:t>
      </w:r>
    </w:p>
    <w:p w14:paraId="148420DA">
      <w:pPr>
        <w:keepNext w:val="0"/>
        <w:keepLines w:val="0"/>
        <w:pageBreakBefore w:val="0"/>
        <w:widowControl w:val="0"/>
        <w:kinsoku/>
        <w:wordWrap/>
        <w:overflowPunct/>
        <w:topLinePunct w:val="0"/>
        <w:autoSpaceDE/>
        <w:autoSpaceDN/>
        <w:bidi w:val="0"/>
        <w:adjustRightInd/>
        <w:snapToGrid/>
        <w:spacing w:before="181" w:beforeLines="50" w:line="440" w:lineRule="exact"/>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一、项目概况</w:t>
      </w:r>
    </w:p>
    <w:p w14:paraId="0A202FE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项目名称：</w:t>
      </w:r>
      <w:r>
        <w:rPr>
          <w:rFonts w:hint="eastAsia" w:ascii="宋体" w:hAnsi="宋体" w:eastAsia="宋体" w:cs="宋体"/>
          <w:sz w:val="24"/>
          <w:szCs w:val="24"/>
          <w:lang w:val="en-US" w:eastAsia="zh-CN"/>
        </w:rPr>
        <w:t>中山市东升医院2026-2028年度食堂经营和改造项目</w:t>
      </w:r>
    </w:p>
    <w:p w14:paraId="385FAF0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项目编号：FW-CW-CW-2026060</w:t>
      </w:r>
    </w:p>
    <w:p w14:paraId="77EB2AF8">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 场地范围：现有食堂就餐区建筑面积约253平方米，改造后可容纳约130人同时就餐，并拆除部分旧建筑物。（见附件三《原食堂平面图》）</w:t>
      </w:r>
    </w:p>
    <w:p w14:paraId="2939165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资金来源：</w:t>
      </w:r>
      <w:r>
        <w:rPr>
          <w:rFonts w:hint="eastAsia" w:ascii="宋体" w:hAnsi="宋体" w:eastAsia="宋体" w:cs="宋体"/>
          <w:sz w:val="24"/>
          <w:szCs w:val="24"/>
          <w:lang w:eastAsia="zh-CN"/>
        </w:rPr>
        <w:t>项目采用全包干的方式承包，由中选服务商负责遴选文件对中选服务商要求的一切事宜，自负盈亏，采购人不支付任何费用或补贴。中选服务商及其工作人员所产生的一切费用及责任由中选服务商负责，与采购人无关。</w:t>
      </w:r>
    </w:p>
    <w:p w14:paraId="3F546C4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服务期限：</w:t>
      </w:r>
      <w:r>
        <w:rPr>
          <w:rFonts w:hint="eastAsia" w:ascii="宋体" w:hAnsi="宋体" w:eastAsia="宋体" w:cs="宋体"/>
          <w:sz w:val="24"/>
          <w:szCs w:val="24"/>
        </w:rPr>
        <w:t>自合同签订日起</w:t>
      </w:r>
      <w:r>
        <w:rPr>
          <w:rFonts w:hint="eastAsia" w:ascii="宋体" w:hAnsi="宋体" w:eastAsia="宋体" w:cs="宋体"/>
          <w:sz w:val="24"/>
          <w:szCs w:val="24"/>
          <w:lang w:val="en-US" w:eastAsia="zh-CN"/>
        </w:rPr>
        <w:t>三</w:t>
      </w:r>
      <w:r>
        <w:rPr>
          <w:rFonts w:hint="eastAsia" w:ascii="宋体" w:hAnsi="宋体" w:eastAsia="宋体" w:cs="宋体"/>
          <w:sz w:val="24"/>
          <w:szCs w:val="24"/>
        </w:rPr>
        <w:t>年。服务期限采取1+1+1的方式。即先签订一年合同，如采购人对中选服务商的服务满意且考核合格，在第一年合同期满后，经采购人考核合格并同意后，则双方续签下一年度合同。如采购人对中选服务商所提供的服务不满意（即连续两个月考核结果低于80分的），采购人有权单方终止合同，不再续签。</w:t>
      </w:r>
    </w:p>
    <w:p w14:paraId="54AE24EC">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 项目内容：食堂经营和改造项目，服务商须按国家、行业标准和遴选文件的要求对项目提供相关服务。具体服务内容包括但不限于食堂经营、食堂改造装修、设备设施投入、食品安全管理、人员管理及信息系统建设等。</w:t>
      </w:r>
    </w:p>
    <w:p w14:paraId="6683879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本项目不接受联合体响应。</w:t>
      </w:r>
    </w:p>
    <w:p w14:paraId="656D7C9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本项目不得以任何方式转包或分包，否则采购人有权扣除履约保证金并自动终止合同。</w:t>
      </w:r>
    </w:p>
    <w:p w14:paraId="34B24C3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 凡带"★"的条款为该项目的重要技术服务要求，必须完全满足，如有负偏离的遴选文件将被认定为无效投标；凡带"▲"标识的内容为评标的重要参数依据，响应服务商应对该标识项目按照要求进行真实应答描述，但不作为废标的实质性条款。</w:t>
      </w:r>
    </w:p>
    <w:p w14:paraId="5D704B1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eastAsia="仿宋"/>
          <w:lang w:eastAsia="zh-CN"/>
        </w:rPr>
      </w:pPr>
      <w:r>
        <w:rPr>
          <w:rFonts w:hint="eastAsia" w:ascii="宋体" w:hAnsi="宋体" w:eastAsia="宋体" w:cs="宋体"/>
          <w:sz w:val="24"/>
          <w:szCs w:val="24"/>
          <w:lang w:val="en-US" w:eastAsia="zh-CN"/>
        </w:rPr>
        <w:t>10. 本项目由医院统一安排现场踏勘及现有菜品价格查询，若响应服务商需开展现场踏勘及现有菜品价格查询，须</w:t>
      </w:r>
      <w:r>
        <w:rPr>
          <w:rFonts w:hint="eastAsia" w:ascii="宋体" w:hAnsi="宋体" w:eastAsia="宋体" w:cs="宋体"/>
          <w:sz w:val="24"/>
          <w:szCs w:val="24"/>
          <w:highlight w:val="none"/>
          <w:lang w:val="en-US" w:eastAsia="zh-CN"/>
        </w:rPr>
        <w:t>于2026年8月7日12时前将营业执照扫描件与委托人证明发送至邮箱：zssdsyyzwk@126.com进行预约，并于2026年8月7日15时至总务</w:t>
      </w:r>
      <w:r>
        <w:rPr>
          <w:rFonts w:hint="eastAsia" w:ascii="宋体" w:hAnsi="宋体" w:eastAsia="宋体" w:cs="宋体"/>
          <w:sz w:val="24"/>
          <w:szCs w:val="24"/>
          <w:lang w:val="en-US" w:eastAsia="zh-CN"/>
        </w:rPr>
        <w:t>科签到后参加统一现场踏勘。因响应服务商未充分了解项目情况导致方案不合理或不完整的，采购人不承担责任；采购人不接受因响应服务商未充分掌握项目情况而提出的任何异议或索赔。</w:t>
      </w:r>
    </w:p>
    <w:p w14:paraId="53BE3DE1">
      <w:pPr>
        <w:keepNext w:val="0"/>
        <w:keepLines w:val="0"/>
        <w:pageBreakBefore w:val="0"/>
        <w:widowControl w:val="0"/>
        <w:kinsoku/>
        <w:wordWrap/>
        <w:overflowPunct/>
        <w:topLinePunct w:val="0"/>
        <w:autoSpaceDE/>
        <w:autoSpaceDN/>
        <w:bidi w:val="0"/>
        <w:adjustRightInd/>
        <w:snapToGrid/>
        <w:spacing w:before="181" w:beforeLines="5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响应服务商资格要求</w:t>
      </w:r>
    </w:p>
    <w:p w14:paraId="644D566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具有独立承担民事责任的能力：提供在中华人民共和国境内注册的法人或其他组织的营业执照或事业单位法人证书或社会团体法人登记证书扫描件及食品经营许可证扫描件；如国家另有规定的，则从其规定。经营范围应包括餐饮管理或饮食管理或食品经营管理。</w:t>
      </w:r>
    </w:p>
    <w:p w14:paraId="2493BB9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有依法缴纳税收和社会保障资金的良好记录：提供遴选公告发布之日起前6个月内任意1个月依法缴纳税收和社会保障资金的相关材料。如依法免税或不需要缴纳社会保障资金的，提供相应证明材料。</w:t>
      </w:r>
    </w:p>
    <w:p w14:paraId="78CFA5B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具有良好的商业信誉和健全的财务会计制度：提供202</w:t>
      </w:r>
      <w:r>
        <w:rPr>
          <w:rFonts w:hint="eastAsia" w:ascii="宋体" w:hAnsi="宋体" w:eastAsia="宋体" w:cs="宋体"/>
          <w:sz w:val="24"/>
          <w:szCs w:val="24"/>
          <w:lang w:val="en-US" w:eastAsia="zh-CN"/>
        </w:rPr>
        <w:t>5</w:t>
      </w:r>
      <w:r>
        <w:rPr>
          <w:rFonts w:hint="eastAsia" w:ascii="宋体" w:hAnsi="宋体" w:eastAsia="宋体" w:cs="宋体"/>
          <w:sz w:val="24"/>
          <w:szCs w:val="24"/>
        </w:rPr>
        <w:t>年度财务状况报告扫描件，或遴选公告发布之日起前6个月内任意1个月的财务报表扫描件，或基本开户行出具的资信证明扫描件。</w:t>
      </w:r>
    </w:p>
    <w:p w14:paraId="4A88EDD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履行合同所必需的设备和专业技术能力：提供"具有履行合同所必需的设备和专业技术能力"的承诺</w:t>
      </w:r>
      <w:r>
        <w:rPr>
          <w:rFonts w:hint="eastAsia" w:ascii="宋体" w:hAnsi="宋体" w:eastAsia="宋体" w:cs="宋体"/>
          <w:sz w:val="24"/>
          <w:szCs w:val="24"/>
          <w:lang w:val="en-US" w:eastAsia="zh-CN"/>
        </w:rPr>
        <w:t>函</w:t>
      </w:r>
      <w:r>
        <w:rPr>
          <w:rFonts w:hint="eastAsia" w:ascii="宋体" w:hAnsi="宋体" w:eastAsia="宋体" w:cs="宋体"/>
          <w:sz w:val="24"/>
          <w:szCs w:val="24"/>
        </w:rPr>
        <w:t>，或提供"具有设备和专业技术能力（人员）"的相关证明资料，或提供《设备和专业技术能力（人员）情况表》（格式自拟）。</w:t>
      </w:r>
    </w:p>
    <w:p w14:paraId="35A1F8A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参加本次遴选活动前三年内，在经营活动中没有重大违法记录，提供承诺函。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555004C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参选公司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p>
    <w:p w14:paraId="1D0192C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单位负责人为同一人或存在直接控股、管理关系的不同供应商，不得同时参与本项目，供应商须提供承诺函。</w:t>
      </w:r>
    </w:p>
    <w:p w14:paraId="77EA578E">
      <w:pPr>
        <w:keepNext w:val="0"/>
        <w:keepLines w:val="0"/>
        <w:pageBreakBefore w:val="0"/>
        <w:widowControl w:val="0"/>
        <w:kinsoku/>
        <w:wordWrap/>
        <w:overflowPunct/>
        <w:topLinePunct w:val="0"/>
        <w:autoSpaceDE/>
        <w:autoSpaceDN/>
        <w:bidi w:val="0"/>
        <w:adjustRightInd/>
        <w:snapToGrid/>
        <w:spacing w:before="181" w:beforeLines="5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三、项目需求</w:t>
      </w:r>
    </w:p>
    <w:p w14:paraId="242DED8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）经营模式</w:t>
      </w:r>
    </w:p>
    <w:p w14:paraId="124DA61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由采购人向中选服务商提供经营场地，中选服务商应在每月5日前向采购人缴交上一个月的水、电费（按实结算），厨余垃圾由中选服务商自行与具有收运资质的第三方公司签订收运合同，中选服务商负责自主经营、自主管理、独立核算。</w:t>
      </w:r>
    </w:p>
    <w:p w14:paraId="20F1134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应每天（全年不间断）为员工（含进修生、实习生、后勤服务公司员工及其他工作人员）、患者及家属提供早餐、中餐、晚餐，并以成本价提供体检餐、公务餐、专家餐、会议餐、职工包餐、会议盒饭及采购人需要的各类临时性用餐和应急配餐服务。</w:t>
      </w:r>
    </w:p>
    <w:p w14:paraId="018FE05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采用堂食和配送餐服务相结合的模式。中选服务商须有完善的线上订餐系统（含订餐自取），配备足够的送餐服务人员。</w:t>
      </w:r>
    </w:p>
    <w:p w14:paraId="0506E4A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供餐时间：早餐应于早上06:45-08:30出餐，中餐应于中午11:00-13:00出餐，晚餐应于下午16:30-19:00出餐。（中选服务商必须提供环保材料的餐具）</w:t>
      </w:r>
    </w:p>
    <w:p w14:paraId="7025A9F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补助情况：采购人按职工用餐情况对用餐进行补助：早餐3元/人，午、晚餐11元/人，按实际用餐情况计补助。</w:t>
      </w:r>
    </w:p>
    <w:p w14:paraId="50CC00A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中选服务商自觉接受采购人及餐饮主管部门的监督管理。</w:t>
      </w:r>
    </w:p>
    <w:p w14:paraId="369D6A1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）中选服务商应承担费用</w:t>
      </w:r>
    </w:p>
    <w:p w14:paraId="09337D5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★中选服务商负责按食品安全的要求购买食物原材料、加工和水、电、气的费用及其员工的一切工资、福利、保险、健康体检和所产生事故、责任和纠纷的处理。</w:t>
      </w:r>
    </w:p>
    <w:p w14:paraId="018EB52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中选服务商每年须为食堂购买不少于500万保额的食品安全责任险和不少于200万保额的公众责任险。</w:t>
      </w:r>
    </w:p>
    <w:p w14:paraId="17E2549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中选服务商负责办理合法经营所需的各类相关证件资料。</w:t>
      </w:r>
    </w:p>
    <w:p w14:paraId="2DBA4BF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负责对食堂经营场所改造、重新装修（扩建装修面积不低于200平方米）及其基础设备、设施的添置、改造、翻新、维修和保养（包括但不限于食堂扩建、各项厨房设施、桌椅等），所需费用和物品的更新、增设和日常维修保养等一切费用由中选服务商自行承担，具体要求如下：</w:t>
      </w:r>
    </w:p>
    <w:p w14:paraId="3C35D10B">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4.1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中选后1个月内必须按采购人要求，在满足食品安全管理和消防安全管理的相关法律法规要求下，负责原饭堂部分建筑物拆除，对饭堂进行扩建、装修和流程优化，包括但不限于：饭堂钢结构扩建装修、布局调整、地面墙身翻新、管道走向调整、消防设备设施增设等。</w:t>
      </w:r>
    </w:p>
    <w:p w14:paraId="48BFADCC">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4.2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在装修前必须提交书面装修申请和图纸（含平面设计图、装修效果图等）、预算明细表、施工方案等交给采购人审批同意后方可进行，装修所产生的一切费用由中选服务商负责。批准施工之日起，一个月内完成施工，若遇特殊情况需要延期，书面说明延期原因。</w:t>
      </w:r>
    </w:p>
    <w:p w14:paraId="032824C9">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4.3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必须选择具备装修、消防建设资质的公司进行施工，材料、工艺必须符合环保要求及国家相关要求，采购人有权对装修公司及施工材料、工艺、环节进行监督管理，一旦发现不符合要求或以次充好的情形，采购人有权要求中选服务商立即停工整改。因中选服务商原因造成一切装修事故或安全隐患，所有责任及损失由中选服务商自行承担，对采购人造成经济或其他损失的，采购人有权进行索赔。</w:t>
      </w:r>
    </w:p>
    <w:p w14:paraId="5FEBDFC3">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4.4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装修改造不得对原建筑构成损害及造成环境的不协调，合同期满中选服务商可以拆除商标标牌及其他属于中选服务商的可移动的设备设施，但房屋内的固定装卸设施（如隔墙、门窗、天花、地板、消防设施等）归采购人所有，中选服务商不得拆除或破坏。</w:t>
      </w:r>
    </w:p>
    <w:p w14:paraId="0B4198BA">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4.5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★中选服务商应制定装修期间的可行供餐方案，必须确保装修改造期间的正常供餐且应符合食品安全管理要求。</w:t>
      </w:r>
    </w:p>
    <w:p w14:paraId="48915EF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）信息系统要求</w:t>
      </w:r>
    </w:p>
    <w:p w14:paraId="0D17C48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应当具备订餐系统、IC卡消费系统功能开发、配置能力，IC卡具有移动刷卡、个人充值、兼容采购人现有门禁等功能，结算报表能区分采购人充值和个人充值。若需接入相关系统，费用由中选服务商承担。食堂信息系统应具备以下功能：</w:t>
      </w:r>
    </w:p>
    <w:p w14:paraId="48DCFAB1">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具有食堂APP网上订餐系统（提供该即将上线APP的相关材料，例如操作界面截图、运行方案等）。</w:t>
      </w:r>
    </w:p>
    <w:p w14:paraId="630F39D1">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具备专有订餐APP且可直接网上订餐。员工可通过手机号或员工代码登录APP，患者或家属通过手机号登录。APP网上订餐系统应可以接受患者信息（病区、姓名、住院号、床号）和员工信息（员工姓名、工号或手机号等）进行订餐，并出具菜品单价明细小票。</w:t>
      </w:r>
    </w:p>
    <w:p w14:paraId="03F27AB5">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从食堂APP网上订餐后，消费者可以查询所订餐食的物流进度，订单完成后还可以在APP网上订餐系统进行消费评价（具有图片上传功能）。</w:t>
      </w:r>
    </w:p>
    <w:p w14:paraId="524D86D1">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1.4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食堂APP网上订餐系统应有预约点餐（例如提前1天下单）、临时取消订单及增加订单的功能，还具有配送餐方式（有堂食、配送、自提或他人代取，如由他人代取，需设置核对确认环节如随机取餐码）等多种配送方式的选择。</w:t>
      </w:r>
    </w:p>
    <w:p w14:paraId="7207B6A4">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1.5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食堂信息化系统应具备员工在食堂消费时，系统应具有："按员工就餐补助规则，在系统中直接扣减补贴金额后，再从员工个人饭卡账号收取差额"的功能，无需再另行统计并集中发放补助。中选服务商应配合用餐补助规则的变化而调整。</w:t>
      </w:r>
    </w:p>
    <w:p w14:paraId="1ECF9B91">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1.6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食堂信息系统应具备移动刷卡系统或手机网上消费（绑定饭卡）功能，让无法到食堂现场就餐的员工在病房订餐也能享受到员工消费补助。APP可对全院员工进行科室分组。</w:t>
      </w:r>
    </w:p>
    <w:p w14:paraId="15C7CD65">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1.7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食堂信息系统应具备直接通过员工手机或个人账号进行网上充值和无卡手机扫码消费等功能，应具有通过识别员工出示的手机代码直接扣费（员工在食堂消费可享受对应的优惠折扣）的功能。</w:t>
      </w:r>
    </w:p>
    <w:p w14:paraId="145364CB">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1.8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如中选服务商消费方式为识别IC卡，所有卡均由中选服务商提供，由采购人录入信息、发放、补办、取消等。并且在合同期内负责饭卡、工牌（IC、ID一体卡）的制作。</w:t>
      </w:r>
    </w:p>
    <w:p w14:paraId="368439B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四</w:t>
      </w:r>
      <w:r>
        <w:rPr>
          <w:rFonts w:hint="eastAsia" w:ascii="宋体" w:hAnsi="宋体" w:eastAsia="宋体" w:cs="宋体"/>
          <w:b/>
          <w:bCs/>
          <w:sz w:val="24"/>
          <w:szCs w:val="24"/>
        </w:rPr>
        <w:t>）监控设备要求</w:t>
      </w:r>
    </w:p>
    <w:p w14:paraId="01A57D6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应该在正常营业前在食堂关键操作间及重点区域完成监控设备的安装，达到全方位监控，以确保对规范操作及食品质量安全进行24小时监督管理，存储时间达到30天以上。具体包括且不仅限于以下区域：各操作间（烹饪间、分餐区、洗消间等）、就餐区、收银处、各出入口。</w:t>
      </w:r>
    </w:p>
    <w:p w14:paraId="17A9DAD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应按照采购人主管部门的要求，在共同进行现场勘查确定后，按照在合理的位置安装监控设备。如在合同期内根据实际情况需加装监控设备的，中选服务商应按照要求安装，设备及安装等所有费用由中选服务商承担。</w:t>
      </w:r>
    </w:p>
    <w:p w14:paraId="2EEC59A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）履约保证金</w:t>
      </w:r>
    </w:p>
    <w:p w14:paraId="4DA6C9D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中选服务商中选后在签订正式合同之日起一个月内，向采购人缴纳5万元履约保证金，作为其全面履行合同义务（包括食品安全、服务质量、设备维护、人员管理等）的担保。若中选服务商发生违约行为，采购人有权扣减履约保证金。待中选服务商合同期满后，无发生突发事件或严重的不良事件的，等双方交接完毕并评价优秀后，采购人将无息退还履约保证金。</w:t>
      </w:r>
    </w:p>
    <w:p w14:paraId="554EE50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六</w:t>
      </w:r>
      <w:r>
        <w:rPr>
          <w:rFonts w:hint="eastAsia" w:ascii="宋体" w:hAnsi="宋体" w:eastAsia="宋体" w:cs="宋体"/>
          <w:b/>
          <w:bCs/>
          <w:sz w:val="24"/>
          <w:szCs w:val="24"/>
        </w:rPr>
        <w:t>）智慧餐厅系统</w:t>
      </w:r>
    </w:p>
    <w:p w14:paraId="2DB714F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中选服务商应该在正常营业时投入使用"智慧餐厅"系统，并实现以下功能：</w:t>
      </w:r>
    </w:p>
    <w:p w14:paraId="3207FD1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（1）自助称重，开放式一菜一价自由餐，自由、透明、公道、灵活。</w:t>
      </w:r>
    </w:p>
    <w:p w14:paraId="1CC8800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（2）智慧餐盘结算，高效、便捷的结算方式，减少就餐高峰期的排队情况。</w:t>
      </w:r>
    </w:p>
    <w:p w14:paraId="1D5F3AA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（3）提供便捷操作如下：</w:t>
      </w:r>
    </w:p>
    <w:p w14:paraId="4AAFA8D5">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关注公众号，自行注册充值；</w:t>
      </w:r>
    </w:p>
    <w:p w14:paraId="71669756">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取托盘，到绑卡机处刷脸绑定托盘；</w:t>
      </w:r>
    </w:p>
    <w:p w14:paraId="591D3601">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③</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绑定成功，拿取托盘到各菜盘处自行取菜；</w:t>
      </w:r>
    </w:p>
    <w:p w14:paraId="1E7C1AB4">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④</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完成取菜后托盘放在感应盘上面，自动生成订单；</w:t>
      </w:r>
    </w:p>
    <w:p w14:paraId="7D773661">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⑤</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自动余额结算。</w:t>
      </w:r>
    </w:p>
    <w:p w14:paraId="03DAD42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七</w:t>
      </w:r>
      <w:r>
        <w:rPr>
          <w:rFonts w:hint="eastAsia" w:ascii="宋体" w:hAnsi="宋体" w:eastAsia="宋体" w:cs="宋体"/>
          <w:b/>
          <w:bCs/>
          <w:sz w:val="24"/>
          <w:szCs w:val="24"/>
        </w:rPr>
        <w:t>）折旧要求</w:t>
      </w:r>
    </w:p>
    <w:p w14:paraId="2A3FBCA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1. </w:t>
      </w:r>
      <w:r>
        <w:rPr>
          <w:rFonts w:hint="eastAsia" w:ascii="宋体" w:hAnsi="宋体" w:eastAsia="宋体" w:cs="宋体"/>
          <w:sz w:val="24"/>
          <w:szCs w:val="24"/>
        </w:rPr>
        <w:t>★中选服务商所投入的装修、固定资产类设备设施（不包含餐具用具等低值易耗品）按6年计算折旧，后三年的折旧费用由下一服务期的中选服务商承担。中选服务商需向采购人提供固定资产类设备设施的目录清单、采购发票及其他相关凭证，采购人可委托第三方审计机构进行审计，最终确定拟进行折旧的资产清单和资产总额。合同期内，中选服务商负责折旧设备设施的保管、维修维护、更换，合同到期后，须将折旧目录清单内的所有设备设施移交给下一期服务商，如有缺失的，由中选服务商负责补充，或者将缺失的设备设施移出折旧资产清单。</w:t>
      </w:r>
    </w:p>
    <w:p w14:paraId="076144F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按加速折旧法中的"年数总和法"进行折旧，每年折旧率约为：第一年28.57%、第二年23.80%、第三年19.05%、第四年14.30%、第五年9.52%、第六年4.76%，从合同起始日开始计算折旧，折旧完后，所有设备设施产权归采购人所有。</w:t>
      </w:r>
    </w:p>
    <w:p w14:paraId="6EAC23DD">
      <w:pPr>
        <w:keepNext w:val="0"/>
        <w:keepLines w:val="0"/>
        <w:pageBreakBefore w:val="0"/>
        <w:widowControl w:val="0"/>
        <w:kinsoku/>
        <w:wordWrap/>
        <w:overflowPunct/>
        <w:topLinePunct w:val="0"/>
        <w:autoSpaceDE/>
        <w:autoSpaceDN/>
        <w:bidi w:val="0"/>
        <w:adjustRightInd/>
        <w:snapToGrid/>
        <w:spacing w:before="181" w:beforeLines="5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四、服务要求</w:t>
      </w:r>
    </w:p>
    <w:p w14:paraId="7AE6796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（一）供餐模式</w:t>
      </w:r>
    </w:p>
    <w:p w14:paraId="1A5C7B4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供应"由消费者自选菜品"的供餐模式。每餐供应食品的种类应包括（但不限于）：粤菜、湘菜、川菜、粥、粉、面类和各类风味小吃等，并提供各种调味料如：糖、酱油、辣椒圈/酱等；午、晚餐米饭和例汤可无限添加，职工食堂不少于8个菜品。</w:t>
      </w:r>
    </w:p>
    <w:p w14:paraId="068DB68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按照采购人的要求，需要提供不少于以下的餐品类型（必要时主管部门协助制定相关的餐食标准）：</w:t>
      </w:r>
    </w:p>
    <w:p w14:paraId="45BA6671">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住院患者基本膳食；</w:t>
      </w:r>
    </w:p>
    <w:p w14:paraId="79DC9A8F">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住院患者特殊治疗膳食（低糖餐、减脂餐、流质等）；</w:t>
      </w:r>
    </w:p>
    <w:p w14:paraId="5464BD53">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住院产妇月子餐；</w:t>
      </w:r>
    </w:p>
    <w:p w14:paraId="5A3B14F6">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体检餐（采购人指定体检餐标，中选服务商按需进行供应）；</w:t>
      </w:r>
    </w:p>
    <w:p w14:paraId="6145A1DB">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专家餐（40元餐标，供AB餐选择）；</w:t>
      </w:r>
    </w:p>
    <w:p w14:paraId="3CF1B436">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职工的基本膳食（早餐、午餐、晚餐）；进修生、实习生、后勤服务公司员工及其他工作人员的餐费按九折计算；</w:t>
      </w:r>
    </w:p>
    <w:p w14:paraId="6471D534">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患者的基本膳食（早餐、午餐、晚餐），不限于快餐、煲仔饭、汤粉面等；</w:t>
      </w:r>
    </w:p>
    <w:p w14:paraId="1CF748C5">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特殊地方风味膳食；</w:t>
      </w:r>
    </w:p>
    <w:p w14:paraId="4FCD1274">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2.9</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定型包装食品（牛奶类，销售价格不高于附近连锁商店价格）。</w:t>
      </w:r>
    </w:p>
    <w:p w14:paraId="1A2432F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打包送餐额外加收打包费不得高于1元，早中晚餐外卖配送不设置起送门槛。</w:t>
      </w:r>
    </w:p>
    <w:p w14:paraId="4699FC0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★（二）菜品供应方案</w:t>
      </w:r>
    </w:p>
    <w:p w14:paraId="2C227F3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响应服务商需在供应方案中列明所供应的早餐的每个品种菜式、午晚餐的荤菜、半荤菜以及素菜的菜式、价格以及供应方案，至少包含以下内容：</w:t>
      </w:r>
    </w:p>
    <w:p w14:paraId="1F4364A1">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计划供应的早餐所有品种菜式名录；</w:t>
      </w:r>
    </w:p>
    <w:p w14:paraId="27633536">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计划供应的所有荤菜菜式名录；</w:t>
      </w:r>
    </w:p>
    <w:p w14:paraId="73F162F6">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③</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计划供应的所有半荤菜菜式名录；</w:t>
      </w:r>
    </w:p>
    <w:p w14:paraId="54F826AA">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④</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计划供应的所有素菜菜式名录；</w:t>
      </w:r>
    </w:p>
    <w:p w14:paraId="23CB1FF7">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⑤</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计划供应的例汤名录；</w:t>
      </w:r>
    </w:p>
    <w:p w14:paraId="17F0155B">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计划供应的煲仔饭名录；</w:t>
      </w:r>
    </w:p>
    <w:p w14:paraId="3EB3F5BC">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⑦</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计划供应的炖汤名录；</w:t>
      </w:r>
    </w:p>
    <w:p w14:paraId="11E63937">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⑧</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计划供应的地方特色风味餐名录（如北方特色面食、水煮鱼/牛肉等）；</w:t>
      </w:r>
    </w:p>
    <w:p w14:paraId="6A131F27">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⑨</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每天供应的菜式计划表（按照每周为一个周期进行计划）。</w:t>
      </w:r>
    </w:p>
    <w:p w14:paraId="2B000F5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（三）价格管理</w:t>
      </w:r>
    </w:p>
    <w:p w14:paraId="4DBA84F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为产妇、患者及家属提供的餐饮食品价格不得高于市场同等水平，中选服务商在投标时提供供应患者及家属的菜品定价报价（包含但不限于：点心类、煲仔饭类、粥粉面类、快餐、月子餐套餐、低糖餐等）。具体价格可根据市场的价格浮动，由中选服务商提出书面申请，经双方核定确认后方可浮动，中选服务商不得私自调整价格。</w:t>
      </w:r>
    </w:p>
    <w:p w14:paraId="2BED295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职工餐（含职工、规培、实习人员、进修人员、研究生等）的菜品单价根据市场菜品单价。</w:t>
      </w:r>
    </w:p>
    <w:p w14:paraId="5DE2747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需配合和接受采购人对进货价格、成本、会计账单等台账资料的监督和管理，采购人有权指定第三方审计机构对食堂的经营状况进行审计。采购人享有食堂运营系统的数据报表监管权限，中选服务商需开放系统权限给采购人，采购人可随时查阅以下数据：营业收入、经营成本、实时食材溯源情况、库存数量、产品销量、收据等，以上数据不得弄虚作假。如发现有偷水、偷电、偷汽等行为采购人有权按当月应付费的10倍扣罚。</w:t>
      </w:r>
    </w:p>
    <w:p w14:paraId="251D176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中选服务商每月10号前需向采购人提交食堂上一月份的经营报表。</w:t>
      </w:r>
    </w:p>
    <w:p w14:paraId="26EA649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（四）消费结算方式</w:t>
      </w:r>
    </w:p>
    <w:p w14:paraId="06B4F46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员工（含实习生、进修生、其他工作人员）就餐时以个人饭卡或信息代码进行结算的方式结算，在职员工不得收取现金。其他员工（含实习生、进修生、其他工作人员）在就餐按菜品定价价格结算，包餐费用以签单形式支付，患者、家属及外来人员就餐以现金、微信等方式结算。采购人需要支付的费用，当月的费用在下一个月下旬凭发票支付。</w:t>
      </w:r>
    </w:p>
    <w:p w14:paraId="5FEE942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（五）送餐服务</w:t>
      </w:r>
    </w:p>
    <w:p w14:paraId="5AF91B2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应为患者及家属、值班员工、特殊需求的员工和患者及家属、特殊科室（手术室、ICU、新生儿、产房、介入室、胃肠镜室等）提供电话/微信订餐、上门订餐、APP订餐等多种方式，外卖订餐时间与就餐时间一致，并提供送餐上门服务及各类应急供餐服务，要求送餐时间为45分钟内送达。有专人负责订餐工作，一日三餐上门订餐服务需在规定时间内由专人到科室。</w:t>
      </w:r>
    </w:p>
    <w:p w14:paraId="7C66E7A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（六）供餐质量</w:t>
      </w:r>
    </w:p>
    <w:p w14:paraId="4119591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中选服务商应保证一日三餐正点、足量（每个品种应设定标准份量）、优质、新鲜、品种多样、价格合理，能适应不同口味的职工和患者及家属就餐。</w:t>
      </w:r>
    </w:p>
    <w:p w14:paraId="1CB88A6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中选服务商供应的食物应能满足每天的用餐需求，在供餐时间不得出现食物供应不足的现象；严禁出售变质、变味以及剩饭菜。</w:t>
      </w:r>
    </w:p>
    <w:p w14:paraId="28A3310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经营期间若收到餐品中出现异物或出餐错误的反馈，需退换餐品或补差价处理。</w:t>
      </w:r>
    </w:p>
    <w:p w14:paraId="0A3F2B0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中选服务商可提供已粗加工的半成品新鲜食材（如：切配好的蔬菜、新鲜腌制的肉片、已发酵好的面包胚等）。</w:t>
      </w:r>
    </w:p>
    <w:p w14:paraId="7239FB0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▲除以上要求的内容，响应服务商可在遴选文件中提供额外增值服务。</w:t>
      </w:r>
    </w:p>
    <w:p w14:paraId="0654C4B6">
      <w:pPr>
        <w:keepNext w:val="0"/>
        <w:keepLines w:val="0"/>
        <w:pageBreakBefore w:val="0"/>
        <w:widowControl w:val="0"/>
        <w:kinsoku/>
        <w:wordWrap/>
        <w:overflowPunct/>
        <w:topLinePunct w:val="0"/>
        <w:autoSpaceDE/>
        <w:autoSpaceDN/>
        <w:bidi w:val="0"/>
        <w:adjustRightInd/>
        <w:snapToGrid/>
        <w:spacing w:before="181" w:beforeLines="5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五、饮食质量要求</w:t>
      </w:r>
    </w:p>
    <w:p w14:paraId="1F5D21A9">
      <w:pPr>
        <w:keepNext w:val="0"/>
        <w:keepLines w:val="0"/>
        <w:pageBreakBefore w:val="0"/>
        <w:widowControl w:val="0"/>
        <w:kinsoku/>
        <w:wordWrap/>
        <w:overflowPunct/>
        <w:topLinePunct w:val="0"/>
        <w:autoSpaceDE/>
        <w:autoSpaceDN/>
        <w:bidi w:val="0"/>
        <w:adjustRightInd/>
        <w:snapToGrid/>
        <w:spacing w:before="109" w:beforeLines="3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（一）食材采购基本要求</w:t>
      </w:r>
    </w:p>
    <w:p w14:paraId="54D86F3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所有的食品、副食品及配料等必须由正常渠道购进，确保食材安全、无农药、无添加、确保最佳产地、确保非转基因，中选服务商在采购粮油、肉蛋类、禽类、鱼类、蔬菜类、副食品类、调味类、食品添加剂等原料和物品必须符合《中华人民共和国食品安全法》、《中华人民共和国动物防疫法》等相关规定，符合卫生标准和营养要求。</w:t>
      </w:r>
    </w:p>
    <w:p w14:paraId="3D8B19F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设有专职采购员，每次采购严格做好进货验收和索票索证工作，建立采购台账（必须专人规范填写）、索证验收台账、供应商资质证明台账等，索取供应商有效的资质、检验检测合格证明等文件，包括但不仅限于《营业执照》、《食品卫生许可证》、《产品质量检验报告》、《出厂检验报告》、《动物检疫合格证明》、《肉品品质检验合格证》、《送货清单》、《购货凭据》；饮料、乳制品、调味品等食品每批次的检验合格证或检验单；蔬菜等散装农副食品及鱼类等鲜活产品检验合格证明；一次性餐具检验合格证；清洁剂检验合格证明等。随时接受采购人及上级部门的检查。</w:t>
      </w:r>
    </w:p>
    <w:p w14:paraId="7AE5A9E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保证每天每餐的饮食质量、份量、菜式，做到食材新鲜、饭熟菜香，营养搭配科学合理，调配比例均匀，味道可口，保证营养。</w:t>
      </w:r>
    </w:p>
    <w:p w14:paraId="0341676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设专门人员负责留样，每餐食品按相关规定的份量、时间、保存条件等做好留样工作。至少保存48小时，留样份量每样至少100克，在5摄氏度以下冷藏专柜专放并按要求做好食品留样管理工作等，具体根据相关规定实施。</w:t>
      </w:r>
    </w:p>
    <w:p w14:paraId="76D31F9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从食品原材料入手，建立食品安全追溯体系。所有肉类、蔬菜类、粮油类等由具备供应资格、信誉良好的供应商提供可追溯食品，不能采用散装原料，实行集中统一采购或分大类集中采购，采用无公害食品。中选服务商应建立食品安全追溯体系，确保食品原材料进货渠道正规，供应商证件齐全，并纳入国家食品安全追溯体系管理。</w:t>
      </w:r>
    </w:p>
    <w:p w14:paraId="329A36B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所有食品供应商须经采购人审核同意，并接受采购人监管，对服务、供货质量等不能达到采购人要求的供应商，采购人有权提出更换，中选服务商必须配合执行。</w:t>
      </w:r>
    </w:p>
    <w:p w14:paraId="2A8C4A8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设置食品安全信息公示栏，公示食品安全信息，员工健康信息（健康证等）、经营主体责任人、监管部门责任人及电话、微信服务综合满意度调查或意见箱等，接受员工监督。</w:t>
      </w:r>
    </w:p>
    <w:p w14:paraId="79B862DD">
      <w:pPr>
        <w:keepNext w:val="0"/>
        <w:keepLines w:val="0"/>
        <w:pageBreakBefore w:val="0"/>
        <w:widowControl w:val="0"/>
        <w:kinsoku/>
        <w:wordWrap/>
        <w:overflowPunct/>
        <w:topLinePunct w:val="0"/>
        <w:autoSpaceDE/>
        <w:autoSpaceDN/>
        <w:bidi w:val="0"/>
        <w:adjustRightInd/>
        <w:snapToGrid/>
        <w:spacing w:before="109" w:beforeLines="3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（二）重点食品质量要求</w:t>
      </w:r>
    </w:p>
    <w:p w14:paraId="0D46AC5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采购人有权指定食品品牌、质量，中选服务商须无条件配合，部分重点食品要求如下：</w:t>
      </w:r>
    </w:p>
    <w:p w14:paraId="3BB59B1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大米、面粉质量标准：</w:t>
      </w:r>
    </w:p>
    <w:p w14:paraId="0DF7E863">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1）须采购具有新食品生产编号的产品。标明加工厂名称、品名、生产日期、保质期或保存期，供货时的剩余保质期不少于三分之二，质量等级、产品标准号、产品合格证，质量符合大米国家标准与国家粮食卫生标准。</w:t>
      </w:r>
    </w:p>
    <w:p w14:paraId="12BDBA0D">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具有固有色泽和香味，无污染、无虫害，色泽、气味、口味正常，无异味或霉味，无虫蛀结块挂丝或杂质异物等。面粉类要新鲜、色泽呈现乳白色或微黄色、手感细腻、颗粒均匀，自然浓厚的麦香味，手抓后自然流出，松开手不成团，用它制成的成品和馒头有麦香味、香甜入口不粘牙，符合国家食品卫生标准。</w:t>
      </w:r>
    </w:p>
    <w:p w14:paraId="1D1B6F5D">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（3）▲粮食品牌参照标准：须选用获得食品生产许可证的正规厂家生产的产品，产品等级达到一级或以上标准，品牌须为市场上具有良好口碑和品质保证的知名品牌，提供产品合格证和检验报告。</w:t>
      </w:r>
    </w:p>
    <w:p w14:paraId="4B74AAE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食用油、酱油：</w:t>
      </w:r>
    </w:p>
    <w:p w14:paraId="46376F85">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（1）须采购具有新食品生产编号的产品。外包装完好，标明品名、厂名、重量、生产日期、保质期或保存期、执行标准等，剩余保质期不少于三分之二，具有产品合格证。</w:t>
      </w:r>
    </w:p>
    <w:p w14:paraId="1985757B">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（2）必须提供进货渠道及提供当地食品卫生监督部门抽样检测报告。</w:t>
      </w:r>
    </w:p>
    <w:p w14:paraId="35281CB4">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3）▲食油品牌参照标准：须选用获得食品生产许可证的正规厂家生产的产品，产品须符合国家食用油标准，品牌须为市场上具有良好口碑和品质保证的知名品牌。调味类品牌参照标准：须选用获得食品生产许可证的正规厂家生产的产品，品牌须为市场上具有良好口碑和品质保证的知名品牌。</w:t>
      </w:r>
    </w:p>
    <w:p w14:paraId="7642A53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▲调味料：味精、鸡精、鸡粉等建议不用或尽量少用。</w:t>
      </w:r>
    </w:p>
    <w:p w14:paraId="22D7373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食盐：符合食品安全卫生标准及营养要求。</w:t>
      </w:r>
    </w:p>
    <w:p w14:paraId="7B3E330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肉类：生鲜肉类经过屠宰卫生检疫，符合国家食品部门的有关标准，肉类保证来源于正规肉联厂，供货时提交肉联厂的验收单及当批次有效的动物检疫合格证复印件（原件备查）和分割肉凭证，鲜肉确保每日新鲜、无异味及变质。肉色根据种类的不同而呈现其特有的颜色，如猪肉鲜红色、牛羊肉深红色、鸡肉淡红色、鸭肉深红色等，且都有光泽、富有弹性，闻起来没有异味者（不得采购冷冻生肉僵尸肉）。肉制品包装完整，有完整标识，标明品名、内容物名称、重量或数量、食品添加物、制造厂商名称、地址、保存期限或保存条件等信息。保证鱼肉类每天新鲜购入及配送。</w:t>
      </w:r>
    </w:p>
    <w:p w14:paraId="2D6368A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蔬菜：蔬菜形态饱满、色泽新鲜、无腐烂变质、无泥沙、无老梗、无老叶及无农药超标等情况。</w:t>
      </w:r>
    </w:p>
    <w:p w14:paraId="79ADB52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干货：保持其固有的鲜美味道，有干货的本味。动物类、植物类、菌类、藻类，能从味觉上分辨新鲜及优品；干爽没有霉迹；色泽鲜明，没有虫蛀与杂质。</w:t>
      </w:r>
    </w:p>
    <w:p w14:paraId="4C192E3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猪、牛肉类、家禽类，肉制品，水产品须按照《中华人民共和国食品安全法》的要求提供食品生产许可证、检疫合格证明、产品合格证等资料。蔬菜类需要根据《中华人民共和国农产品质量安全法》等相关法律法规，产品必须符合安全卫生标准，蔬菜中污染物残留量、农药的最大残留限量以及其他有害物质含量都必须控制在国家规定的范围内。</w:t>
      </w:r>
    </w:p>
    <w:p w14:paraId="468D8845">
      <w:pPr>
        <w:keepNext w:val="0"/>
        <w:keepLines w:val="0"/>
        <w:pageBreakBefore w:val="0"/>
        <w:widowControl w:val="0"/>
        <w:kinsoku/>
        <w:wordWrap/>
        <w:overflowPunct/>
        <w:topLinePunct w:val="0"/>
        <w:autoSpaceDE/>
        <w:autoSpaceDN/>
        <w:bidi w:val="0"/>
        <w:adjustRightInd/>
        <w:snapToGrid/>
        <w:spacing w:before="109" w:beforeLines="3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（三）供应商资质证明要求</w:t>
      </w:r>
    </w:p>
    <w:p w14:paraId="7EBA9A92">
      <w:pPr>
        <w:keepNext w:val="0"/>
        <w:keepLines w:val="0"/>
        <w:pageBreakBefore w:val="0"/>
        <w:widowControl w:val="0"/>
        <w:kinsoku/>
        <w:wordWrap/>
        <w:overflowPunct/>
        <w:topLinePunct w:val="0"/>
        <w:autoSpaceDE/>
        <w:autoSpaceDN/>
        <w:bidi w:val="0"/>
        <w:adjustRightInd/>
        <w:snapToGrid/>
        <w:spacing w:after="73" w:afterLines="20" w:line="440" w:lineRule="exact"/>
        <w:textAlignment w:val="auto"/>
        <w:rPr>
          <w:rFonts w:hint="eastAsia" w:ascii="宋体" w:hAnsi="宋体" w:eastAsia="宋体" w:cs="宋体"/>
          <w:sz w:val="24"/>
          <w:szCs w:val="24"/>
        </w:rPr>
      </w:pPr>
      <w:r>
        <w:rPr>
          <w:rFonts w:hint="eastAsia" w:ascii="宋体" w:hAnsi="宋体" w:eastAsia="宋体" w:cs="宋体"/>
          <w:sz w:val="24"/>
          <w:szCs w:val="24"/>
        </w:rPr>
        <w:t>生产（供应）企业资质证明（首次供应时提供）：</w:t>
      </w:r>
    </w:p>
    <w:tbl>
      <w:tblPr>
        <w:tblStyle w:val="11"/>
        <w:tblW w:w="99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85" w:type="dxa"/>
          <w:left w:w="85" w:type="dxa"/>
          <w:bottom w:w="85" w:type="dxa"/>
          <w:right w:w="85" w:type="dxa"/>
        </w:tblCellMar>
      </w:tblPr>
      <w:tblGrid>
        <w:gridCol w:w="4422"/>
        <w:gridCol w:w="5501"/>
      </w:tblGrid>
      <w:tr w14:paraId="08684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blHeader/>
        </w:trPr>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DE15A4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类别</w:t>
            </w:r>
          </w:p>
        </w:tc>
        <w:tc>
          <w:tcPr>
            <w:tcW w:w="5501"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51D494D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资质证明</w:t>
            </w:r>
          </w:p>
        </w:tc>
      </w:tr>
      <w:tr w14:paraId="39031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58E1038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畜禽冻肉类</w:t>
            </w:r>
          </w:p>
        </w:tc>
        <w:tc>
          <w:tcPr>
            <w:tcW w:w="5501"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7BF732E4">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sz w:val="21"/>
                <w:szCs w:val="21"/>
              </w:rPr>
            </w:pPr>
            <w:r>
              <w:rPr>
                <w:rFonts w:hint="eastAsia" w:ascii="宋体" w:hAnsi="宋体" w:eastAsia="宋体" w:cs="宋体"/>
                <w:sz w:val="21"/>
                <w:szCs w:val="21"/>
              </w:rPr>
              <w:t>《企业法人营业执照》、《动物防疫合格证》、《食品生产许可证》或《食品经营许可证》或含同类意思表述证书。如供应商的许可证书与营业执照合并办理的，提供扫描营业执照二维码后的有效备案信息截图。</w:t>
            </w:r>
          </w:p>
        </w:tc>
      </w:tr>
      <w:tr w14:paraId="01B2E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6706506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肉制品</w:t>
            </w:r>
          </w:p>
        </w:tc>
        <w:tc>
          <w:tcPr>
            <w:tcW w:w="5501"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0AE607A">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sz w:val="21"/>
                <w:szCs w:val="21"/>
              </w:rPr>
            </w:pPr>
            <w:r>
              <w:rPr>
                <w:rFonts w:hint="eastAsia" w:ascii="宋体" w:hAnsi="宋体" w:eastAsia="宋体" w:cs="宋体"/>
                <w:sz w:val="21"/>
                <w:szCs w:val="21"/>
              </w:rPr>
              <w:t>《企业法人营业执照》、《食品生产许可证》或《食品经营许可证》或含同类意思表述证书。如供应商的许可证书与营业执照合并办理的，提供扫描营业执照二维码后的有效备案信息截图。</w:t>
            </w:r>
          </w:p>
        </w:tc>
      </w:tr>
      <w:tr w14:paraId="27198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23" w:hRule="atLeast"/>
        </w:trPr>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515DC66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水产品</w:t>
            </w:r>
          </w:p>
        </w:tc>
        <w:tc>
          <w:tcPr>
            <w:tcW w:w="5501"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67149F6A">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sz w:val="21"/>
                <w:szCs w:val="21"/>
              </w:rPr>
            </w:pPr>
            <w:r>
              <w:rPr>
                <w:rFonts w:hint="eastAsia" w:ascii="宋体" w:hAnsi="宋体" w:eastAsia="宋体" w:cs="宋体"/>
                <w:sz w:val="21"/>
                <w:szCs w:val="21"/>
              </w:rPr>
              <w:t>《企业法人营业执照》</w:t>
            </w:r>
          </w:p>
        </w:tc>
      </w:tr>
    </w:tbl>
    <w:p w14:paraId="140B20BE">
      <w:pPr>
        <w:keepNext w:val="0"/>
        <w:keepLines w:val="0"/>
        <w:pageBreakBefore w:val="0"/>
        <w:widowControl w:val="0"/>
        <w:kinsoku/>
        <w:wordWrap/>
        <w:overflowPunct/>
        <w:topLinePunct w:val="0"/>
        <w:autoSpaceDE/>
        <w:autoSpaceDN/>
        <w:bidi w:val="0"/>
        <w:adjustRightInd/>
        <w:snapToGrid/>
        <w:spacing w:before="109" w:beforeLines="30" w:after="73" w:afterLines="2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（四）新鲜肉类票证要求</w:t>
      </w:r>
    </w:p>
    <w:tbl>
      <w:tblPr>
        <w:tblStyle w:val="11"/>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85" w:type="dxa"/>
          <w:left w:w="85" w:type="dxa"/>
          <w:bottom w:w="85" w:type="dxa"/>
          <w:right w:w="85" w:type="dxa"/>
        </w:tblCellMar>
      </w:tblPr>
      <w:tblGrid>
        <w:gridCol w:w="2948"/>
        <w:gridCol w:w="2948"/>
        <w:gridCol w:w="4060"/>
      </w:tblGrid>
      <w:tr w14:paraId="7207C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blHeader/>
        </w:trPr>
        <w:tc>
          <w:tcPr>
            <w:tcW w:w="2948"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0EED5DA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货物类别</w:t>
            </w:r>
          </w:p>
        </w:tc>
        <w:tc>
          <w:tcPr>
            <w:tcW w:w="2948"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5E52F11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产品票证名称</w:t>
            </w:r>
          </w:p>
        </w:tc>
        <w:tc>
          <w:tcPr>
            <w:tcW w:w="406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4888579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验收索证要求</w:t>
            </w:r>
          </w:p>
        </w:tc>
      </w:tr>
      <w:tr w14:paraId="298A2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c>
          <w:tcPr>
            <w:tcW w:w="2948"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146994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猪肉类</w:t>
            </w:r>
          </w:p>
        </w:tc>
        <w:tc>
          <w:tcPr>
            <w:tcW w:w="2948"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78434A0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《动物产品检疫合格证》</w:t>
            </w:r>
          </w:p>
        </w:tc>
        <w:tc>
          <w:tcPr>
            <w:tcW w:w="406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71A12C49">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sz w:val="21"/>
                <w:szCs w:val="21"/>
              </w:rPr>
            </w:pPr>
            <w:r>
              <w:rPr>
                <w:rFonts w:hint="eastAsia" w:ascii="宋体" w:hAnsi="宋体" w:eastAsia="宋体" w:cs="宋体"/>
                <w:sz w:val="21"/>
                <w:szCs w:val="21"/>
              </w:rPr>
              <w:t>要求有生产名称、地址、产品名称、产地和目的地，官方兽医签字、盖检验检疫专用章。</w:t>
            </w:r>
          </w:p>
        </w:tc>
      </w:tr>
      <w:tr w14:paraId="32F95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c>
          <w:tcPr>
            <w:tcW w:w="2948"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364B48D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猪肉类</w:t>
            </w:r>
          </w:p>
        </w:tc>
        <w:tc>
          <w:tcPr>
            <w:tcW w:w="2948"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902A98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《畜产品检验合格证》</w:t>
            </w:r>
          </w:p>
        </w:tc>
        <w:tc>
          <w:tcPr>
            <w:tcW w:w="406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6106E948">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sz w:val="21"/>
                <w:szCs w:val="21"/>
              </w:rPr>
            </w:pPr>
            <w:r>
              <w:rPr>
                <w:rFonts w:hint="eastAsia" w:ascii="宋体" w:hAnsi="宋体" w:eastAsia="宋体" w:cs="宋体"/>
                <w:sz w:val="21"/>
                <w:szCs w:val="21"/>
              </w:rPr>
              <w:t>有委托方、送往单位、屠宰场检验专用章、出厂时间和单号。</w:t>
            </w:r>
          </w:p>
        </w:tc>
      </w:tr>
      <w:tr w14:paraId="1BC9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c>
          <w:tcPr>
            <w:tcW w:w="2948"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10F161C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三鸟类</w:t>
            </w:r>
          </w:p>
        </w:tc>
        <w:tc>
          <w:tcPr>
            <w:tcW w:w="2948"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1FECDFE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《动物产品检疫合格证》</w:t>
            </w:r>
          </w:p>
        </w:tc>
        <w:tc>
          <w:tcPr>
            <w:tcW w:w="406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114D1065">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sz w:val="21"/>
                <w:szCs w:val="21"/>
              </w:rPr>
            </w:pPr>
            <w:r>
              <w:rPr>
                <w:rFonts w:hint="eastAsia" w:ascii="宋体" w:hAnsi="宋体" w:eastAsia="宋体" w:cs="宋体"/>
                <w:sz w:val="21"/>
                <w:szCs w:val="21"/>
              </w:rPr>
              <w:t>要求有生产名称、地址、产品名称、产地和目的地，官方兽医签字、盖检验检疫专用章。</w:t>
            </w:r>
          </w:p>
        </w:tc>
      </w:tr>
      <w:tr w14:paraId="71911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c>
          <w:tcPr>
            <w:tcW w:w="2948"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440C32F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牛肉、羊肉</w:t>
            </w:r>
          </w:p>
        </w:tc>
        <w:tc>
          <w:tcPr>
            <w:tcW w:w="2948"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09CF03A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《动物产品检疫合格证》</w:t>
            </w:r>
          </w:p>
        </w:tc>
        <w:tc>
          <w:tcPr>
            <w:tcW w:w="406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0F703E03">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sz w:val="21"/>
                <w:szCs w:val="21"/>
              </w:rPr>
            </w:pPr>
            <w:r>
              <w:rPr>
                <w:rFonts w:hint="eastAsia" w:ascii="宋体" w:hAnsi="宋体" w:eastAsia="宋体" w:cs="宋体"/>
                <w:sz w:val="21"/>
                <w:szCs w:val="21"/>
              </w:rPr>
              <w:t>要求有生产名称、地址、产品名称、产地和目的地，官方兽医签字、盖检验检疫专用章。</w:t>
            </w:r>
          </w:p>
        </w:tc>
      </w:tr>
      <w:tr w14:paraId="5A7C8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c>
          <w:tcPr>
            <w:tcW w:w="2948"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57B305E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水产品</w:t>
            </w:r>
          </w:p>
        </w:tc>
        <w:tc>
          <w:tcPr>
            <w:tcW w:w="2948"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509FE46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贮存地的出入库检疫证明</w:t>
            </w:r>
          </w:p>
        </w:tc>
        <w:tc>
          <w:tcPr>
            <w:tcW w:w="4060"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F09B745">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sz w:val="21"/>
                <w:szCs w:val="21"/>
              </w:rPr>
            </w:pPr>
            <w:r>
              <w:rPr>
                <w:rFonts w:hint="eastAsia" w:ascii="宋体" w:hAnsi="宋体" w:eastAsia="宋体" w:cs="宋体"/>
                <w:sz w:val="21"/>
                <w:szCs w:val="21"/>
              </w:rPr>
              <w:t>水产品成型标准为个体单独冷冻成型，交货时提供本批次产品的出厂（库）检验合格证，随车同行。</w:t>
            </w:r>
          </w:p>
        </w:tc>
      </w:tr>
    </w:tbl>
    <w:p w14:paraId="4720929D">
      <w:pPr>
        <w:keepNext w:val="0"/>
        <w:keepLines w:val="0"/>
        <w:pageBreakBefore w:val="0"/>
        <w:widowControl w:val="0"/>
        <w:kinsoku/>
        <w:wordWrap/>
        <w:overflowPunct/>
        <w:topLinePunct w:val="0"/>
        <w:autoSpaceDE/>
        <w:autoSpaceDN/>
        <w:bidi w:val="0"/>
        <w:adjustRightInd/>
        <w:snapToGrid/>
        <w:spacing w:before="109" w:beforeLines="30" w:after="73" w:afterLines="2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（五）蔬菜卫生质量要求</w:t>
      </w:r>
    </w:p>
    <w:tbl>
      <w:tblPr>
        <w:tblStyle w:val="11"/>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4422"/>
        <w:gridCol w:w="5534"/>
      </w:tblGrid>
      <w:tr w14:paraId="0BFAA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blHeader/>
        </w:trPr>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36C78F5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项目</w:t>
            </w:r>
          </w:p>
        </w:tc>
        <w:tc>
          <w:tcPr>
            <w:tcW w:w="5534"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CB5938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指标（mg/kg）</w:t>
            </w:r>
          </w:p>
        </w:tc>
      </w:tr>
      <w:tr w14:paraId="65C96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06F1DCD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甲胺磷</w:t>
            </w:r>
          </w:p>
        </w:tc>
        <w:tc>
          <w:tcPr>
            <w:tcW w:w="5534"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67D9743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不得检出</w:t>
            </w:r>
          </w:p>
        </w:tc>
      </w:tr>
      <w:tr w14:paraId="2FB85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3754CAF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甲拌磷</w:t>
            </w:r>
          </w:p>
        </w:tc>
        <w:tc>
          <w:tcPr>
            <w:tcW w:w="5534"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8DA37D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不得检出</w:t>
            </w:r>
          </w:p>
        </w:tc>
      </w:tr>
      <w:tr w14:paraId="7FC1E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3046F2A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氧化乐果</w:t>
            </w:r>
          </w:p>
        </w:tc>
        <w:tc>
          <w:tcPr>
            <w:tcW w:w="5534"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505DF6E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不得检出</w:t>
            </w:r>
          </w:p>
        </w:tc>
      </w:tr>
      <w:tr w14:paraId="31E5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02086E8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甲基对硫磷</w:t>
            </w:r>
          </w:p>
        </w:tc>
        <w:tc>
          <w:tcPr>
            <w:tcW w:w="5534"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3D0DB8E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不得检出</w:t>
            </w:r>
          </w:p>
        </w:tc>
      </w:tr>
      <w:tr w14:paraId="4550A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4D0B9F1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呋喃丹</w:t>
            </w:r>
          </w:p>
        </w:tc>
        <w:tc>
          <w:tcPr>
            <w:tcW w:w="5534"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116C3BB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不得检出</w:t>
            </w:r>
          </w:p>
        </w:tc>
      </w:tr>
      <w:tr w14:paraId="46E5B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7DBF022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百菌清</w:t>
            </w:r>
          </w:p>
        </w:tc>
        <w:tc>
          <w:tcPr>
            <w:tcW w:w="5534"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7C1BEC7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≤1.0</w:t>
            </w:r>
          </w:p>
        </w:tc>
      </w:tr>
      <w:tr w14:paraId="17910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18514B3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多菌灵</w:t>
            </w:r>
          </w:p>
        </w:tc>
        <w:tc>
          <w:tcPr>
            <w:tcW w:w="5534"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7FE59E0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≤0.5</w:t>
            </w:r>
          </w:p>
        </w:tc>
      </w:tr>
      <w:tr w14:paraId="3774F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342CB94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汞（以Hg计）</w:t>
            </w:r>
          </w:p>
        </w:tc>
        <w:tc>
          <w:tcPr>
            <w:tcW w:w="5534"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024CDE2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≤0.01</w:t>
            </w:r>
          </w:p>
        </w:tc>
      </w:tr>
      <w:tr w14:paraId="766A0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6EC8716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铅（以Pb计）</w:t>
            </w:r>
          </w:p>
        </w:tc>
        <w:tc>
          <w:tcPr>
            <w:tcW w:w="5534"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47963F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≤0.2</w:t>
            </w:r>
          </w:p>
        </w:tc>
      </w:tr>
      <w:tr w14:paraId="5B6DA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0AB2137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砷（以As计）</w:t>
            </w:r>
          </w:p>
        </w:tc>
        <w:tc>
          <w:tcPr>
            <w:tcW w:w="5534"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5896BFB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≤0.5</w:t>
            </w:r>
          </w:p>
        </w:tc>
      </w:tr>
      <w:tr w14:paraId="460F9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1927CDA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氟（以F计）</w:t>
            </w:r>
          </w:p>
        </w:tc>
        <w:tc>
          <w:tcPr>
            <w:tcW w:w="5534"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7A411C4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≤0.5</w:t>
            </w:r>
          </w:p>
        </w:tc>
      </w:tr>
      <w:tr w14:paraId="0211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666CC85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硝酸盐（以NaNO3计）</w:t>
            </w:r>
          </w:p>
        </w:tc>
        <w:tc>
          <w:tcPr>
            <w:tcW w:w="5534"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368A1F1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瓜果类≤600；叶菜根茎类≤1200</w:t>
            </w:r>
          </w:p>
        </w:tc>
      </w:tr>
      <w:tr w14:paraId="40CEE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422"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43ADD12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亚硝酸盐（以NaNO2计）</w:t>
            </w:r>
          </w:p>
        </w:tc>
        <w:tc>
          <w:tcPr>
            <w:tcW w:w="5534" w:type="dxa"/>
            <w:tcBorders>
              <w:top w:val="single" w:color="000000" w:sz="4" w:space="0"/>
              <w:left w:val="single" w:color="000000" w:sz="4" w:space="0"/>
              <w:bottom w:val="single" w:color="000000" w:sz="4" w:space="0"/>
              <w:right w:val="single" w:color="000000" w:sz="4" w:space="0"/>
            </w:tcBorders>
            <w:tcMar>
              <w:top w:w="60" w:type="dxa"/>
              <w:left w:w="100" w:type="dxa"/>
              <w:bottom w:w="60" w:type="dxa"/>
              <w:right w:w="100" w:type="dxa"/>
            </w:tcMar>
            <w:vAlign w:val="center"/>
          </w:tcPr>
          <w:p w14:paraId="214A349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r>
    </w:tbl>
    <w:p w14:paraId="3EEEA80C">
      <w:pPr>
        <w:keepNext w:val="0"/>
        <w:keepLines w:val="0"/>
        <w:pageBreakBefore w:val="0"/>
        <w:widowControl w:val="0"/>
        <w:kinsoku/>
        <w:wordWrap/>
        <w:overflowPunct/>
        <w:topLinePunct w:val="0"/>
        <w:autoSpaceDE/>
        <w:autoSpaceDN/>
        <w:bidi w:val="0"/>
        <w:adjustRightInd/>
        <w:snapToGrid/>
        <w:spacing w:before="109" w:beforeLines="30" w:line="440" w:lineRule="exact"/>
        <w:textAlignment w:val="auto"/>
        <w:rPr>
          <w:rFonts w:hint="eastAsia" w:ascii="宋体" w:hAnsi="宋体" w:eastAsia="宋体" w:cs="宋体"/>
          <w:sz w:val="24"/>
          <w:szCs w:val="24"/>
        </w:rPr>
      </w:pPr>
      <w:r>
        <w:rPr>
          <w:rFonts w:hint="eastAsia" w:ascii="宋体" w:hAnsi="宋体" w:eastAsia="宋体" w:cs="宋体"/>
          <w:sz w:val="24"/>
          <w:szCs w:val="24"/>
        </w:rPr>
        <w:t>卫生质量指标，应符合我国无公害蔬菜的卫生指标规定。</w:t>
      </w:r>
    </w:p>
    <w:p w14:paraId="74E90C82">
      <w:pPr>
        <w:keepNext w:val="0"/>
        <w:keepLines w:val="0"/>
        <w:pageBreakBefore w:val="0"/>
        <w:widowControl w:val="0"/>
        <w:kinsoku/>
        <w:wordWrap/>
        <w:overflowPunct/>
        <w:topLinePunct w:val="0"/>
        <w:autoSpaceDE/>
        <w:autoSpaceDN/>
        <w:bidi w:val="0"/>
        <w:adjustRightInd/>
        <w:snapToGrid/>
        <w:spacing w:before="181" w:beforeLines="5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六、餐具及相关设备要求</w:t>
      </w:r>
    </w:p>
    <w:p w14:paraId="362D289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★院内仅允许使用电作为相关生产能源，若中选服务商未按照规定使用其他能源（如：煤气、天然气等）作为相关生产能源的，因此造成的安全隐患或引发的安全事故，由中选服务商负全责。</w:t>
      </w:r>
    </w:p>
    <w:p w14:paraId="7DF7F2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操作台面、货物架、调料台、蒸烤箱等使用无毒无害材质制作，并符合国家食(饮)具卫生标准等相关规定。</w:t>
      </w:r>
    </w:p>
    <w:p w14:paraId="6643E96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生产、运输及院内食品分送场所的设施与卫生条件符合国家食品卫生法规要求；餐具符合国家食品卫生标准，使用不锈钢筷子、餐盘、蒸笼等，所有不锈钢筷子、餐盘等餐具必须经高温消毒柜消毒后才能使用。</w:t>
      </w:r>
    </w:p>
    <w:p w14:paraId="55422A8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冰箱、冰柜所有食物须分开分类放置，熟食品须专用冰箱放置，其他的严格按食品种类分隔的标准独立存放（生食品、半成品、干货类独立），所有存储容器外均贴上食物资料标签。</w:t>
      </w:r>
    </w:p>
    <w:p w14:paraId="0FA49EA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严格区别使用生食、熟食的刀具、砧板，必须分开专用专位放置，并有一定距离。</w:t>
      </w:r>
    </w:p>
    <w:p w14:paraId="39D6B83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餐具、设施做好标识，并分类规范存放。</w:t>
      </w:r>
    </w:p>
    <w:p w14:paraId="3F19A79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洗洁精使用要求用原瓶装包装，无毒、安全，符合国家卫生安全要求。</w:t>
      </w:r>
    </w:p>
    <w:p w14:paraId="201AB53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★中选服务商在正常营业时配备充足的消毒碗柜，以保证各类餐具的清洁消毒效果。</w:t>
      </w:r>
    </w:p>
    <w:p w14:paraId="5800FBB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中选服务商在正常营业前应配备饭菜保温设备，以保证饭菜的保温效果。</w:t>
      </w:r>
    </w:p>
    <w:p w14:paraId="5017B54B">
      <w:pPr>
        <w:keepNext w:val="0"/>
        <w:keepLines w:val="0"/>
        <w:pageBreakBefore w:val="0"/>
        <w:widowControl w:val="0"/>
        <w:kinsoku/>
        <w:wordWrap/>
        <w:overflowPunct/>
        <w:topLinePunct w:val="0"/>
        <w:autoSpaceDE/>
        <w:autoSpaceDN/>
        <w:bidi w:val="0"/>
        <w:adjustRightInd/>
        <w:snapToGrid/>
        <w:spacing w:before="181" w:beforeLines="5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七、卫生安全要求</w:t>
      </w:r>
    </w:p>
    <w:p w14:paraId="21640C1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食堂的卫生防疫、就餐环境和制作的食品及送餐等服务必须符合《中华人民共和国食品安全法》、国家相关的食品卫生标准及本院食堂管理制度要求。</w:t>
      </w:r>
    </w:p>
    <w:p w14:paraId="582FFF1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严格做好环境卫生工作（包括厨房、仓库、配餐间、就餐区域等），搞好室内外环境清洁和消毒工作，清除卫生死角，保持墙壁、墙裙、天花板、地面、炉灶、油烟罩/滤网、容器用具、案板工具等整洁、光亮、干燥、整齐、卫生、无油迹，通风、排烟、排水良好，有清洗记录。</w:t>
      </w:r>
    </w:p>
    <w:p w14:paraId="1BEB85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一餐一打扫，一周一大扫，平面天天扫，立面周周搞，保持食堂卫生、整洁。中选服务商自行负责承包区域（含过道、楼梯、厕所、下水道、绿化带等）的环境卫生。</w:t>
      </w:r>
    </w:p>
    <w:p w14:paraId="27400E3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操作台面、货物架、调料台、蒸烤箱等设备，做到整洁无杂物，无污渍、无灰尘，玻璃罩具光洁明亮。</w:t>
      </w:r>
    </w:p>
    <w:p w14:paraId="3954C7E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擦碗盘与清洁抹布专用，并做好区分，保持干净。</w:t>
      </w:r>
    </w:p>
    <w:p w14:paraId="0A0127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每次餐前、餐中、餐后应及时擦洗饭桌上的残渣、剩饭、油污。餐厨产生垃圾由中选服务商按环保要求每天自行处理。</w:t>
      </w:r>
    </w:p>
    <w:p w14:paraId="7DE7823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专人负责餐具的清洗和消毒，餐具使用前必须经过彻底清洁消毒，并符合国家食(饮)具消毒卫生标准等相关规定。</w:t>
      </w:r>
    </w:p>
    <w:p w14:paraId="6041DE7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及时疏通和清理油烟系统、隔油池、下水道确保畅通干净，加强灭蝇、灭蟑螂、灭鼠等措施，定期灭杀四害，防蝇、防鼠、防尘设备齐全、有效，环境符合采购人及上级管理部门的要求，合同签订后10天内列出具体实施方案给采购人，所有卫生防疫费用由中选服务商自行承担。如检查发现厨房有活动性苍蝇、蟑螂、老鼠，视情况轻重扣罚，并限期当天整改，如多次发现，采购人有权终止合同处理。</w:t>
      </w:r>
    </w:p>
    <w:p w14:paraId="2A5450C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排烟设施每周至少一次表面清洗，每年至少两次内部清洗，确保无油渍，避免安全隐患。做好清洗记录、拍照，资料存档，并接受采购人检查。</w:t>
      </w:r>
    </w:p>
    <w:p w14:paraId="6839107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上岗员工应保持良好的个人卫生习惯，按规定规范穿戴清洁的工服、工牌、帽子、口罩等。</w:t>
      </w:r>
    </w:p>
    <w:p w14:paraId="547BD26C">
      <w:pPr>
        <w:keepNext w:val="0"/>
        <w:keepLines w:val="0"/>
        <w:pageBreakBefore w:val="0"/>
        <w:widowControl w:val="0"/>
        <w:kinsoku/>
        <w:wordWrap/>
        <w:overflowPunct/>
        <w:topLinePunct w:val="0"/>
        <w:autoSpaceDE/>
        <w:autoSpaceDN/>
        <w:bidi w:val="0"/>
        <w:adjustRightInd/>
        <w:snapToGrid/>
        <w:spacing w:before="181" w:beforeLines="5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八、经营管理要求</w:t>
      </w:r>
    </w:p>
    <w:p w14:paraId="3F547D3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（一）经营资质</w:t>
      </w:r>
    </w:p>
    <w:p w14:paraId="0060AA0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中选服务商必须持有效的《营业执照》、《食品经营许可证》等一切必须具有的证件方可开业，且经营范围包括餐饮管理或饮食管理或食品经营管理。</w:t>
      </w:r>
    </w:p>
    <w:p w14:paraId="42F709F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拟委派在本项目的负责人应为具有丰富从事集体食堂管理经验者。（提供相关证明材料）。</w:t>
      </w:r>
    </w:p>
    <w:p w14:paraId="7DDF0B8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（二）项目人员管理要求</w:t>
      </w:r>
    </w:p>
    <w:p w14:paraId="2FAE3DE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对食堂工作人员的要求：保证投入不少于6名的专业工作人员，其中不少于2名具有食堂烹饪经验的厨师，不少于3名其他服务人员，设置1名项目负责人，负责人需有3年以上食堂经营管理经验，负责食堂食材监督及卫生管理，以及食堂全天候日常管理，制定落实各项管理制度，明确落实各项操作流程，负责食堂全面管理，对卫生、品质、出品、厨房工作人员的管理，具有该餐饮行业经验，负责用餐人员的售前售后沟通相关事宜。</w:t>
      </w:r>
    </w:p>
    <w:p w14:paraId="1CB5F4E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应确保餐饮服务项目员工的稳定性以保证项目的服务质量。未经采购人同意，中选服务商不得随意更换本项目负责人。因故需要更换时，中选服务商应至少提前一周向采购人主管部门提出书面申请，并经采购人主管部门同意后方可更换。</w:t>
      </w:r>
    </w:p>
    <w:p w14:paraId="2C5C9EE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项目负责人应坚守岗位，每年在正常工作时间离开单位累积不得超过10天。如因故需临时离开单位或休息1天以内的（含1天），中选服务商应以电话、微信等方式向采购人主管部门请假，离开单位1天以上的（不含1天），应向采购人主管部门提交书面请假单，请假获批离开单位前应提前安排好现场工作。</w:t>
      </w:r>
    </w:p>
    <w:p w14:paraId="4810213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如中选服务商委派的项目负责人不符合要求的（有事实依据证明不能胜任管理岗位），采购人有权要求中选服务商更换该项目管理人员至合格为止。中选服务商接到采购人书面换人通知后，应在15天内更换合格的项目管理人员到位，逾期不更换或更换的项目管理人员仍不符合要求的，采购人有权单方终止合同。</w:t>
      </w:r>
    </w:p>
    <w:p w14:paraId="246748B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项目负责人应每天到现场跟进每个岗位员工的工作情况，及时解决员工在工作中遇到的困难或问题，并与所在科室沟通协调和及时反馈。每周、每月进行食堂卫生管理、服务质量自查，并记录在案，做好资料归档整理，服务质量不符合要求的实行持续改进和限期整改。</w:t>
      </w:r>
    </w:p>
    <w:p w14:paraId="5532B13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应确保各岗位员工的相对固定，以保证现场服务质量。如有员工离职、休息或生病等原因导致现场员工变动的，项目负责人应提前安排好岗位工作。所有新上岗人员至少进行2天培训并通过考核后方可上岗，新上岗员工的工作，特别是涉及对外窗口的（如收银），项目负责人应加强指导和监督。因新上岗人员服务质量不合格，采购人有权视问题的严重情况，对中选服务商进行1000-2000元的扣罚。</w:t>
      </w:r>
    </w:p>
    <w:p w14:paraId="1A5F94F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中选服务商应保证员工每月正常休息时间，确保员工的身心健康。</w:t>
      </w:r>
    </w:p>
    <w:p w14:paraId="7CA9F38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的员工应严格遵守各项规章制度、疫情管控措施及操作规程，员工上班期间穿着统一的工作服、规范佩戴帽子、口罩，佩戴工牌，仪表、仪容整洁。上班时间不得穿短裤、背心、睡衣、拖鞋、高跟鞋等。</w:t>
      </w:r>
    </w:p>
    <w:p w14:paraId="4E941FB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中选服务商的员工应接受采购人的监督和管理，必须使用文明用语，做到文明服务，礼貌待人。工作认真、责任心强，尊重顾客，中选服务商的员工严禁将本人持有的门禁卡、工牌、饭卡借给他人使用。</w:t>
      </w:r>
    </w:p>
    <w:p w14:paraId="5E48C04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中选服务商的员工严禁聚众聊天、吵闹、打架、拉帮结派、聚集赌博、喝酒、煽动闹事等不良行为，此等行为产生的一切后果及责任由中选服务商承担。</w:t>
      </w:r>
    </w:p>
    <w:p w14:paraId="7B04244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不在岗员工不得在单位内逗留、留宿和招揽私活等行为，严禁将家属、朋友等无关人员带到工作场所。</w:t>
      </w:r>
    </w:p>
    <w:p w14:paraId="0D01508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的员工应自觉维护单位信誉，爱护公物，节约用水、用电；不得私自使用各类设备设施，不得将财物（包括开水、纸皮、胶瓶等废品）带离单位，严禁擅自偷窃、倒卖财物、废品和饭菜等，严禁违规收集和买卖医疗废物，否则将视为盗窃交由公安部门处置。</w:t>
      </w:r>
    </w:p>
    <w:p w14:paraId="1A56DA4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的员工上班期间应坚守岗位，不得迟到、早退，不得脱岗、串岗，不得擅自离开岗位（如因临时有事离开需要向项目负责人请假，并安排有人顶岗后方可离开，未经项目负责人批准私自离岗的按缺岗处理）。</w:t>
      </w:r>
    </w:p>
    <w:p w14:paraId="2E5F678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应制订员工的培训计划并实施。内容包括但不限于操作流程、食品安全、消防安全、卫生知识、疫情防控相关知识等，每月对全体员工培训不少于两次，使员工熟练掌握各项专业技能和提高个人素养等。中选服务商应建立员工培训档案并做好记录，培训照片存档备查。</w:t>
      </w:r>
    </w:p>
    <w:p w14:paraId="4184C8D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（三）员工健康管理</w:t>
      </w:r>
    </w:p>
    <w:p w14:paraId="14348AD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所有员工应服务态度好，品行良好。身体健康并能胜任岗位的工作，无传染性疾病（必须进行入职体检）、无违法犯罪记录（员工入职前中选服务商应将人员名单提交给当地派出所核查，核查无犯罪记录后才可入职，否则所造成的一切后果及责任由中选服务商承担）。所有人员名单应提交给采购人主管部门备案。（提供承诺函）</w:t>
      </w:r>
    </w:p>
    <w:p w14:paraId="68BD0D6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的员工应遵守餐饮操作规范、法律法规及单位的规章制度要求。员工应注意个人卫生，勤洗手，每天勤换衣着整齐干净，接触食品的员工在工作时戴帽子（头发不得外露）、口罩等，不得佩戴戒指、手镯等饰品。所有员工必须通过培训后，持有健康证方可上岗，患有国家规定的传染病者严禁上岗，患有发热、腹泻、手部皮肤有伤口或感染等情况的员工应立即脱离工作岗位，并在治疗至痊愈或污染食品的可能被排除后，方可恢复上岗。员工必须每年体检一次，体检等费用由承包者负责。</w:t>
      </w:r>
    </w:p>
    <w:p w14:paraId="2087424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（四）安全与合规经营</w:t>
      </w:r>
    </w:p>
    <w:p w14:paraId="14ED6D7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必须遵守国家相关法律法规，遵守单位的规章制度，合法经营，按章纳税，中选服务商入场前必须为该项目购买相应的食品、财产和人身安全保险，并将该保险复印件提交给采购人备案。中选服务商对经营过程所发生的一切安全责任、债务、劳资纠纷和各种意外事件及其造成的后果负责。</w:t>
      </w:r>
    </w:p>
    <w:p w14:paraId="2C434C9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的法人为食堂消防、治安、食品卫生及安全生产的第一责任人，做好食堂的消防安全工作，按照国家消防安全标准安装和配置必要的性能完好的消防设施设备，并定期接受采购人及相关机构的监督检查。食堂内发生的消防安全及设备、燃气、油烟系统、电源（炉灶、各种炊事设备）等事故，由中选服务商承担一切责任。</w:t>
      </w:r>
    </w:p>
    <w:p w14:paraId="17BC98C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中选服务商不得将食堂私自转让或委托他人经营，更不能利用采购人资源进行非法经营，一经发现，采购人有权取消其承包资格，并给予经济处罚或追究法律责任。</w:t>
      </w:r>
    </w:p>
    <w:p w14:paraId="04B6F43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所采购、制作、销售的食品质量要求必须符合国家的卫生、安全标准，并对其食品负责，并承担其造成的一切后果。因承包者责任造成食物中毒、消防安全或其他安全责任事故等造成严重事故的，采购人有权单方终止合同并保留追究责任的权利。如对采购人造成财产或声誉损害的，中选服务商应承担赔偿责任。</w:t>
      </w:r>
    </w:p>
    <w:p w14:paraId="0486811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中选服务商必须在指定场地和区域内进行生产和经营，严禁在医疗区域兜售食物。</w:t>
      </w:r>
    </w:p>
    <w:p w14:paraId="0C306F1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中选服务商所从事的任何业务不能以单位名义对外发布，禁止张贴出现有法律规定在医疗单位不得出现的标志、标识等（如香烟广告等）。</w:t>
      </w:r>
    </w:p>
    <w:p w14:paraId="1E4E5C4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中选服务商不得在经营区域内储存任何易燃、易爆、腐蚀性物品及其他危险物品，严禁销售奶瓶、奶嘴、烟草、酒品及国家禁止的药品、伪劣产品及超出经营范围的商品。</w:t>
      </w:r>
    </w:p>
    <w:p w14:paraId="49E2B7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采购人提供的基础设备、设施等，由中选服务商负责维护和保养，如有损坏或需要维修，由中选服务商负责。</w:t>
      </w:r>
    </w:p>
    <w:p w14:paraId="3BC18ED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★中选服务商必须加强对雇用员工的教育与管理，严禁在单位进行非法活动，中选服务商员工所发生的一切纠纷或意外事故由中选服务商负责。</w:t>
      </w:r>
    </w:p>
    <w:p w14:paraId="0059FFF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中选服务商必须文明守法，按章纳税，随时接受采购人及政府行政管理部门、治安、消防管理部门的监督和检查。</w:t>
      </w:r>
    </w:p>
    <w:p w14:paraId="67BCE2E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必须按照《中华人民共和国劳动合同法》等国家法律法规为所有员工缴纳各种社会保险（包括养老、医疗、工伤、生育保险、失业保险等），中选服务商与其员工发生的劳资纠纷、疾病、工伤等一切纠纷、责任事件由中选服务商负责。因中选服务商过失造成严重事故的，采购人有权单方终止合同并保留追究责任的权利。</w:t>
      </w:r>
    </w:p>
    <w:p w14:paraId="40BB4AB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根据相关评审的服务要求，制定并不断完善食品操作（准备、处理、贮存、运送、留样等）标准与程序、员工岗位职责及食品安全相关管理制度，在适当位置加设公示牌，列明工作要求以及管理方法。积极配合采购人或公安、消防、安监、食品安全、卫生防疫等部门做好卫生、食品安全、消防安全的宣传及管理工作。中选服务商生产、运输及机构内分送场所的设施与卫生条件符合国家食品卫生法规要求，有突发食品安全事件、消防等应急预案。</w:t>
      </w:r>
    </w:p>
    <w:p w14:paraId="225DC00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应建立完善的投诉事件处理制度与流程，工作人员应有良好的服务态度，及时解决职工或患者及家属反映的问题，确保职工满意度、患者满意度达到80%以上。禁止与员工、患者及家属发生争吵或冲突。凡是经核实的投诉，按500元/次进行处罚。</w:t>
      </w:r>
    </w:p>
    <w:p w14:paraId="5E32337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不断完善各项管理规章制度、人力资源管理方案、具体的日常岗位工作安排、应急管理方案、员工管理制度和奖惩等职责制度并提交给采购人备案，采购人有权要求修订相关制度并监督执行，有权查阅中选服务商的财务状况及财务报表。</w:t>
      </w:r>
    </w:p>
    <w:p w14:paraId="7CD5950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做好台账记录，包括餐具消毒记录、供应商资质台账、餐厨垃圾收运记录等，按要求定时整理和归档资料，妥善保存，以备检查。</w:t>
      </w:r>
    </w:p>
    <w:p w14:paraId="03911C3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按照相关管理要求，开展持续改进。包括对反馈问题整改落实措施、效果，定期总结并书面向采购人汇报。</w:t>
      </w:r>
    </w:p>
    <w:p w14:paraId="7E942CF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（五）节能环保要求</w:t>
      </w:r>
    </w:p>
    <w:p w14:paraId="6E4A30B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协助采购人创建国家型节约能源公共机构的相关工作，积极开展节能工作，做到节能减排、绿色环保。</w:t>
      </w:r>
    </w:p>
    <w:p w14:paraId="787E705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实行绿色采购，严格执行国家有关强制采购或优先采购节能产品和技术的规定，采购列入《节能产品政府采购清单》、《环境标志产品政府采购清单》的产品和能效"领跑者"产品。</w:t>
      </w:r>
    </w:p>
    <w:p w14:paraId="52072C8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采取减少一次性餐具使用的措施。禁止、限制使用不可降解塑料袋、一次性塑料餐具，积极推广使用符合性能和食品安全要求的生物基产品、可降解塑料袋等替代产品，不向顾客主动提供一次性餐具用品，中选服务商的环保节能工作纳入日常考核，一次性餐具须使用环保符合卫生且可回收的餐具（具有环保符号），不得使用发泡产品，须提供样品样本供采购人确认后方可使用。</w:t>
      </w:r>
    </w:p>
    <w:p w14:paraId="75AB1AA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的服务及所使用的物品、用具、材料不得违反国家有关环卫、环保相关制度和管理规定，不得对环境造成二次污染；采购人有权对相关事宜进行检查和评估，有权拒绝使用不符合标准的材料，并进行一定金额处罚。</w:t>
      </w:r>
    </w:p>
    <w:p w14:paraId="241F2A0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（六）设备设施管理</w:t>
      </w:r>
    </w:p>
    <w:p w14:paraId="152D9B5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采购人提供现有的设备、设施给中选服务商使用，中选服务商必须爱护采购人提供的各项设备、设施。经采购人盘点后开列清单提供给中选服务商使用，维护费用由中选服务商承担；合同期满后，中选服务商应按清单记载内容将相关设施设备完好交回于采购人，并在双方参加下做好交接手续。中选服务商需要对承包区域进行装修、改造等改动时，必须书面征得采购人同意后方可实施，所产生的费用由中选服务商负责。添置或更新设施由中选服务商负责，费用自理。中选服务商经营期间必须保证房屋、基础建设及设备设施的完好性，如有损坏由中选服务商负责相应的费用。承包期满中选服务商撤场后10个工作日内，中选服务商可以拆除属于中选服务商的可移动的设备、设施，但处置后不得遗留安全隐患，逾期不处理的，归采购人所有。固定的、不能拆卸的设备设施不得拆除、破坏，采购人不承担其转让工作。</w:t>
      </w:r>
    </w:p>
    <w:p w14:paraId="53EE90C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中选服务商必须密切配合采购人的工作需要，对临时交付的任务能按要求完成并配合接受上级部门的检查。</w:t>
      </w:r>
    </w:p>
    <w:p w14:paraId="13FED1F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中选服务商不得将餐厅私自转让（含窗口分包）或委托他人经营，不得在公司内搞不法经营，不得对外经营。</w:t>
      </w:r>
    </w:p>
    <w:p w14:paraId="30C054A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中选服务商负责承包区域治安保卫、安全防火、防盗等工作，服从采购人的统一管理，确保安全无事故。</w:t>
      </w:r>
    </w:p>
    <w:p w14:paraId="3F106F4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响应服务商应提供舒适的就餐环境，当温度≥28摄氏度时应保证空调的正常开启，并定期检查空调、风扇等降温设备的完好性。</w:t>
      </w:r>
    </w:p>
    <w:p w14:paraId="0D31F28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中选服务商应落实采购人、政府机关、其他上级管理部门下达的关于安全生产、食品安全、节能降耗等方面文件要求，如有改革应积极执行，相关费用由中选服务商自行承担。</w:t>
      </w:r>
    </w:p>
    <w:p w14:paraId="6766C61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采购人有特殊任务或应急事件等情况需要紧急提供餐饮服务时，如突发事件、上级检查、采购人重要的大型活动、采购人认为重要的其他事件等，中选服务商及其员工应积极配合和服从采购人的调遣、指挥并参与应急或加班工作，费用不另外追加。</w:t>
      </w:r>
    </w:p>
    <w:p w14:paraId="564D267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▲合同终止时，中选服务商应将采购人所需保存的所有培训资料（签到表、培训内容、培训总结、培训照片等）及经营、管理原始资料移交给采购人，并完成所有交接手续后方可撤场。</w:t>
      </w:r>
    </w:p>
    <w:p w14:paraId="79D6358C">
      <w:pPr>
        <w:keepNext w:val="0"/>
        <w:keepLines w:val="0"/>
        <w:pageBreakBefore w:val="0"/>
        <w:widowControl w:val="0"/>
        <w:kinsoku/>
        <w:wordWrap/>
        <w:overflowPunct/>
        <w:topLinePunct w:val="0"/>
        <w:autoSpaceDE/>
        <w:autoSpaceDN/>
        <w:bidi w:val="0"/>
        <w:adjustRightInd/>
        <w:snapToGrid/>
        <w:spacing w:before="181" w:beforeLines="5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九、监督管理要求</w:t>
      </w:r>
    </w:p>
    <w:p w14:paraId="0B6F804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中选服务商及员工必须配合采购人主管部门的监督与考核（考核方案详见附件），不得以任何理由拒绝或阻挠，并应根据考核提出的合理建议和要求进行改进，如果有异议的可以在两天内向采购人主管部门提出。</w:t>
      </w:r>
    </w:p>
    <w:p w14:paraId="6FD13BD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应配合采购人的价格监督。中选服务商做好原材料的采购票据及凭证、成本明细报表（不得弄虚作假）、售价（定价方案等）等档案，采购人不定期进行检查，一旦发现有私自提价或乱收费的现象，扣罚2000元/次。一旦发现中选服务商的利润高于规定的利润者，视情况予以扣罚5000元/次并立即调价至要求的范围内。</w:t>
      </w:r>
    </w:p>
    <w:p w14:paraId="36A2FE3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应将公司管理人员信息及员工名单、健康证复印件提交给采购人主管部门备案。中选服务商不得因人员配备不足而影响服务质量，采购人主管部门发现每次扣罚1000元。监管过程中发现有未办健康证就入职的员工或健康证过期未及时更换，扣罚500元/人/次。</w:t>
      </w:r>
    </w:p>
    <w:p w14:paraId="7F91F18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应制定应对投诉、食品质量、食物中毒等不良事件的处理流程，员工应掌握不良事件上报流程及处理方法，中选服务商接到投诉或有争议的不良事件时，管理人员应1小时内赶到现场进行调查和处理（应急事件在2小时内，一般事件1天内完成处理措施，将损害减到最小），不良事件处理结束后，应填写《不良事件追踪调查表》，对事件进行原因分析及持续改进，以免类似情况再次发生，并在3天内将《不良事件追踪调查表》交给采购人主管部门。一旦出现严重的服务缺陷投诉、食品、安全质量事故，中选服务商还须承担相应的责任外，扣罚2000-3000元/次。</w:t>
      </w:r>
    </w:p>
    <w:p w14:paraId="4C5E182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选服务商应管理好所属员工，必须遵守国家有关法律法规和采购人的劳动纪律，所属员工发生的一切投诉、纠纷和法律事件，一概由中选服务商承担。若因中选服务商管理不善、控制不力而发生中选服务商员工群体游行、示威、罢工等重大事件且造成严重影响的，每次扣罚20000元。在合同期内累计发生两次重大事件，采购人有权根据具体情况决定单方解除合同，并没收履约保证金。</w:t>
      </w:r>
    </w:p>
    <w:p w14:paraId="21CC4EE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服务质量考评：采购人每季度根据《食堂服务质量监督检查记录表》（详见附件</w:t>
      </w:r>
      <w:r>
        <w:rPr>
          <w:rFonts w:hint="eastAsia" w:ascii="宋体" w:hAnsi="宋体" w:eastAsia="宋体" w:cs="宋体"/>
          <w:sz w:val="24"/>
          <w:szCs w:val="24"/>
          <w:lang w:val="en-US" w:eastAsia="zh-CN"/>
        </w:rPr>
        <w:t>四《中山市东升医院餐饮服务质量监督考评表》</w:t>
      </w:r>
      <w:r>
        <w:rPr>
          <w:rFonts w:hint="eastAsia" w:ascii="宋体" w:hAnsi="宋体" w:eastAsia="宋体" w:cs="宋体"/>
          <w:sz w:val="24"/>
          <w:szCs w:val="24"/>
        </w:rPr>
        <w:t>）对中选服务商的服务质量进行考评，考评总分为100分，当季考评总分在80分及以上为合格。考核分在80至100分（含80分）之间，不予扣罚，但中选服务商需要对存在问题予以立即改进，如因中选服务商责任所致的同一问题第二次出现的，扣罚500元/次；考核分在75至79分（含79分）之间，每少一分扣1000元/分；考核分在70至74分（含74分）之间，每少一分扣1500元/分；考核分低于70分以下的，每少一分，扣2000元/分；连续两个月考核结果低于70分的，采购人有权单方解除合同重新招标。</w:t>
      </w:r>
    </w:p>
    <w:p w14:paraId="0BB77DF9">
      <w:pPr>
        <w:keepNext w:val="0"/>
        <w:keepLines w:val="0"/>
        <w:pageBreakBefore w:val="0"/>
        <w:widowControl w:val="0"/>
        <w:kinsoku/>
        <w:wordWrap/>
        <w:overflowPunct/>
        <w:topLinePunct w:val="0"/>
        <w:autoSpaceDE/>
        <w:autoSpaceDN/>
        <w:bidi w:val="0"/>
        <w:adjustRightInd/>
        <w:snapToGrid/>
        <w:spacing w:before="181" w:beforeLines="50" w:line="44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十、报价方式</w:t>
      </w:r>
    </w:p>
    <w:p w14:paraId="7431D60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 响应服务商须以现有菜品单价作为最高限价（</w:t>
      </w:r>
      <w:r>
        <w:rPr>
          <w:rFonts w:hint="eastAsia" w:ascii="宋体" w:hAnsi="宋体" w:eastAsia="宋体" w:cs="宋体"/>
          <w:b/>
          <w:bCs/>
          <w:sz w:val="24"/>
          <w:szCs w:val="24"/>
          <w:u w:val="single"/>
          <w:lang w:val="en-US" w:eastAsia="zh-CN"/>
        </w:rPr>
        <w:t>菜品清单于现场踏勘时现场查询</w:t>
      </w:r>
      <w:r>
        <w:rPr>
          <w:rFonts w:hint="eastAsia" w:ascii="宋体" w:hAnsi="宋体" w:eastAsia="宋体" w:cs="宋体"/>
          <w:b w:val="0"/>
          <w:bCs w:val="0"/>
          <w:sz w:val="24"/>
          <w:szCs w:val="24"/>
          <w:lang w:val="en-US" w:eastAsia="zh-CN"/>
        </w:rPr>
        <w:t>），在此基础上进行下浮。下浮率有效范围为5%至20%，数值最多精确至小数点后两位，且须为固定值，不得设置为区间值。响应服务商应就本项目统一报出一个下浮率，不接受选择性报价。</w:t>
      </w:r>
    </w:p>
    <w:p w14:paraId="1456598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eastAsia="仿宋"/>
          <w:lang w:eastAsia="zh-CN"/>
        </w:rPr>
      </w:pPr>
      <w:r>
        <w:rPr>
          <w:rFonts w:hint="eastAsia" w:ascii="宋体" w:hAnsi="宋体" w:eastAsia="宋体" w:cs="宋体"/>
          <w:b w:val="0"/>
          <w:bCs w:val="0"/>
          <w:sz w:val="24"/>
          <w:szCs w:val="24"/>
          <w:lang w:val="en-US" w:eastAsia="zh-CN"/>
        </w:rPr>
        <w:t>2. 响应服务商须填报一个投资金额，该金额不得低于40万元，数值最多精确至小数点后两位，不得设置为区间值，同时须提供</w:t>
      </w:r>
      <w:r>
        <w:rPr>
          <w:rFonts w:hint="eastAsia" w:ascii="宋体" w:hAnsi="宋体" w:eastAsia="宋体" w:cs="宋体"/>
          <w:b/>
          <w:bCs/>
          <w:sz w:val="24"/>
          <w:szCs w:val="24"/>
          <w:u w:val="single"/>
          <w:lang w:val="en-US" w:eastAsia="zh-CN"/>
        </w:rPr>
        <w:t>投资额分项清单明细表（格式自拟）</w:t>
      </w:r>
      <w:r>
        <w:rPr>
          <w:rFonts w:hint="eastAsia" w:ascii="宋体" w:hAnsi="宋体" w:eastAsia="宋体" w:cs="宋体"/>
          <w:b w:val="0"/>
          <w:bCs w:val="0"/>
          <w:sz w:val="24"/>
          <w:szCs w:val="24"/>
          <w:lang w:val="en-US" w:eastAsia="zh-CN"/>
        </w:rPr>
        <w:t>。</w:t>
      </w:r>
    </w:p>
    <w:p w14:paraId="618F796A">
      <w:pPr>
        <w:keepNext w:val="0"/>
        <w:keepLines w:val="0"/>
        <w:pageBreakBefore w:val="0"/>
        <w:widowControl w:val="0"/>
        <w:kinsoku/>
        <w:wordWrap/>
        <w:overflowPunct/>
        <w:topLinePunct w:val="0"/>
        <w:autoSpaceDE/>
        <w:autoSpaceDN/>
        <w:bidi w:val="0"/>
        <w:adjustRightInd/>
        <w:snapToGrid/>
        <w:spacing w:before="181" w:beforeLines="50" w:line="44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十一、评审方式</w:t>
      </w:r>
    </w:p>
    <w:p w14:paraId="2B6F2DF4">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 本项目评审采用</w:t>
      </w:r>
      <w:r>
        <w:rPr>
          <w:rFonts w:hint="eastAsia" w:ascii="宋体" w:hAnsi="宋体" w:eastAsia="宋体" w:cs="宋体"/>
          <w:b/>
          <w:bCs/>
          <w:sz w:val="24"/>
          <w:szCs w:val="24"/>
          <w:u w:val="single"/>
          <w:lang w:val="en-US" w:eastAsia="zh-CN"/>
        </w:rPr>
        <w:t>综合评分法</w:t>
      </w:r>
      <w:r>
        <w:rPr>
          <w:rFonts w:hint="eastAsia" w:ascii="宋体" w:hAnsi="宋体" w:eastAsia="宋体" w:cs="宋体"/>
          <w:sz w:val="24"/>
          <w:szCs w:val="24"/>
          <w:lang w:val="en-US" w:eastAsia="zh-CN"/>
        </w:rPr>
        <w:t>，评分标准详见附件二 《项目评分表》。评审顺序为先开展资格符合性评审，再进行商务、技术及价格的详细评审。分值分配为：技术评审40分，商务评审30分，价格评审10分，投资金额评审20分，满分100分。如出现评审总分相同时，按技术评审得分由高到低排序；若技术评审得分仍相同，则按商务评审得分由高到低排序；若仍无法确定，由评审小组投票决定。</w:t>
      </w:r>
    </w:p>
    <w:p w14:paraId="652E76A2">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 本次价格评审分值设置为10分，以满足遴选文件各项实质性要求、评审判定为有效投标的全部下浮率报价里的最高下浮率，确定为本次价格评审评标基准价。评标基准价取值为全部有效响应文件中的最高投标下浮率。各有效响应服务商价格得分计算公式如下：</w:t>
      </w:r>
      <w:r>
        <w:rPr>
          <w:rFonts w:hint="eastAsia" w:ascii="宋体" w:hAnsi="宋体" w:eastAsia="宋体" w:cs="宋体"/>
          <w:b/>
          <w:bCs/>
          <w:sz w:val="24"/>
          <w:szCs w:val="24"/>
          <w:lang w:val="en-US" w:eastAsia="zh-CN"/>
        </w:rPr>
        <w:t>价格得分＝（服务商投标下浮率 / 评标基准价）×10</w:t>
      </w:r>
      <w:r>
        <w:rPr>
          <w:rFonts w:hint="eastAsia" w:ascii="宋体" w:hAnsi="宋体" w:eastAsia="宋体" w:cs="宋体"/>
          <w:sz w:val="24"/>
          <w:szCs w:val="24"/>
          <w:lang w:val="en-US" w:eastAsia="zh-CN"/>
        </w:rPr>
        <w:t xml:space="preserve"> ，计算结果采用四舍五入方式保留两位小数。</w:t>
      </w:r>
    </w:p>
    <w:p w14:paraId="2B930073">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b w:val="0"/>
          <w:bCs w:val="0"/>
          <w:sz w:val="24"/>
          <w:szCs w:val="24"/>
          <w:lang w:val="en-US" w:eastAsia="zh-CN"/>
        </w:rPr>
      </w:pPr>
      <w:r>
        <w:rPr>
          <w:rFonts w:hint="eastAsia" w:ascii="宋体" w:hAnsi="宋体" w:eastAsia="宋体" w:cs="宋体"/>
          <w:sz w:val="24"/>
          <w:szCs w:val="24"/>
          <w:lang w:val="en-US" w:eastAsia="zh-CN"/>
        </w:rPr>
        <w:t xml:space="preserve">3. </w:t>
      </w:r>
      <w:r>
        <w:rPr>
          <w:rFonts w:hint="default" w:ascii="宋体" w:hAnsi="宋体" w:eastAsia="宋体" w:cs="宋体"/>
          <w:sz w:val="24"/>
          <w:szCs w:val="24"/>
          <w:lang w:val="en-US" w:eastAsia="zh-CN"/>
        </w:rPr>
        <w:t>投资金额评审项</w:t>
      </w:r>
      <w:r>
        <w:rPr>
          <w:rFonts w:hint="eastAsia" w:ascii="宋体" w:hAnsi="宋体" w:eastAsia="宋体" w:cs="宋体"/>
          <w:sz w:val="24"/>
          <w:szCs w:val="24"/>
          <w:lang w:val="en-US" w:eastAsia="zh-CN"/>
        </w:rPr>
        <w:t>分值设置为</w:t>
      </w:r>
      <w:r>
        <w:rPr>
          <w:rFonts w:hint="default" w:ascii="宋体" w:hAnsi="宋体" w:eastAsia="宋体" w:cs="宋体"/>
          <w:sz w:val="24"/>
          <w:szCs w:val="24"/>
          <w:lang w:val="en-US" w:eastAsia="zh-CN"/>
        </w:rPr>
        <w:t>20分。各响应服务商承诺为本项目食堂投入资金不得低于40万元，投入资金须专项用于食堂拆除施工、扩建装修、消防升级改造、管线整改、后厨配套设备添置、排烟及隔油环保设施建设、各类设施设备采购、智慧食堂系统搭建、安防监控系统布设等相关工作；前述全部投入资金均由响应服务商自行全额承担，采购人无需支付任何相关费用。选取通过资格及</w:t>
      </w:r>
      <w:r>
        <w:rPr>
          <w:rFonts w:hint="eastAsia" w:ascii="宋体" w:hAnsi="宋体" w:eastAsia="宋体" w:cs="宋体"/>
          <w:sz w:val="24"/>
          <w:szCs w:val="24"/>
          <w:lang w:val="en-US" w:eastAsia="zh-CN"/>
        </w:rPr>
        <w:t>符合</w:t>
      </w:r>
      <w:r>
        <w:rPr>
          <w:rFonts w:hint="default" w:ascii="宋体" w:hAnsi="宋体" w:eastAsia="宋体" w:cs="宋体"/>
          <w:sz w:val="24"/>
          <w:szCs w:val="24"/>
          <w:lang w:val="en-US" w:eastAsia="zh-CN"/>
        </w:rPr>
        <w:t>性审查的有效响应文件中承诺投资额的最高值作为投资额评审基准价，各有效响应</w:t>
      </w:r>
      <w:r>
        <w:rPr>
          <w:rFonts w:hint="eastAsia" w:ascii="宋体" w:hAnsi="宋体" w:eastAsia="宋体" w:cs="宋体"/>
          <w:sz w:val="24"/>
          <w:szCs w:val="24"/>
          <w:lang w:val="en-US" w:eastAsia="zh-CN"/>
        </w:rPr>
        <w:t>服务商</w:t>
      </w:r>
      <w:r>
        <w:rPr>
          <w:rFonts w:hint="default" w:ascii="宋体" w:hAnsi="宋体" w:eastAsia="宋体" w:cs="宋体"/>
          <w:sz w:val="24"/>
          <w:szCs w:val="24"/>
          <w:lang w:val="en-US" w:eastAsia="zh-CN"/>
        </w:rPr>
        <w:t>该项得分计算公式如下：</w:t>
      </w:r>
      <w:r>
        <w:rPr>
          <w:rFonts w:hint="default" w:ascii="宋体" w:hAnsi="宋体" w:eastAsia="宋体" w:cs="宋体"/>
          <w:b/>
          <w:bCs/>
          <w:sz w:val="24"/>
          <w:szCs w:val="24"/>
          <w:lang w:val="en-US" w:eastAsia="zh-CN"/>
        </w:rPr>
        <w:t>投资金额得分＝（响应</w:t>
      </w:r>
      <w:r>
        <w:rPr>
          <w:rFonts w:hint="eastAsia" w:ascii="宋体" w:hAnsi="宋体" w:eastAsia="宋体" w:cs="宋体"/>
          <w:b/>
          <w:bCs/>
          <w:sz w:val="24"/>
          <w:szCs w:val="24"/>
          <w:lang w:val="en-US" w:eastAsia="zh-CN"/>
        </w:rPr>
        <w:t>服务商</w:t>
      </w:r>
      <w:r>
        <w:rPr>
          <w:rFonts w:hint="default" w:ascii="宋体" w:hAnsi="宋体" w:eastAsia="宋体" w:cs="宋体"/>
          <w:b/>
          <w:bCs/>
          <w:sz w:val="24"/>
          <w:szCs w:val="24"/>
          <w:lang w:val="en-US" w:eastAsia="zh-CN"/>
        </w:rPr>
        <w:t xml:space="preserve">投标承诺投资额 </w:t>
      </w:r>
      <w:r>
        <w:rPr>
          <w:rFonts w:hint="eastAsia" w:ascii="宋体" w:hAnsi="宋体" w:eastAsia="宋体" w:cs="宋体"/>
          <w:b/>
          <w:bCs/>
          <w:sz w:val="24"/>
          <w:szCs w:val="24"/>
          <w:lang w:val="en-US" w:eastAsia="zh-CN"/>
        </w:rPr>
        <w:t>/</w:t>
      </w:r>
      <w:r>
        <w:rPr>
          <w:rFonts w:hint="default" w:ascii="宋体" w:hAnsi="宋体" w:eastAsia="宋体" w:cs="宋体"/>
          <w:b/>
          <w:bCs/>
          <w:sz w:val="24"/>
          <w:szCs w:val="24"/>
          <w:lang w:val="en-US" w:eastAsia="zh-CN"/>
        </w:rPr>
        <w:t xml:space="preserve"> 投资额基准价）×20</w:t>
      </w:r>
      <w:r>
        <w:rPr>
          <w:rFonts w:hint="eastAsia" w:ascii="宋体" w:hAnsi="宋体" w:eastAsia="宋体" w:cs="宋体"/>
          <w:b w:val="0"/>
          <w:bCs w:val="0"/>
          <w:sz w:val="24"/>
          <w:szCs w:val="24"/>
          <w:lang w:val="en-US" w:eastAsia="zh-CN"/>
        </w:rPr>
        <w:t>，计算结果采用四舍五入方式保留两位小数。</w:t>
      </w:r>
    </w:p>
    <w:p w14:paraId="7B53D64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eastAsia="仿宋"/>
          <w:lang w:eastAsia="zh-CN"/>
        </w:rPr>
      </w:pPr>
      <w:r>
        <w:rPr>
          <w:rFonts w:hint="eastAsia" w:ascii="宋体" w:hAnsi="宋体" w:eastAsia="宋体" w:cs="宋体"/>
          <w:sz w:val="24"/>
          <w:szCs w:val="24"/>
          <w:lang w:val="en-US" w:eastAsia="zh-CN"/>
        </w:rPr>
        <w:t>注：须提供承诺函及投资额分项清单明细表，未提供该表的，投资金额评审项不得分。</w:t>
      </w:r>
    </w:p>
    <w:p w14:paraId="1DDDA49C">
      <w:pPr>
        <w:keepNext w:val="0"/>
        <w:keepLines w:val="0"/>
        <w:pageBreakBefore w:val="0"/>
        <w:widowControl w:val="0"/>
        <w:kinsoku/>
        <w:wordWrap/>
        <w:overflowPunct/>
        <w:topLinePunct w:val="0"/>
        <w:autoSpaceDE/>
        <w:autoSpaceDN/>
        <w:bidi w:val="0"/>
        <w:adjustRightInd/>
        <w:snapToGrid/>
        <w:spacing w:before="181" w:beforeLines="50" w:line="44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十二、提交方式</w:t>
      </w:r>
    </w:p>
    <w:p w14:paraId="0FE52E0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请于</w:t>
      </w:r>
      <w:r>
        <w:rPr>
          <w:rFonts w:hint="eastAsia" w:ascii="宋体" w:hAnsi="宋体" w:eastAsia="宋体" w:cs="宋体"/>
          <w:sz w:val="24"/>
          <w:szCs w:val="24"/>
          <w:highlight w:val="none"/>
          <w:lang w:val="en-US" w:eastAsia="zh-CN"/>
        </w:rPr>
        <w:t xml:space="preserve">2026年8月11日17点之前将以上资料（投标文件格式详见附件一 《响应文件模板》）PDF电子版发送至邮箱 </w:t>
      </w: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HYPERLINK "mailto:zssdsyyzbk@126.com"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zssdsyycgb@126.com</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 xml:space="preserve"> ，邮件标题为“公司 + 中山市东升医院2026-2028年度食堂经营和改造项目”。纸质版资料一式三份（一正二副）密封加盖公章，投递资料</w:t>
      </w:r>
      <w:r>
        <w:rPr>
          <w:rFonts w:hint="eastAsia" w:ascii="宋体" w:hAnsi="宋体" w:eastAsia="宋体" w:cs="宋体"/>
          <w:sz w:val="24"/>
          <w:szCs w:val="24"/>
          <w:lang w:val="en-US" w:eastAsia="zh-CN"/>
        </w:rPr>
        <w:t>封面注明项目名称、服务</w:t>
      </w:r>
      <w:bookmarkStart w:id="0" w:name="_GoBack"/>
      <w:bookmarkEnd w:id="0"/>
      <w:r>
        <w:rPr>
          <w:rFonts w:hint="eastAsia" w:ascii="宋体" w:hAnsi="宋体" w:eastAsia="宋体" w:cs="宋体"/>
          <w:sz w:val="24"/>
          <w:szCs w:val="24"/>
          <w:lang w:val="en-US" w:eastAsia="zh-CN"/>
        </w:rPr>
        <w:t>商名称、联系人及联系电话，可通过现场提交或邮寄方式提交。所有提交的资料一律不予退还。</w:t>
      </w:r>
    </w:p>
    <w:p w14:paraId="268C56BE">
      <w:pPr>
        <w:keepNext w:val="0"/>
        <w:keepLines w:val="0"/>
        <w:pageBreakBefore w:val="0"/>
        <w:widowControl/>
        <w:kinsoku/>
        <w:wordWrap/>
        <w:overflowPunct/>
        <w:topLinePunct w:val="0"/>
        <w:autoSpaceDE/>
        <w:autoSpaceDN/>
        <w:bidi w:val="0"/>
        <w:adjustRightInd/>
        <w:snapToGrid/>
        <w:spacing w:before="313" w:beforeLines="100" w:line="440" w:lineRule="exact"/>
        <w:textAlignment w:val="auto"/>
        <w:rPr>
          <w:rFonts w:hint="default" w:ascii="宋体" w:hAnsi="宋体" w:eastAsia="宋体" w:cs="宋体"/>
          <w:b/>
          <w:bCs/>
          <w:color w:val="FF0000"/>
          <w:kern w:val="2"/>
          <w:sz w:val="32"/>
          <w:szCs w:val="32"/>
          <w:u w:val="single"/>
          <w:lang w:val="en-US" w:eastAsia="zh-CN" w:bidi="ar-SA"/>
        </w:rPr>
      </w:pPr>
      <w:r>
        <w:rPr>
          <w:rFonts w:hint="eastAsia" w:ascii="宋体" w:hAnsi="宋体" w:eastAsia="宋体" w:cs="宋体"/>
          <w:b/>
          <w:bCs/>
          <w:color w:val="FF0000"/>
          <w:kern w:val="2"/>
          <w:sz w:val="32"/>
          <w:szCs w:val="32"/>
          <w:u w:val="single"/>
          <w:lang w:val="en-US" w:eastAsia="zh-CN" w:bidi="ar-SA"/>
        </w:rPr>
        <w:t xml:space="preserve">温馨提示：请将响应文件PDF电子版发送至邮箱 </w:t>
      </w:r>
      <w:r>
        <w:rPr>
          <w:rFonts w:hint="eastAsia" w:ascii="宋体" w:hAnsi="宋体" w:eastAsia="宋体" w:cs="宋体"/>
          <w:b/>
          <w:bCs/>
          <w:color w:val="FF0000"/>
          <w:kern w:val="2"/>
          <w:sz w:val="32"/>
          <w:szCs w:val="32"/>
          <w:u w:val="single"/>
          <w:lang w:val="en-US" w:eastAsia="zh-CN" w:bidi="ar-SA"/>
        </w:rPr>
        <w:fldChar w:fldCharType="begin"/>
      </w:r>
      <w:r>
        <w:rPr>
          <w:rFonts w:hint="eastAsia" w:ascii="宋体" w:hAnsi="宋体" w:eastAsia="宋体" w:cs="宋体"/>
          <w:b/>
          <w:bCs/>
          <w:color w:val="FF0000"/>
          <w:kern w:val="2"/>
          <w:sz w:val="32"/>
          <w:szCs w:val="32"/>
          <w:u w:val="single"/>
          <w:lang w:val="en-US" w:eastAsia="zh-CN" w:bidi="ar-SA"/>
        </w:rPr>
        <w:instrText xml:space="preserve"> HYPERLINK "mailto:zssdsyyzbk@126.com" </w:instrText>
      </w:r>
      <w:r>
        <w:rPr>
          <w:rFonts w:hint="eastAsia" w:ascii="宋体" w:hAnsi="宋体" w:eastAsia="宋体" w:cs="宋体"/>
          <w:b/>
          <w:bCs/>
          <w:color w:val="FF0000"/>
          <w:kern w:val="2"/>
          <w:sz w:val="32"/>
          <w:szCs w:val="32"/>
          <w:u w:val="single"/>
          <w:lang w:val="en-US" w:eastAsia="zh-CN" w:bidi="ar-SA"/>
        </w:rPr>
        <w:fldChar w:fldCharType="separate"/>
      </w:r>
      <w:r>
        <w:rPr>
          <w:rFonts w:hint="eastAsia" w:ascii="宋体" w:hAnsi="宋体" w:eastAsia="宋体" w:cs="宋体"/>
          <w:b/>
          <w:bCs/>
          <w:color w:val="FF0000"/>
          <w:kern w:val="2"/>
          <w:sz w:val="32"/>
          <w:szCs w:val="32"/>
          <w:u w:val="single"/>
          <w:lang w:val="en-US" w:eastAsia="zh-CN" w:bidi="ar-SA"/>
        </w:rPr>
        <w:t>zssdsyycgb@126.com</w:t>
      </w:r>
      <w:r>
        <w:rPr>
          <w:rFonts w:hint="eastAsia" w:ascii="宋体" w:hAnsi="宋体" w:eastAsia="宋体" w:cs="宋体"/>
          <w:b/>
          <w:bCs/>
          <w:color w:val="FF0000"/>
          <w:kern w:val="2"/>
          <w:sz w:val="32"/>
          <w:szCs w:val="32"/>
          <w:u w:val="single"/>
          <w:lang w:val="en-US" w:eastAsia="zh-CN" w:bidi="ar-SA"/>
        </w:rPr>
        <w:fldChar w:fldCharType="end"/>
      </w:r>
    </w:p>
    <w:p w14:paraId="66247B5E">
      <w:pPr>
        <w:keepNext w:val="0"/>
        <w:keepLines w:val="0"/>
        <w:pageBreakBefore w:val="0"/>
        <w:widowControl w:val="0"/>
        <w:kinsoku/>
        <w:wordWrap/>
        <w:overflowPunct/>
        <w:topLinePunct w:val="0"/>
        <w:autoSpaceDE/>
        <w:autoSpaceDN/>
        <w:bidi w:val="0"/>
        <w:adjustRightInd/>
        <w:snapToGrid/>
        <w:spacing w:before="181" w:beforeLines="50" w:line="44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纸质版资料递交地址：中山市小榄镇兆隆路一号东升医院行政楼七楼采购办。</w:t>
      </w:r>
    </w:p>
    <w:p w14:paraId="209DAC67">
      <w:pPr>
        <w:keepNext w:val="0"/>
        <w:keepLines w:val="0"/>
        <w:pageBreakBefore w:val="0"/>
        <w:widowControl w:val="0"/>
        <w:kinsoku/>
        <w:wordWrap/>
        <w:overflowPunct/>
        <w:topLinePunct w:val="0"/>
        <w:autoSpaceDE/>
        <w:autoSpaceDN/>
        <w:bidi w:val="0"/>
        <w:adjustRightInd/>
        <w:snapToGrid/>
        <w:spacing w:before="181" w:beforeLines="50" w:line="44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项目截止时间为止，逾期送达或者未送达指定地点或未按要求密封和加写标记的投标文件，招标人均不予受理。</w:t>
      </w:r>
    </w:p>
    <w:p w14:paraId="5BEBAA6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val="en-US" w:eastAsia="zh-CN"/>
        </w:rPr>
      </w:pPr>
    </w:p>
    <w:p w14:paraId="7AF634F2">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联系人：杨老师</w:t>
      </w:r>
    </w:p>
    <w:p w14:paraId="525A12D6">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联系电话：0760-22896930</w:t>
      </w:r>
    </w:p>
    <w:p w14:paraId="444EA2E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邮箱：</w:t>
      </w:r>
      <w:r>
        <w:rPr>
          <w:rFonts w:hint="eastAsia" w:ascii="宋体" w:hAnsi="宋体" w:eastAsia="宋体" w:cs="宋体"/>
          <w:b/>
          <w:bCs/>
          <w:sz w:val="24"/>
          <w:szCs w:val="24"/>
          <w:lang w:val="en-US" w:eastAsia="zh-CN"/>
        </w:rPr>
        <w:fldChar w:fldCharType="begin"/>
      </w:r>
      <w:r>
        <w:rPr>
          <w:rFonts w:hint="eastAsia" w:ascii="宋体" w:hAnsi="宋体" w:eastAsia="宋体" w:cs="宋体"/>
          <w:b/>
          <w:bCs/>
          <w:sz w:val="24"/>
          <w:szCs w:val="24"/>
          <w:lang w:val="en-US" w:eastAsia="zh-CN"/>
        </w:rPr>
        <w:instrText xml:space="preserve"> HYPERLINK "mailto:zssdsyyzbk@126.com" </w:instrText>
      </w:r>
      <w:r>
        <w:rPr>
          <w:rFonts w:hint="eastAsia" w:ascii="宋体" w:hAnsi="宋体" w:eastAsia="宋体" w:cs="宋体"/>
          <w:b/>
          <w:bCs/>
          <w:sz w:val="24"/>
          <w:szCs w:val="24"/>
          <w:lang w:val="en-US" w:eastAsia="zh-CN"/>
        </w:rPr>
        <w:fldChar w:fldCharType="separate"/>
      </w:r>
      <w:r>
        <w:rPr>
          <w:rFonts w:hint="eastAsia" w:ascii="宋体" w:hAnsi="宋体" w:eastAsia="宋体" w:cs="宋体"/>
          <w:b/>
          <w:bCs/>
          <w:sz w:val="24"/>
          <w:szCs w:val="24"/>
          <w:lang w:val="en-US" w:eastAsia="zh-CN"/>
        </w:rPr>
        <w:t>zssdsyycgb@126.com</w:t>
      </w:r>
      <w:r>
        <w:rPr>
          <w:rFonts w:hint="eastAsia" w:ascii="宋体" w:hAnsi="宋体" w:eastAsia="宋体" w:cs="宋体"/>
          <w:b/>
          <w:bCs/>
          <w:sz w:val="24"/>
          <w:szCs w:val="24"/>
          <w:lang w:val="en-US" w:eastAsia="zh-CN"/>
        </w:rPr>
        <w:fldChar w:fldCharType="end"/>
      </w:r>
    </w:p>
    <w:p w14:paraId="64917D5F">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纪检联系人：吴老师</w:t>
      </w:r>
    </w:p>
    <w:p w14:paraId="21007FC2">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联系电话：0760-22825236</w:t>
      </w:r>
    </w:p>
    <w:p w14:paraId="7BA345B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p>
    <w:sectPr>
      <w:footerReference r:id="rId3" w:type="default"/>
      <w:pgSz w:w="11906" w:h="16838"/>
      <w:pgMar w:top="1077" w:right="964" w:bottom="1077" w:left="964"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18F31">
    <w:pPr>
      <w:ind w:firstLine="0"/>
      <w:jc w:val="center"/>
    </w:pPr>
    <w:r>
      <w:rPr>
        <w:rFonts w:ascii="宋体" w:hAnsi="宋体" w:eastAsia="宋体" w:cs="宋体"/>
        <w:sz w:val="28"/>
        <w:szCs w:val="28"/>
      </w:rPr>
      <w:t xml:space="preserve">— </w:t>
    </w:r>
    <w:r>
      <w:rPr>
        <w:rFonts w:ascii="宋体" w:hAnsi="宋体" w:eastAsia="宋体" w:cs="宋体"/>
        <w:sz w:val="28"/>
        <w:szCs w:val="28"/>
      </w:rPr>
      <w:fldChar w:fldCharType="begin"/>
    </w:r>
    <w:r>
      <w:rPr>
        <w:rFonts w:ascii="宋体" w:hAnsi="宋体" w:eastAsia="宋体" w:cs="宋体"/>
        <w:sz w:val="28"/>
        <w:szCs w:val="28"/>
      </w:rPr>
      <w:instrText xml:space="preserve">PAGE</w:instrText>
    </w:r>
    <w:r>
      <w:rPr>
        <w:rFonts w:ascii="宋体" w:hAnsi="宋体" w:eastAsia="宋体" w:cs="宋体"/>
        <w:sz w:val="28"/>
        <w:szCs w:val="28"/>
      </w:rPr>
      <w:fldChar w:fldCharType="separate"/>
    </w:r>
    <w:r>
      <w:rPr>
        <w:rFonts w:ascii="宋体" w:hAnsi="宋体" w:eastAsia="宋体" w:cs="宋体"/>
        <w:sz w:val="28"/>
        <w:szCs w:val="28"/>
      </w:rPr>
      <w:fldChar w:fldCharType="end"/>
    </w:r>
    <w:r>
      <w:rPr>
        <w:rFonts w:ascii="宋体" w:hAnsi="宋体" w:eastAsia="宋体" w:cs="宋体"/>
        <w:sz w:val="28"/>
        <w:szCs w:val="28"/>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compatSetting w:name="compatibilityMode" w:uri="http://schemas.microsoft.com/office/word" w:val="15"/>
  </w:compat>
  <w:rsids>
    <w:rsidRoot w:val="00000000"/>
    <w:rsid w:val="04E05BD6"/>
    <w:rsid w:val="09895F6E"/>
    <w:rsid w:val="0DED4141"/>
    <w:rsid w:val="0E2551CB"/>
    <w:rsid w:val="15835095"/>
    <w:rsid w:val="18801D8E"/>
    <w:rsid w:val="1CD001DE"/>
    <w:rsid w:val="1ED1023E"/>
    <w:rsid w:val="25D616BE"/>
    <w:rsid w:val="37EF3597"/>
    <w:rsid w:val="3C885F88"/>
    <w:rsid w:val="3D5F222C"/>
    <w:rsid w:val="3DCE20B5"/>
    <w:rsid w:val="47FF6CF3"/>
    <w:rsid w:val="4A003601"/>
    <w:rsid w:val="4AA401D9"/>
    <w:rsid w:val="51110826"/>
    <w:rsid w:val="513314DF"/>
    <w:rsid w:val="51554A33"/>
    <w:rsid w:val="58D63B5A"/>
    <w:rsid w:val="5C5320DA"/>
    <w:rsid w:val="5E370008"/>
    <w:rsid w:val="61A52B04"/>
    <w:rsid w:val="64A7706B"/>
    <w:rsid w:val="66B94E0C"/>
    <w:rsid w:val="6B05560F"/>
    <w:rsid w:val="6E5D23A8"/>
    <w:rsid w:val="6FEF761E"/>
    <w:rsid w:val="70236225"/>
    <w:rsid w:val="73530396"/>
    <w:rsid w:val="79ED4D77"/>
    <w:rsid w:val="7BC129E6"/>
    <w:rsid w:val="7CFB279C"/>
    <w:rsid w:val="7FA109C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iPriority="99" w:name="endnote reference"/>
    <w:lsdException w:qFormat="1"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 w:hAnsi="仿宋" w:eastAsia="仿宋" w:cs="仿宋"/>
      <w:color w:val="000000"/>
      <w:sz w:val="32"/>
      <w:szCs w:val="32"/>
    </w:rPr>
  </w:style>
  <w:style w:type="paragraph" w:styleId="2">
    <w:name w:val="heading 1"/>
    <w:next w:val="1"/>
    <w:qFormat/>
    <w:uiPriority w:val="0"/>
    <w:pPr>
      <w:spacing w:after="0" w:line="560" w:lineRule="exact"/>
    </w:pPr>
    <w:rPr>
      <w:rFonts w:ascii="仿宋" w:hAnsi="仿宋" w:eastAsia="仿宋" w:cs="仿宋"/>
      <w:color w:val="2E74B5"/>
      <w:sz w:val="32"/>
      <w:szCs w:val="32"/>
    </w:rPr>
  </w:style>
  <w:style w:type="paragraph" w:styleId="3">
    <w:name w:val="heading 2"/>
    <w:next w:val="1"/>
    <w:qFormat/>
    <w:uiPriority w:val="0"/>
    <w:pPr>
      <w:spacing w:after="0" w:line="560" w:lineRule="exact"/>
    </w:pPr>
    <w:rPr>
      <w:rFonts w:ascii="仿宋" w:hAnsi="仿宋" w:eastAsia="仿宋" w:cs="仿宋"/>
      <w:color w:val="2E74B5"/>
      <w:sz w:val="26"/>
      <w:szCs w:val="26"/>
    </w:rPr>
  </w:style>
  <w:style w:type="paragraph" w:styleId="4">
    <w:name w:val="heading 3"/>
    <w:next w:val="1"/>
    <w:qFormat/>
    <w:uiPriority w:val="0"/>
    <w:pPr>
      <w:spacing w:after="0" w:line="560" w:lineRule="exact"/>
    </w:pPr>
    <w:rPr>
      <w:rFonts w:ascii="仿宋" w:hAnsi="仿宋" w:eastAsia="仿宋" w:cs="仿宋"/>
      <w:color w:val="1F4D78"/>
      <w:sz w:val="24"/>
      <w:szCs w:val="24"/>
    </w:rPr>
  </w:style>
  <w:style w:type="paragraph" w:styleId="5">
    <w:name w:val="heading 4"/>
    <w:next w:val="1"/>
    <w:qFormat/>
    <w:uiPriority w:val="0"/>
    <w:pPr>
      <w:spacing w:after="0" w:line="560" w:lineRule="exact"/>
    </w:pPr>
    <w:rPr>
      <w:rFonts w:ascii="仿宋" w:hAnsi="仿宋" w:eastAsia="仿宋" w:cs="仿宋"/>
      <w:i/>
      <w:iCs/>
      <w:color w:val="2E74B5"/>
      <w:sz w:val="32"/>
      <w:szCs w:val="32"/>
    </w:rPr>
  </w:style>
  <w:style w:type="paragraph" w:styleId="6">
    <w:name w:val="heading 5"/>
    <w:next w:val="1"/>
    <w:qFormat/>
    <w:uiPriority w:val="0"/>
    <w:pPr>
      <w:spacing w:after="0" w:line="560" w:lineRule="exact"/>
    </w:pPr>
    <w:rPr>
      <w:rFonts w:ascii="仿宋" w:hAnsi="仿宋" w:eastAsia="仿宋" w:cs="仿宋"/>
      <w:color w:val="2E74B5"/>
      <w:sz w:val="32"/>
      <w:szCs w:val="32"/>
    </w:rPr>
  </w:style>
  <w:style w:type="paragraph" w:styleId="7">
    <w:name w:val="heading 6"/>
    <w:next w:val="1"/>
    <w:qFormat/>
    <w:uiPriority w:val="0"/>
    <w:pPr>
      <w:spacing w:after="0" w:line="560" w:lineRule="exact"/>
    </w:pPr>
    <w:rPr>
      <w:rFonts w:ascii="仿宋" w:hAnsi="仿宋" w:eastAsia="仿宋" w:cs="仿宋"/>
      <w:color w:val="1F4D78"/>
      <w:sz w:val="32"/>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8">
    <w:name w:val="endnote text"/>
    <w:link w:val="18"/>
    <w:semiHidden/>
    <w:unhideWhenUsed/>
    <w:qFormat/>
    <w:uiPriority w:val="99"/>
    <w:pPr>
      <w:spacing w:after="0" w:line="240" w:lineRule="auto"/>
    </w:pPr>
    <w:rPr>
      <w:rFonts w:ascii="仿宋" w:hAnsi="仿宋" w:eastAsia="仿宋" w:cs="仿宋"/>
      <w:color w:val="000000"/>
      <w:sz w:val="20"/>
      <w:szCs w:val="20"/>
    </w:rPr>
  </w:style>
  <w:style w:type="paragraph" w:styleId="9">
    <w:name w:val="footnote text"/>
    <w:link w:val="17"/>
    <w:semiHidden/>
    <w:unhideWhenUsed/>
    <w:qFormat/>
    <w:uiPriority w:val="99"/>
    <w:pPr>
      <w:spacing w:after="0" w:line="240" w:lineRule="auto"/>
    </w:pPr>
    <w:rPr>
      <w:rFonts w:ascii="仿宋" w:hAnsi="仿宋" w:eastAsia="仿宋" w:cs="仿宋"/>
      <w:color w:val="000000"/>
      <w:sz w:val="20"/>
      <w:szCs w:val="20"/>
    </w:rPr>
  </w:style>
  <w:style w:type="paragraph" w:styleId="10">
    <w:name w:val="Title"/>
    <w:qFormat/>
    <w:uiPriority w:val="0"/>
    <w:pPr>
      <w:spacing w:after="0" w:line="560" w:lineRule="exact"/>
    </w:pPr>
    <w:rPr>
      <w:rFonts w:ascii="仿宋" w:hAnsi="仿宋" w:eastAsia="仿宋" w:cs="仿宋"/>
      <w:color w:val="000000"/>
      <w:sz w:val="56"/>
      <w:szCs w:val="56"/>
    </w:rPr>
  </w:style>
  <w:style w:type="character" w:styleId="13">
    <w:name w:val="endnote reference"/>
    <w:semiHidden/>
    <w:unhideWhenUsed/>
    <w:qFormat/>
    <w:uiPriority w:val="99"/>
    <w:rPr>
      <w:vertAlign w:val="superscript"/>
    </w:rPr>
  </w:style>
  <w:style w:type="character" w:styleId="14">
    <w:name w:val="Hyperlink"/>
    <w:unhideWhenUsed/>
    <w:qFormat/>
    <w:uiPriority w:val="99"/>
    <w:rPr>
      <w:color w:val="0563C1"/>
      <w:u w:val="single"/>
    </w:rPr>
  </w:style>
  <w:style w:type="character" w:styleId="15">
    <w:name w:val="footnote reference"/>
    <w:semiHidden/>
    <w:unhideWhenUsed/>
    <w:qFormat/>
    <w:uiPriority w:val="99"/>
    <w:rPr>
      <w:vertAlign w:val="superscript"/>
    </w:rPr>
  </w:style>
  <w:style w:type="paragraph" w:styleId="16">
    <w:name w:val="List Paragraph"/>
    <w:qFormat/>
    <w:uiPriority w:val="0"/>
    <w:pPr>
      <w:spacing w:after="0" w:line="560" w:lineRule="exact"/>
    </w:pPr>
    <w:rPr>
      <w:rFonts w:ascii="仿宋" w:hAnsi="仿宋" w:eastAsia="仿宋" w:cs="仿宋"/>
      <w:color w:val="000000"/>
      <w:sz w:val="32"/>
      <w:szCs w:val="32"/>
    </w:rPr>
  </w:style>
  <w:style w:type="character" w:customStyle="1" w:styleId="17">
    <w:name w:val="Footnote Text Char"/>
    <w:link w:val="9"/>
    <w:semiHidden/>
    <w:unhideWhenUsed/>
    <w:qFormat/>
    <w:uiPriority w:val="99"/>
    <w:rPr>
      <w:sz w:val="20"/>
      <w:szCs w:val="20"/>
    </w:rPr>
  </w:style>
  <w:style w:type="character" w:customStyle="1" w:styleId="18">
    <w:name w:val="Endnote Text Char"/>
    <w:link w:val="8"/>
    <w:semiHidden/>
    <w:unhideWhenUsed/>
    <w:qFormat/>
    <w:uiPriority w:val="99"/>
    <w:rPr>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18</Pages>
  <Words>11307</Words>
  <Characters>11703</Characters>
  <TotalTime>0</TotalTime>
  <ScaleCrop>false</ScaleCrop>
  <LinksUpToDate>false</LinksUpToDate>
  <CharactersWithSpaces>11826</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2026-07-20T02:06:00Z</dcterms:created>
  <dc:creator>采购单位</dc:creator>
  <cp:lastModifiedBy>Lily</cp:lastModifiedBy>
  <cp:lastPrinted>2026-08-04T00:39:00Z</cp:lastPrinted>
  <dcterms:modified xsi:type="dcterms:W3CDTF">2026-08-04T06:45:23Z</dcterms:modified>
  <dc:title>食堂经营和改造项目遴选文件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eyJoZGlkIjoiZjMxODI1ZDk1NTM3ZThjZDIyMDM0N2Q4Njc3ODMwMjMiLCJ1c2VySWQiOiIyNjI5MDY5MzEifQ==</vt:lpwstr>
  </property>
  <property fmtid="{D5CDD505-2E9C-101B-9397-08002B2CF9AE}" pid="3" name="KSOProductBuildVer">
    <vt:lpwstr>2052-12.1.0.26895</vt:lpwstr>
  </property>
  <property fmtid="{D5CDD505-2E9C-101B-9397-08002B2CF9AE}" pid="4" name="ICV">
    <vt:lpwstr>7DE79D467EC64A169BE45B7BF7AAA05E_13</vt:lpwstr>
  </property>
</Properties>
</file>