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7C101C">
      <w:pPr>
        <w:spacing w:line="360" w:lineRule="auto"/>
        <w:jc w:val="center"/>
        <w:outlineLvl w:val="1"/>
        <w:rPr>
          <w:rStyle w:val="18"/>
          <w:rFonts w:hint="eastAsia" w:ascii="宋体" w:hAnsi="宋体" w:eastAsia="宋体" w:cs="宋体"/>
          <w:b/>
          <w:bCs/>
          <w:sz w:val="32"/>
          <w:szCs w:val="28"/>
        </w:rPr>
      </w:pPr>
    </w:p>
    <w:p w14:paraId="0C8D5C73">
      <w:pPr>
        <w:spacing w:line="360" w:lineRule="auto"/>
        <w:jc w:val="center"/>
        <w:outlineLvl w:val="1"/>
        <w:rPr>
          <w:rStyle w:val="18"/>
          <w:rFonts w:hint="eastAsia" w:ascii="宋体" w:hAnsi="宋体" w:eastAsia="宋体" w:cs="宋体"/>
          <w:b/>
          <w:bCs/>
          <w:sz w:val="32"/>
          <w:szCs w:val="28"/>
          <w:lang w:val="en-US" w:eastAsia="zh-CN"/>
        </w:rPr>
      </w:pPr>
    </w:p>
    <w:p w14:paraId="268FE1B6">
      <w:pPr>
        <w:spacing w:line="360" w:lineRule="auto"/>
        <w:jc w:val="center"/>
        <w:outlineLvl w:val="1"/>
        <w:rPr>
          <w:rStyle w:val="18"/>
          <w:rFonts w:hint="eastAsia" w:ascii="宋体" w:hAnsi="宋体" w:eastAsia="宋体" w:cs="宋体"/>
          <w:b/>
          <w:bCs/>
          <w:sz w:val="32"/>
          <w:szCs w:val="28"/>
          <w:lang w:val="en-US" w:eastAsia="zh-CN"/>
        </w:rPr>
      </w:pPr>
    </w:p>
    <w:p w14:paraId="5F9B338A">
      <w:pPr>
        <w:pStyle w:val="11"/>
        <w:ind w:left="0" w:leftChars="0" w:firstLine="0" w:firstLineChars="0"/>
        <w:rPr>
          <w:rStyle w:val="18"/>
          <w:rFonts w:hint="eastAsia" w:ascii="宋体" w:hAnsi="宋体" w:eastAsia="宋体" w:cs="宋体"/>
          <w:b/>
          <w:bCs/>
          <w:sz w:val="32"/>
          <w:szCs w:val="28"/>
          <w:lang w:val="en-US" w:eastAsia="zh-CN"/>
        </w:rPr>
      </w:pPr>
    </w:p>
    <w:p w14:paraId="0B850935">
      <w:pPr>
        <w:pStyle w:val="11"/>
        <w:rPr>
          <w:rStyle w:val="18"/>
          <w:rFonts w:hint="eastAsia" w:ascii="宋体" w:hAnsi="宋体" w:eastAsia="宋体" w:cs="宋体"/>
          <w:b/>
          <w:bCs/>
          <w:sz w:val="32"/>
          <w:szCs w:val="28"/>
          <w:lang w:val="en-US" w:eastAsia="zh-CN"/>
        </w:rPr>
      </w:pPr>
    </w:p>
    <w:p w14:paraId="6C5F2868">
      <w:pPr>
        <w:spacing w:line="360" w:lineRule="auto"/>
        <w:jc w:val="center"/>
        <w:outlineLvl w:val="1"/>
        <w:rPr>
          <w:rStyle w:val="18"/>
          <w:rFonts w:hint="eastAsia" w:ascii="宋体" w:hAnsi="宋体" w:eastAsia="宋体" w:cs="宋体"/>
          <w:b/>
          <w:bCs/>
          <w:sz w:val="48"/>
          <w:szCs w:val="48"/>
          <w:lang w:val="en-US" w:eastAsia="zh-CN"/>
        </w:rPr>
      </w:pPr>
      <w:r>
        <w:rPr>
          <w:rStyle w:val="18"/>
          <w:rFonts w:hint="eastAsia" w:ascii="宋体" w:hAnsi="宋体" w:eastAsia="宋体" w:cs="宋体"/>
          <w:b/>
          <w:bCs/>
          <w:sz w:val="48"/>
          <w:szCs w:val="48"/>
          <w:lang w:val="en-US" w:eastAsia="zh-CN"/>
        </w:rPr>
        <w:t>中山市东升医院2026-2028年底共享轮椅服务项目共享轮椅服务项目</w:t>
      </w:r>
    </w:p>
    <w:p w14:paraId="73291A6C">
      <w:pPr>
        <w:spacing w:line="360" w:lineRule="auto"/>
        <w:jc w:val="center"/>
        <w:outlineLvl w:val="1"/>
        <w:rPr>
          <w:rFonts w:hint="eastAsia" w:ascii="宋体" w:hAnsi="宋体" w:eastAsia="宋体" w:cs="宋体"/>
          <w:sz w:val="48"/>
          <w:szCs w:val="48"/>
          <w:lang w:val="en-US" w:eastAsia="zh-CN"/>
        </w:rPr>
      </w:pPr>
      <w:r>
        <w:rPr>
          <w:rStyle w:val="18"/>
          <w:rFonts w:hint="eastAsia" w:ascii="宋体" w:hAnsi="宋体" w:eastAsia="宋体" w:cs="宋体"/>
          <w:b/>
          <w:bCs/>
          <w:sz w:val="48"/>
          <w:szCs w:val="48"/>
          <w:lang w:val="en-US" w:eastAsia="zh-CN"/>
        </w:rPr>
        <w:t>调研响应文件</w:t>
      </w:r>
    </w:p>
    <w:p w14:paraId="3785F128">
      <w:pPr>
        <w:spacing w:line="360" w:lineRule="auto"/>
        <w:jc w:val="center"/>
        <w:outlineLvl w:val="1"/>
        <w:rPr>
          <w:rStyle w:val="18"/>
          <w:rFonts w:hint="eastAsia" w:ascii="宋体" w:hAnsi="宋体" w:eastAsia="宋体" w:cs="宋体"/>
          <w:b/>
          <w:bCs/>
          <w:sz w:val="32"/>
          <w:szCs w:val="28"/>
        </w:rPr>
      </w:pPr>
    </w:p>
    <w:p w14:paraId="66779CA0">
      <w:pPr>
        <w:spacing w:line="360" w:lineRule="auto"/>
        <w:jc w:val="center"/>
        <w:outlineLvl w:val="1"/>
        <w:rPr>
          <w:rStyle w:val="18"/>
          <w:rFonts w:hint="eastAsia" w:ascii="宋体" w:hAnsi="宋体" w:eastAsia="宋体" w:cs="宋体"/>
          <w:b/>
          <w:bCs/>
          <w:sz w:val="32"/>
          <w:szCs w:val="28"/>
        </w:rPr>
      </w:pPr>
    </w:p>
    <w:p w14:paraId="3ACB86FE">
      <w:pPr>
        <w:spacing w:line="360" w:lineRule="auto"/>
        <w:jc w:val="center"/>
        <w:outlineLvl w:val="1"/>
        <w:rPr>
          <w:rStyle w:val="18"/>
          <w:rFonts w:hint="eastAsia" w:ascii="宋体" w:hAnsi="宋体" w:eastAsia="宋体" w:cs="宋体"/>
          <w:b/>
          <w:bCs/>
          <w:sz w:val="32"/>
          <w:szCs w:val="28"/>
        </w:rPr>
      </w:pPr>
    </w:p>
    <w:p w14:paraId="07D4B0A5">
      <w:pPr>
        <w:spacing w:line="360" w:lineRule="auto"/>
        <w:jc w:val="center"/>
        <w:outlineLvl w:val="1"/>
        <w:rPr>
          <w:rStyle w:val="18"/>
          <w:rFonts w:hint="eastAsia" w:ascii="宋体" w:hAnsi="宋体" w:eastAsia="宋体" w:cs="宋体"/>
          <w:b/>
          <w:bCs/>
          <w:sz w:val="32"/>
          <w:szCs w:val="28"/>
        </w:rPr>
      </w:pPr>
    </w:p>
    <w:p w14:paraId="41060C6E">
      <w:pPr>
        <w:spacing w:line="360" w:lineRule="auto"/>
        <w:jc w:val="center"/>
        <w:outlineLvl w:val="1"/>
        <w:rPr>
          <w:rStyle w:val="18"/>
          <w:rFonts w:hint="eastAsia" w:ascii="宋体" w:hAnsi="宋体" w:eastAsia="宋体" w:cs="宋体"/>
          <w:b/>
          <w:bCs/>
          <w:sz w:val="32"/>
          <w:szCs w:val="28"/>
        </w:rPr>
      </w:pPr>
    </w:p>
    <w:p w14:paraId="43C5CE10">
      <w:pPr>
        <w:pStyle w:val="3"/>
        <w:rPr>
          <w:rStyle w:val="18"/>
          <w:rFonts w:hint="eastAsia" w:ascii="宋体" w:hAnsi="宋体" w:eastAsia="宋体" w:cs="宋体"/>
          <w:b/>
          <w:bCs/>
          <w:sz w:val="32"/>
          <w:szCs w:val="28"/>
        </w:rPr>
      </w:pPr>
    </w:p>
    <w:p w14:paraId="13F4767D">
      <w:pPr>
        <w:spacing w:line="360" w:lineRule="auto"/>
        <w:ind w:firstLine="1680" w:firstLineChars="700"/>
        <w:jc w:val="both"/>
        <w:outlineLvl w:val="1"/>
        <w:rPr>
          <w:rStyle w:val="18"/>
          <w:rFonts w:hint="default" w:ascii="宋体" w:hAnsi="宋体" w:eastAsia="宋体" w:cs="宋体"/>
          <w:b w:val="0"/>
          <w:bCs w:val="0"/>
          <w:sz w:val="24"/>
          <w:szCs w:val="24"/>
          <w:u w:val="single"/>
          <w:lang w:val="en-US" w:eastAsia="zh-CN"/>
        </w:rPr>
      </w:pPr>
      <w:r>
        <w:rPr>
          <w:rStyle w:val="18"/>
          <w:rFonts w:hint="eastAsia" w:ascii="宋体" w:hAnsi="宋体" w:eastAsia="宋体" w:cs="宋体"/>
          <w:b w:val="0"/>
          <w:bCs w:val="0"/>
          <w:sz w:val="24"/>
          <w:szCs w:val="24"/>
          <w:lang w:val="en-US" w:eastAsia="zh-CN"/>
        </w:rPr>
        <w:t>报名单位：</w:t>
      </w:r>
    </w:p>
    <w:p w14:paraId="7C0E67B4">
      <w:pPr>
        <w:spacing w:line="360" w:lineRule="auto"/>
        <w:ind w:firstLine="1680" w:firstLineChars="700"/>
        <w:jc w:val="both"/>
        <w:outlineLvl w:val="1"/>
        <w:rPr>
          <w:rStyle w:val="18"/>
          <w:rFonts w:hint="eastAsia" w:ascii="宋体" w:hAnsi="宋体" w:eastAsia="宋体" w:cs="宋体"/>
          <w:b w:val="0"/>
          <w:bCs w:val="0"/>
          <w:sz w:val="24"/>
          <w:szCs w:val="24"/>
          <w:lang w:val="en-US" w:eastAsia="zh-CN"/>
        </w:rPr>
      </w:pPr>
      <w:r>
        <w:rPr>
          <w:rStyle w:val="18"/>
          <w:rFonts w:hint="eastAsia" w:ascii="宋体" w:hAnsi="宋体" w:eastAsia="宋体" w:cs="宋体"/>
          <w:b w:val="0"/>
          <w:bCs w:val="0"/>
          <w:sz w:val="24"/>
          <w:szCs w:val="24"/>
          <w:lang w:val="en-US" w:eastAsia="zh-CN"/>
        </w:rPr>
        <w:t>联系人：</w:t>
      </w:r>
    </w:p>
    <w:p w14:paraId="35E49516">
      <w:pPr>
        <w:spacing w:line="360" w:lineRule="auto"/>
        <w:ind w:firstLine="1680" w:firstLineChars="700"/>
        <w:jc w:val="both"/>
        <w:outlineLvl w:val="1"/>
        <w:rPr>
          <w:rStyle w:val="18"/>
          <w:rFonts w:hint="eastAsia" w:ascii="宋体" w:hAnsi="宋体" w:eastAsia="宋体" w:cs="宋体"/>
          <w:b w:val="0"/>
          <w:bCs w:val="0"/>
          <w:sz w:val="24"/>
          <w:szCs w:val="24"/>
          <w:lang w:val="en-US" w:eastAsia="zh-CN"/>
        </w:rPr>
      </w:pPr>
      <w:r>
        <w:rPr>
          <w:rStyle w:val="18"/>
          <w:rFonts w:hint="eastAsia" w:ascii="宋体" w:hAnsi="宋体" w:eastAsia="宋体" w:cs="宋体"/>
          <w:b w:val="0"/>
          <w:bCs w:val="0"/>
          <w:sz w:val="24"/>
          <w:szCs w:val="24"/>
          <w:lang w:val="en-US" w:eastAsia="zh-CN"/>
        </w:rPr>
        <w:t>联系电话：</w:t>
      </w:r>
    </w:p>
    <w:p w14:paraId="7EE50031">
      <w:pPr>
        <w:spacing w:line="360" w:lineRule="auto"/>
        <w:ind w:firstLine="1680" w:firstLineChars="700"/>
        <w:jc w:val="both"/>
        <w:outlineLvl w:val="1"/>
        <w:rPr>
          <w:rStyle w:val="18"/>
          <w:rFonts w:hint="default" w:ascii="宋体" w:hAnsi="宋体" w:eastAsia="宋体" w:cs="宋体"/>
          <w:b w:val="0"/>
          <w:bCs w:val="0"/>
          <w:sz w:val="24"/>
          <w:szCs w:val="24"/>
          <w:lang w:val="en-US" w:eastAsia="zh-CN"/>
        </w:rPr>
      </w:pPr>
      <w:r>
        <w:rPr>
          <w:rStyle w:val="18"/>
          <w:rFonts w:hint="eastAsia" w:ascii="宋体" w:hAnsi="宋体" w:eastAsia="宋体" w:cs="宋体"/>
          <w:b w:val="0"/>
          <w:bCs w:val="0"/>
          <w:sz w:val="24"/>
          <w:szCs w:val="24"/>
          <w:lang w:val="en-US" w:eastAsia="zh-CN"/>
        </w:rPr>
        <w:t>邮箱：</w:t>
      </w:r>
    </w:p>
    <w:p w14:paraId="319592BB">
      <w:pPr>
        <w:pStyle w:val="3"/>
        <w:rPr>
          <w:rStyle w:val="18"/>
          <w:rFonts w:hint="eastAsia" w:ascii="宋体" w:hAnsi="宋体" w:eastAsia="宋体" w:cs="宋体"/>
          <w:b/>
          <w:bCs/>
          <w:sz w:val="32"/>
          <w:szCs w:val="28"/>
        </w:rPr>
      </w:pPr>
    </w:p>
    <w:p w14:paraId="18276DFC">
      <w:pPr>
        <w:spacing w:line="360" w:lineRule="auto"/>
        <w:jc w:val="left"/>
        <w:outlineLvl w:val="1"/>
        <w:rPr>
          <w:rStyle w:val="18"/>
          <w:rFonts w:hint="eastAsia" w:ascii="宋体" w:hAnsi="宋体" w:eastAsia="宋体" w:cs="宋体"/>
          <w:b/>
          <w:bCs/>
          <w:sz w:val="21"/>
          <w:szCs w:val="21"/>
          <w:lang w:val="en-US" w:eastAsia="zh-CN"/>
        </w:rPr>
        <w:sectPr>
          <w:headerReference r:id="rId3" w:type="default"/>
          <w:pgSz w:w="11900" w:h="16840"/>
          <w:pgMar w:top="1440" w:right="1800" w:bottom="1440" w:left="1800" w:header="0" w:footer="567" w:gutter="0"/>
          <w:pgBorders>
            <w:top w:val="none" w:sz="0" w:space="0"/>
            <w:left w:val="none" w:sz="0" w:space="0"/>
            <w:bottom w:val="none" w:sz="0" w:space="0"/>
            <w:right w:val="none" w:sz="0" w:space="0"/>
          </w:pgBorders>
          <w:cols w:space="720" w:num="1"/>
        </w:sectPr>
      </w:pPr>
    </w:p>
    <w:p w14:paraId="0CA609BF">
      <w:pPr>
        <w:pStyle w:val="17"/>
        <w:numPr>
          <w:ilvl w:val="0"/>
          <w:numId w:val="0"/>
        </w:numPr>
        <w:spacing w:line="360" w:lineRule="auto"/>
        <w:ind w:leftChars="0"/>
        <w:jc w:val="center"/>
        <w:rPr>
          <w:rFonts w:hint="eastAsia" w:ascii="宋体" w:hAnsi="宋体" w:eastAsia="宋体" w:cs="宋体"/>
          <w:b/>
          <w:bCs/>
          <w:sz w:val="32"/>
          <w:szCs w:val="32"/>
          <w:lang w:val="zh-TW" w:eastAsia="zh-TW"/>
        </w:rPr>
      </w:pPr>
      <w:r>
        <w:rPr>
          <w:rFonts w:hint="eastAsia" w:ascii="宋体" w:hAnsi="宋体" w:eastAsia="宋体" w:cs="宋体"/>
          <w:b/>
          <w:bCs/>
          <w:sz w:val="32"/>
          <w:szCs w:val="32"/>
          <w:lang w:val="zh-TW" w:eastAsia="zh-CN"/>
        </w:rPr>
        <w:t>一、调研</w:t>
      </w:r>
      <w:r>
        <w:rPr>
          <w:rFonts w:hint="eastAsia" w:ascii="宋体" w:hAnsi="宋体" w:eastAsia="宋体" w:cs="宋体"/>
          <w:b/>
          <w:bCs/>
          <w:sz w:val="32"/>
          <w:szCs w:val="32"/>
          <w:lang w:val="zh-TW" w:eastAsia="zh-TW"/>
        </w:rPr>
        <w:t>报价单</w:t>
      </w:r>
    </w:p>
    <w:p w14:paraId="152EF204">
      <w:pPr>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b w:val="0"/>
          <w:bCs w:val="0"/>
          <w:sz w:val="21"/>
          <w:szCs w:val="21"/>
          <w:lang w:val="zh-TW" w:eastAsia="zh-TW"/>
        </w:rPr>
        <w:t>本调研公告将作为后续该项目参数设置及预算确定的重要依据，</w:t>
      </w:r>
      <w:r>
        <w:rPr>
          <w:rFonts w:hint="eastAsia" w:ascii="宋体" w:hAnsi="宋体" w:eastAsia="宋体" w:cs="宋体"/>
          <w:b w:val="0"/>
          <w:bCs w:val="0"/>
          <w:sz w:val="21"/>
          <w:szCs w:val="21"/>
          <w:lang w:val="zh-TW" w:eastAsia="zh-CN"/>
        </w:rPr>
        <w:t>请各意向供应商认真核实情况后提供调研报价</w:t>
      </w:r>
    </w:p>
    <w:p w14:paraId="4498CA15">
      <w:pPr>
        <w:numPr>
          <w:ilvl w:val="0"/>
          <w:numId w:val="0"/>
        </w:numPr>
        <w:spacing w:line="360" w:lineRule="auto"/>
        <w:ind w:firstLine="420" w:firstLineChars="200"/>
        <w:rPr>
          <w:rFonts w:hint="default" w:ascii="宋体" w:hAnsi="宋体" w:eastAsia="宋体" w:cs="宋体"/>
          <w:sz w:val="21"/>
          <w:szCs w:val="21"/>
          <w:lang w:val="en-US" w:eastAsia="zh-CN"/>
        </w:rPr>
      </w:pPr>
    </w:p>
    <w:tbl>
      <w:tblPr>
        <w:tblStyle w:val="14"/>
        <w:tblW w:w="9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6"/>
        <w:gridCol w:w="3813"/>
        <w:gridCol w:w="2399"/>
        <w:gridCol w:w="2182"/>
      </w:tblGrid>
      <w:tr w14:paraId="5DAB2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616" w:type="dxa"/>
            <w:vAlign w:val="center"/>
          </w:tcPr>
          <w:p w14:paraId="4F707714">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序号</w:t>
            </w:r>
          </w:p>
        </w:tc>
        <w:tc>
          <w:tcPr>
            <w:tcW w:w="3813" w:type="dxa"/>
            <w:vAlign w:val="center"/>
          </w:tcPr>
          <w:p w14:paraId="37D6AA40">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采购内容</w:t>
            </w:r>
          </w:p>
        </w:tc>
        <w:tc>
          <w:tcPr>
            <w:tcW w:w="2399" w:type="dxa"/>
            <w:vAlign w:val="center"/>
          </w:tcPr>
          <w:p w14:paraId="62C352DC">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数量</w:t>
            </w:r>
          </w:p>
        </w:tc>
        <w:tc>
          <w:tcPr>
            <w:tcW w:w="2182" w:type="dxa"/>
            <w:vAlign w:val="center"/>
          </w:tcPr>
          <w:p w14:paraId="14FFFF5D">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总价（元）</w:t>
            </w:r>
          </w:p>
        </w:tc>
      </w:tr>
      <w:tr w14:paraId="39A38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616" w:type="dxa"/>
            <w:vAlign w:val="center"/>
          </w:tcPr>
          <w:p w14:paraId="775BE0AA">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w:t>
            </w:r>
          </w:p>
        </w:tc>
        <w:tc>
          <w:tcPr>
            <w:tcW w:w="3813" w:type="dxa"/>
            <w:vAlign w:val="center"/>
          </w:tcPr>
          <w:p w14:paraId="548E4B51">
            <w:pPr>
              <w:keepNext w:val="0"/>
              <w:keepLines w:val="0"/>
              <w:widowControl/>
              <w:suppressLineNumbers w:val="0"/>
              <w:jc w:val="center"/>
              <w:textAlignment w:val="center"/>
              <w:rPr>
                <w:rFonts w:hint="default" w:ascii="宋体" w:hAnsi="宋体" w:eastAsia="宋体" w:cs="宋体"/>
                <w:color w:val="000000"/>
                <w:kern w:val="2"/>
                <w:sz w:val="21"/>
                <w:szCs w:val="21"/>
                <w:highlight w:val="none"/>
                <w:lang w:val="en-US" w:eastAsia="zh-CN" w:bidi="ar-SA"/>
              </w:rPr>
            </w:pPr>
            <w:r>
              <w:rPr>
                <w:rFonts w:hint="eastAsia" w:ascii="宋体" w:hAnsi="宋体" w:eastAsia="宋体" w:cs="宋体"/>
                <w:i w:val="0"/>
                <w:iCs w:val="0"/>
                <w:caps w:val="0"/>
                <w:color w:val="000000"/>
                <w:spacing w:val="0"/>
                <w:sz w:val="21"/>
                <w:szCs w:val="21"/>
                <w:shd w:val="clear" w:fill="FFFFFF"/>
              </w:rPr>
              <w:t>共享轮椅服务租金</w:t>
            </w:r>
          </w:p>
        </w:tc>
        <w:tc>
          <w:tcPr>
            <w:tcW w:w="2399" w:type="dxa"/>
            <w:vAlign w:val="center"/>
          </w:tcPr>
          <w:p w14:paraId="5573E89D">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2"/>
                <w:sz w:val="21"/>
                <w:szCs w:val="21"/>
                <w:u w:val="none"/>
                <w:lang w:val="en-US" w:eastAsia="zh-CN" w:bidi="ar-SA"/>
              </w:rPr>
              <w:t>每台每小时</w:t>
            </w:r>
          </w:p>
        </w:tc>
        <w:tc>
          <w:tcPr>
            <w:tcW w:w="2182" w:type="dxa"/>
            <w:vAlign w:val="center"/>
          </w:tcPr>
          <w:p w14:paraId="1AC3F19D">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p>
        </w:tc>
      </w:tr>
      <w:tr w14:paraId="5578C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4" w:hRule="atLeast"/>
          <w:jc w:val="center"/>
        </w:trPr>
        <w:tc>
          <w:tcPr>
            <w:tcW w:w="9010" w:type="dxa"/>
            <w:gridSpan w:val="4"/>
            <w:vAlign w:val="center"/>
          </w:tcPr>
          <w:p w14:paraId="6A165125">
            <w:pPr>
              <w:spacing w:line="240" w:lineRule="auto"/>
              <w:jc w:val="left"/>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2"/>
                <w:sz w:val="21"/>
                <w:szCs w:val="21"/>
                <w:u w:val="none"/>
                <w:lang w:val="en-US" w:eastAsia="zh-CN" w:bidi="ar-SA"/>
              </w:rPr>
              <w:t>备注：每天免费使用时间不少于60分钟，免费时段结束后,租金≤ 5元/小时，不足1小时按1小时计费，24小时内最高收费不超过每小时收费×10。</w:t>
            </w:r>
          </w:p>
          <w:p w14:paraId="54FB26ED">
            <w:pPr>
              <w:pStyle w:val="16"/>
              <w:rPr>
                <w:rFonts w:hint="eastAsia"/>
                <w:lang w:val="en-US" w:eastAsia="zh-CN"/>
              </w:rPr>
            </w:pPr>
            <w:r>
              <w:rPr>
                <w:rFonts w:hint="eastAsia" w:hAnsi="宋体" w:cs="宋体"/>
                <w:i w:val="0"/>
                <w:iCs w:val="0"/>
                <w:color w:val="000000"/>
                <w:kern w:val="2"/>
                <w:sz w:val="21"/>
                <w:szCs w:val="21"/>
                <w:u w:val="none"/>
                <w:lang w:val="en-US" w:eastAsia="zh-CN" w:bidi="ar-SA"/>
              </w:rPr>
              <w:t>调研报价不高于</w:t>
            </w:r>
            <w:r>
              <w:rPr>
                <w:rFonts w:hint="eastAsia" w:ascii="宋体" w:hAnsi="宋体" w:eastAsia="宋体" w:cs="宋体"/>
                <w:i w:val="0"/>
                <w:iCs w:val="0"/>
                <w:color w:val="000000"/>
                <w:kern w:val="2"/>
                <w:sz w:val="21"/>
                <w:szCs w:val="21"/>
                <w:u w:val="none"/>
                <w:lang w:val="en-US" w:eastAsia="zh-CN" w:bidi="ar-SA"/>
              </w:rPr>
              <w:t>5元/小时</w:t>
            </w:r>
            <w:r>
              <w:rPr>
                <w:rFonts w:hint="eastAsia" w:hAnsi="宋体" w:cs="宋体"/>
                <w:i w:val="0"/>
                <w:iCs w:val="0"/>
                <w:color w:val="000000"/>
                <w:kern w:val="2"/>
                <w:sz w:val="21"/>
                <w:szCs w:val="21"/>
                <w:u w:val="none"/>
                <w:lang w:val="en-US" w:eastAsia="zh-CN" w:bidi="ar-SA"/>
              </w:rPr>
              <w:t>。</w:t>
            </w:r>
          </w:p>
        </w:tc>
      </w:tr>
    </w:tbl>
    <w:p w14:paraId="3C6A2A9B">
      <w:pPr>
        <w:widowControl/>
        <w:spacing w:line="360" w:lineRule="auto"/>
        <w:jc w:val="left"/>
        <w:rPr>
          <w:rFonts w:hint="eastAsia" w:ascii="宋体" w:hAnsi="宋体" w:eastAsia="宋体" w:cs="宋体"/>
          <w:sz w:val="24"/>
          <w:szCs w:val="24"/>
          <w:lang w:val="zh-TW" w:eastAsia="zh-TW"/>
        </w:rPr>
      </w:pPr>
    </w:p>
    <w:p w14:paraId="5A2D6A19">
      <w:pPr>
        <w:widowControl/>
        <w:spacing w:line="360" w:lineRule="auto"/>
        <w:jc w:val="left"/>
        <w:rPr>
          <w:rFonts w:hint="eastAsia" w:ascii="宋体" w:hAnsi="宋体" w:eastAsia="宋体" w:cs="宋体"/>
          <w:sz w:val="24"/>
          <w:szCs w:val="24"/>
          <w:lang w:val="zh-TW" w:eastAsia="zh-TW"/>
        </w:rPr>
      </w:pPr>
    </w:p>
    <w:p w14:paraId="3F058B46">
      <w:pPr>
        <w:widowControl/>
        <w:spacing w:line="360" w:lineRule="auto"/>
        <w:jc w:val="left"/>
        <w:rPr>
          <w:rFonts w:hint="eastAsia" w:ascii="宋体" w:hAnsi="宋体" w:eastAsia="宋体" w:cs="宋体"/>
          <w:sz w:val="24"/>
          <w:szCs w:val="24"/>
          <w:lang w:val="zh-TW" w:eastAsia="zh-TW"/>
        </w:rPr>
      </w:pPr>
    </w:p>
    <w:p w14:paraId="67C27B39">
      <w:pPr>
        <w:widowControl/>
        <w:spacing w:line="360" w:lineRule="auto"/>
        <w:jc w:val="left"/>
        <w:rPr>
          <w:rFonts w:hint="eastAsia" w:ascii="宋体" w:hAnsi="宋体" w:eastAsia="宋体" w:cs="宋体"/>
          <w:sz w:val="24"/>
          <w:szCs w:val="24"/>
          <w:lang w:val="zh-TW" w:eastAsia="zh-TW"/>
        </w:rPr>
      </w:pPr>
    </w:p>
    <w:p w14:paraId="6C624FBE">
      <w:pPr>
        <w:widowControl/>
        <w:spacing w:line="360" w:lineRule="auto"/>
        <w:jc w:val="left"/>
        <w:rPr>
          <w:rFonts w:hint="eastAsia" w:ascii="宋体" w:hAnsi="宋体" w:eastAsia="宋体" w:cs="宋体"/>
          <w:sz w:val="24"/>
          <w:szCs w:val="24"/>
          <w:lang w:val="zh-TW" w:eastAsia="zh-TW"/>
        </w:rPr>
      </w:pPr>
    </w:p>
    <w:p w14:paraId="428ED1A2">
      <w:pPr>
        <w:widowControl/>
        <w:spacing w:line="360" w:lineRule="auto"/>
        <w:jc w:val="left"/>
        <w:rPr>
          <w:rFonts w:hint="eastAsia" w:ascii="宋体" w:hAnsi="宋体" w:eastAsia="宋体" w:cs="宋体"/>
          <w:sz w:val="24"/>
          <w:szCs w:val="24"/>
          <w:lang w:val="zh-TW" w:eastAsia="zh-TW"/>
        </w:rPr>
      </w:pPr>
    </w:p>
    <w:p w14:paraId="42E9A151">
      <w:pPr>
        <w:widowControl/>
        <w:spacing w:line="360" w:lineRule="auto"/>
        <w:jc w:val="left"/>
        <w:rPr>
          <w:rFonts w:hint="eastAsia" w:ascii="宋体" w:hAnsi="宋体" w:eastAsia="宋体" w:cs="宋体"/>
          <w:sz w:val="24"/>
          <w:szCs w:val="24"/>
          <w:lang w:val="zh-TW" w:eastAsia="zh-TW"/>
        </w:rPr>
      </w:pPr>
    </w:p>
    <w:p w14:paraId="4959D44C">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供应商名称（供应商公章）：</w:t>
      </w:r>
    </w:p>
    <w:p w14:paraId="6C56CCB4">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032F6822">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2E86D20B">
      <w:pPr>
        <w:spacing w:line="360" w:lineRule="auto"/>
        <w:jc w:val="left"/>
        <w:rPr>
          <w:rFonts w:hint="eastAsia" w:ascii="宋体" w:hAnsi="宋体" w:eastAsia="宋体" w:cs="宋体"/>
          <w:sz w:val="24"/>
          <w:szCs w:val="24"/>
          <w:u w:val="none"/>
          <w:lang w:val="en-US" w:eastAsia="zh-CN"/>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日</w:t>
      </w:r>
    </w:p>
    <w:p w14:paraId="719297F1">
      <w:pPr>
        <w:spacing w:line="360" w:lineRule="auto"/>
        <w:rPr>
          <w:rStyle w:val="18"/>
          <w:rFonts w:hint="eastAsia" w:ascii="宋体" w:hAnsi="宋体" w:eastAsia="宋体" w:cs="宋体"/>
          <w:b/>
          <w:bCs/>
          <w:sz w:val="21"/>
          <w:szCs w:val="21"/>
        </w:rPr>
      </w:pPr>
    </w:p>
    <w:p w14:paraId="52FA8535">
      <w:pPr>
        <w:spacing w:line="360" w:lineRule="auto"/>
        <w:rPr>
          <w:rStyle w:val="18"/>
          <w:rFonts w:hint="eastAsia" w:ascii="宋体" w:hAnsi="宋体" w:eastAsia="宋体" w:cs="宋体"/>
          <w:b/>
          <w:bCs/>
          <w:sz w:val="21"/>
          <w:szCs w:val="21"/>
        </w:rPr>
      </w:pPr>
    </w:p>
    <w:p w14:paraId="50D5BD8E">
      <w:pPr>
        <w:spacing w:line="360" w:lineRule="auto"/>
        <w:rPr>
          <w:rStyle w:val="18"/>
          <w:rFonts w:hint="eastAsia" w:ascii="宋体" w:hAnsi="宋体" w:eastAsia="宋体" w:cs="宋体"/>
          <w:b/>
          <w:bCs/>
          <w:sz w:val="21"/>
          <w:szCs w:val="21"/>
        </w:rPr>
      </w:pPr>
    </w:p>
    <w:p w14:paraId="37E6D51F">
      <w:pPr>
        <w:spacing w:line="360" w:lineRule="auto"/>
        <w:rPr>
          <w:rStyle w:val="18"/>
          <w:rFonts w:hint="eastAsia" w:ascii="宋体" w:hAnsi="宋体" w:eastAsia="宋体" w:cs="宋体"/>
          <w:b/>
          <w:bCs/>
          <w:sz w:val="21"/>
          <w:szCs w:val="21"/>
        </w:rPr>
      </w:pPr>
    </w:p>
    <w:p w14:paraId="21723915">
      <w:pPr>
        <w:spacing w:line="360" w:lineRule="auto"/>
        <w:rPr>
          <w:rStyle w:val="18"/>
          <w:rFonts w:hint="eastAsia" w:ascii="宋体" w:hAnsi="宋体" w:eastAsia="宋体" w:cs="宋体"/>
          <w:b/>
          <w:bCs/>
          <w:sz w:val="21"/>
          <w:szCs w:val="21"/>
        </w:rPr>
      </w:pPr>
    </w:p>
    <w:p w14:paraId="06BC40C1">
      <w:pPr>
        <w:spacing w:line="360" w:lineRule="auto"/>
        <w:rPr>
          <w:rStyle w:val="18"/>
          <w:rFonts w:hint="eastAsia" w:ascii="宋体" w:hAnsi="宋体" w:eastAsia="宋体" w:cs="宋体"/>
          <w:b/>
          <w:bCs/>
          <w:sz w:val="21"/>
          <w:szCs w:val="21"/>
        </w:rPr>
      </w:pPr>
    </w:p>
    <w:p w14:paraId="21275F74">
      <w:pPr>
        <w:spacing w:line="360" w:lineRule="auto"/>
        <w:rPr>
          <w:rStyle w:val="18"/>
          <w:rFonts w:hint="eastAsia" w:ascii="宋体" w:hAnsi="宋体" w:eastAsia="宋体" w:cs="宋体"/>
          <w:b/>
          <w:bCs/>
          <w:sz w:val="21"/>
          <w:szCs w:val="21"/>
        </w:rPr>
      </w:pPr>
    </w:p>
    <w:p w14:paraId="1BFF8C19">
      <w:pPr>
        <w:spacing w:line="360" w:lineRule="auto"/>
        <w:rPr>
          <w:rStyle w:val="18"/>
          <w:rFonts w:hint="eastAsia" w:ascii="宋体" w:hAnsi="宋体" w:eastAsia="宋体" w:cs="宋体"/>
          <w:b/>
          <w:bCs/>
          <w:sz w:val="21"/>
          <w:szCs w:val="21"/>
        </w:rPr>
      </w:pPr>
    </w:p>
    <w:p w14:paraId="4E056FB4">
      <w:pPr>
        <w:spacing w:line="360" w:lineRule="auto"/>
        <w:rPr>
          <w:rStyle w:val="18"/>
          <w:rFonts w:hint="eastAsia" w:ascii="宋体" w:hAnsi="宋体" w:eastAsia="宋体" w:cs="宋体"/>
          <w:b/>
          <w:bCs/>
          <w:sz w:val="21"/>
          <w:szCs w:val="21"/>
        </w:rPr>
      </w:pPr>
    </w:p>
    <w:p w14:paraId="64123E19">
      <w:pPr>
        <w:spacing w:line="360" w:lineRule="auto"/>
        <w:rPr>
          <w:rStyle w:val="18"/>
          <w:rFonts w:hint="eastAsia" w:ascii="宋体" w:hAnsi="宋体" w:eastAsia="宋体" w:cs="宋体"/>
          <w:b/>
          <w:bCs/>
          <w:sz w:val="21"/>
          <w:szCs w:val="21"/>
          <w:lang w:eastAsia="zh-CN"/>
        </w:rPr>
      </w:pPr>
    </w:p>
    <w:p w14:paraId="5B763102">
      <w:pPr>
        <w:spacing w:line="360" w:lineRule="auto"/>
        <w:rPr>
          <w:rFonts w:hint="eastAsia" w:ascii="宋体" w:hAnsi="宋体" w:eastAsia="宋体" w:cs="宋体"/>
          <w:b/>
          <w:bCs/>
          <w:color w:val="auto"/>
          <w:sz w:val="21"/>
          <w:szCs w:val="21"/>
          <w:lang w:eastAsia="zh-CN"/>
        </w:rPr>
      </w:pPr>
      <w:r>
        <w:rPr>
          <w:rStyle w:val="18"/>
          <w:rFonts w:hint="eastAsia" w:ascii="宋体" w:hAnsi="宋体" w:eastAsia="宋体" w:cs="宋体"/>
          <w:b/>
          <w:bCs/>
          <w:sz w:val="21"/>
          <w:szCs w:val="21"/>
          <w:lang w:eastAsia="zh-CN"/>
        </w:rPr>
        <w:t>二、</w:t>
      </w:r>
      <w:r>
        <w:rPr>
          <w:rStyle w:val="18"/>
          <w:rFonts w:hint="eastAsia" w:ascii="宋体" w:hAnsi="宋体" w:eastAsia="宋体" w:cs="宋体"/>
          <w:b/>
          <w:bCs/>
          <w:sz w:val="21"/>
          <w:szCs w:val="21"/>
        </w:rPr>
        <w:t>营业执照</w:t>
      </w:r>
    </w:p>
    <w:p w14:paraId="72489C3C">
      <w:pPr>
        <w:spacing w:line="360" w:lineRule="auto"/>
        <w:jc w:val="both"/>
        <w:outlineLvl w:val="1"/>
        <w:rPr>
          <w:rFonts w:hint="eastAsia" w:ascii="宋体" w:hAnsi="宋体" w:eastAsia="宋体" w:cs="宋体"/>
          <w:b/>
          <w:bCs/>
        </w:rPr>
      </w:pPr>
    </w:p>
    <w:p w14:paraId="3305AB96">
      <w:pPr>
        <w:spacing w:line="360" w:lineRule="auto"/>
        <w:jc w:val="both"/>
        <w:outlineLvl w:val="1"/>
        <w:rPr>
          <w:rFonts w:hint="eastAsia" w:ascii="宋体" w:hAnsi="宋体" w:eastAsia="宋体" w:cs="宋体"/>
          <w:b/>
          <w:bCs/>
        </w:rPr>
      </w:pPr>
    </w:p>
    <w:p w14:paraId="2EE8C065">
      <w:pPr>
        <w:spacing w:line="360" w:lineRule="auto"/>
        <w:jc w:val="both"/>
        <w:outlineLvl w:val="1"/>
        <w:rPr>
          <w:rFonts w:hint="eastAsia" w:ascii="宋体" w:hAnsi="宋体" w:eastAsia="宋体" w:cs="宋体"/>
          <w:b/>
          <w:bCs/>
        </w:rPr>
      </w:pPr>
    </w:p>
    <w:p w14:paraId="677FA1A1">
      <w:pPr>
        <w:spacing w:line="360" w:lineRule="auto"/>
        <w:jc w:val="both"/>
        <w:outlineLvl w:val="1"/>
        <w:rPr>
          <w:rFonts w:hint="eastAsia" w:ascii="宋体" w:hAnsi="宋体" w:eastAsia="宋体" w:cs="宋体"/>
          <w:b/>
          <w:bCs/>
        </w:rPr>
      </w:pPr>
    </w:p>
    <w:p w14:paraId="74CD819E">
      <w:pPr>
        <w:spacing w:line="360" w:lineRule="auto"/>
        <w:jc w:val="both"/>
        <w:outlineLvl w:val="1"/>
        <w:rPr>
          <w:rFonts w:hint="eastAsia" w:ascii="宋体" w:hAnsi="宋体" w:eastAsia="宋体" w:cs="宋体"/>
          <w:b/>
          <w:bCs/>
        </w:rPr>
      </w:pPr>
    </w:p>
    <w:p w14:paraId="4D2FA495">
      <w:pPr>
        <w:spacing w:line="360" w:lineRule="auto"/>
        <w:jc w:val="both"/>
        <w:outlineLvl w:val="1"/>
        <w:rPr>
          <w:rFonts w:hint="eastAsia" w:ascii="宋体" w:hAnsi="宋体" w:eastAsia="宋体" w:cs="宋体"/>
          <w:b/>
          <w:bCs/>
        </w:rPr>
      </w:pPr>
    </w:p>
    <w:p w14:paraId="15A3B503">
      <w:pPr>
        <w:spacing w:line="360" w:lineRule="auto"/>
        <w:jc w:val="both"/>
        <w:outlineLvl w:val="1"/>
        <w:rPr>
          <w:rFonts w:hint="eastAsia" w:ascii="宋体" w:hAnsi="宋体" w:eastAsia="宋体" w:cs="宋体"/>
          <w:b/>
          <w:bCs/>
        </w:rPr>
      </w:pPr>
    </w:p>
    <w:p w14:paraId="3E9D2D0B">
      <w:pPr>
        <w:spacing w:line="360" w:lineRule="auto"/>
        <w:jc w:val="both"/>
        <w:outlineLvl w:val="1"/>
        <w:rPr>
          <w:rFonts w:hint="eastAsia" w:ascii="宋体" w:hAnsi="宋体" w:eastAsia="宋体" w:cs="宋体"/>
          <w:b/>
          <w:bCs/>
        </w:rPr>
      </w:pPr>
    </w:p>
    <w:p w14:paraId="060C979D">
      <w:pPr>
        <w:spacing w:line="360" w:lineRule="auto"/>
        <w:jc w:val="both"/>
        <w:outlineLvl w:val="1"/>
        <w:rPr>
          <w:rFonts w:hint="eastAsia" w:ascii="宋体" w:hAnsi="宋体" w:eastAsia="宋体" w:cs="宋体"/>
          <w:b/>
          <w:bCs/>
        </w:rPr>
      </w:pPr>
    </w:p>
    <w:p w14:paraId="59C1E1D6">
      <w:pPr>
        <w:spacing w:line="360" w:lineRule="auto"/>
        <w:jc w:val="both"/>
        <w:outlineLvl w:val="1"/>
        <w:rPr>
          <w:rFonts w:hint="eastAsia" w:ascii="宋体" w:hAnsi="宋体" w:eastAsia="宋体" w:cs="宋体"/>
          <w:b/>
          <w:bCs/>
        </w:rPr>
      </w:pPr>
    </w:p>
    <w:p w14:paraId="05C3877E">
      <w:pPr>
        <w:spacing w:line="360" w:lineRule="auto"/>
        <w:jc w:val="both"/>
        <w:outlineLvl w:val="1"/>
        <w:rPr>
          <w:rFonts w:hint="eastAsia" w:ascii="宋体" w:hAnsi="宋体" w:eastAsia="宋体" w:cs="宋体"/>
          <w:b/>
          <w:bCs/>
        </w:rPr>
      </w:pPr>
    </w:p>
    <w:p w14:paraId="7F3B9FBF">
      <w:pPr>
        <w:spacing w:line="360" w:lineRule="auto"/>
        <w:jc w:val="both"/>
        <w:outlineLvl w:val="1"/>
        <w:rPr>
          <w:rFonts w:hint="eastAsia" w:ascii="宋体" w:hAnsi="宋体" w:eastAsia="宋体" w:cs="宋体"/>
          <w:b/>
          <w:bCs/>
        </w:rPr>
      </w:pPr>
    </w:p>
    <w:p w14:paraId="17EB68CA">
      <w:pPr>
        <w:spacing w:line="360" w:lineRule="auto"/>
        <w:jc w:val="both"/>
        <w:outlineLvl w:val="1"/>
        <w:rPr>
          <w:rFonts w:hint="eastAsia" w:ascii="宋体" w:hAnsi="宋体" w:eastAsia="宋体" w:cs="宋体"/>
          <w:b/>
          <w:bCs/>
        </w:rPr>
      </w:pPr>
    </w:p>
    <w:p w14:paraId="31F251F8">
      <w:pPr>
        <w:spacing w:line="360" w:lineRule="auto"/>
        <w:jc w:val="both"/>
        <w:outlineLvl w:val="1"/>
        <w:rPr>
          <w:rFonts w:hint="eastAsia" w:ascii="宋体" w:hAnsi="宋体" w:eastAsia="宋体" w:cs="宋体"/>
          <w:b/>
          <w:bCs/>
        </w:rPr>
      </w:pPr>
    </w:p>
    <w:p w14:paraId="59B80A79">
      <w:pPr>
        <w:spacing w:line="360" w:lineRule="auto"/>
        <w:jc w:val="both"/>
        <w:outlineLvl w:val="1"/>
        <w:rPr>
          <w:rFonts w:hint="eastAsia" w:ascii="宋体" w:hAnsi="宋体" w:eastAsia="宋体" w:cs="宋体"/>
          <w:b/>
          <w:bCs/>
        </w:rPr>
      </w:pPr>
    </w:p>
    <w:p w14:paraId="3027E15D">
      <w:pPr>
        <w:spacing w:line="360" w:lineRule="auto"/>
        <w:jc w:val="both"/>
        <w:outlineLvl w:val="1"/>
        <w:rPr>
          <w:rFonts w:hint="eastAsia" w:ascii="宋体" w:hAnsi="宋体" w:eastAsia="宋体" w:cs="宋体"/>
          <w:b/>
          <w:bCs/>
        </w:rPr>
      </w:pPr>
    </w:p>
    <w:p w14:paraId="601B7C4E">
      <w:pPr>
        <w:spacing w:line="360" w:lineRule="auto"/>
        <w:jc w:val="both"/>
        <w:outlineLvl w:val="1"/>
        <w:rPr>
          <w:rFonts w:hint="eastAsia" w:ascii="宋体" w:hAnsi="宋体" w:eastAsia="宋体" w:cs="宋体"/>
          <w:b/>
          <w:bCs/>
        </w:rPr>
      </w:pPr>
    </w:p>
    <w:p w14:paraId="293FB58E">
      <w:pPr>
        <w:spacing w:line="360" w:lineRule="auto"/>
        <w:jc w:val="both"/>
        <w:outlineLvl w:val="1"/>
        <w:rPr>
          <w:rFonts w:hint="eastAsia" w:ascii="宋体" w:hAnsi="宋体" w:eastAsia="宋体" w:cs="宋体"/>
          <w:b/>
          <w:bCs/>
        </w:rPr>
      </w:pPr>
    </w:p>
    <w:p w14:paraId="2C30E251">
      <w:pPr>
        <w:spacing w:line="360" w:lineRule="auto"/>
        <w:jc w:val="both"/>
        <w:outlineLvl w:val="1"/>
        <w:rPr>
          <w:rFonts w:hint="eastAsia" w:ascii="宋体" w:hAnsi="宋体" w:eastAsia="宋体" w:cs="宋体"/>
          <w:b/>
          <w:bCs/>
        </w:rPr>
      </w:pPr>
    </w:p>
    <w:p w14:paraId="595548D8">
      <w:pPr>
        <w:spacing w:line="360" w:lineRule="auto"/>
        <w:jc w:val="both"/>
        <w:outlineLvl w:val="1"/>
        <w:rPr>
          <w:rFonts w:hint="eastAsia" w:ascii="宋体" w:hAnsi="宋体" w:eastAsia="宋体" w:cs="宋体"/>
          <w:b/>
          <w:bCs/>
        </w:rPr>
      </w:pPr>
    </w:p>
    <w:p w14:paraId="45B25240">
      <w:pPr>
        <w:spacing w:line="360" w:lineRule="auto"/>
        <w:jc w:val="both"/>
        <w:outlineLvl w:val="1"/>
        <w:rPr>
          <w:rFonts w:hint="eastAsia" w:ascii="宋体" w:hAnsi="宋体" w:eastAsia="宋体" w:cs="宋体"/>
          <w:b/>
          <w:bCs/>
        </w:rPr>
      </w:pPr>
    </w:p>
    <w:p w14:paraId="337A05CD">
      <w:pPr>
        <w:spacing w:line="360" w:lineRule="auto"/>
        <w:jc w:val="both"/>
        <w:outlineLvl w:val="1"/>
        <w:rPr>
          <w:rFonts w:hint="eastAsia" w:ascii="宋体" w:hAnsi="宋体" w:eastAsia="宋体" w:cs="宋体"/>
          <w:b/>
          <w:bCs/>
        </w:rPr>
      </w:pPr>
    </w:p>
    <w:p w14:paraId="4CB2CBFD">
      <w:pPr>
        <w:spacing w:line="360" w:lineRule="auto"/>
        <w:jc w:val="both"/>
        <w:outlineLvl w:val="1"/>
        <w:rPr>
          <w:rFonts w:hint="eastAsia" w:ascii="宋体" w:hAnsi="宋体" w:eastAsia="宋体" w:cs="宋体"/>
          <w:b/>
          <w:bCs/>
        </w:rPr>
      </w:pPr>
    </w:p>
    <w:p w14:paraId="3D878409">
      <w:pPr>
        <w:spacing w:line="360" w:lineRule="auto"/>
        <w:jc w:val="both"/>
        <w:outlineLvl w:val="1"/>
        <w:rPr>
          <w:rFonts w:hint="eastAsia" w:ascii="宋体" w:hAnsi="宋体" w:eastAsia="宋体" w:cs="宋体"/>
          <w:b/>
          <w:bCs/>
        </w:rPr>
      </w:pPr>
    </w:p>
    <w:p w14:paraId="563CBCFF">
      <w:pPr>
        <w:spacing w:line="360" w:lineRule="auto"/>
        <w:jc w:val="both"/>
        <w:outlineLvl w:val="1"/>
        <w:rPr>
          <w:rFonts w:hint="eastAsia" w:ascii="宋体" w:hAnsi="宋体" w:eastAsia="宋体" w:cs="宋体"/>
          <w:b/>
          <w:bCs/>
        </w:rPr>
      </w:pPr>
    </w:p>
    <w:p w14:paraId="16DB9365">
      <w:pPr>
        <w:spacing w:line="360" w:lineRule="auto"/>
        <w:jc w:val="both"/>
        <w:outlineLvl w:val="1"/>
        <w:rPr>
          <w:rFonts w:hint="eastAsia" w:ascii="宋体" w:hAnsi="宋体" w:eastAsia="宋体" w:cs="宋体"/>
          <w:b/>
          <w:bCs/>
        </w:rPr>
      </w:pPr>
    </w:p>
    <w:p w14:paraId="6BBAF08C">
      <w:pPr>
        <w:spacing w:line="360" w:lineRule="auto"/>
        <w:jc w:val="both"/>
        <w:outlineLvl w:val="1"/>
        <w:rPr>
          <w:rFonts w:hint="eastAsia" w:ascii="宋体" w:hAnsi="宋体" w:eastAsia="宋体" w:cs="宋体"/>
          <w:b/>
          <w:bCs/>
        </w:rPr>
      </w:pPr>
    </w:p>
    <w:p w14:paraId="5FC29E60">
      <w:pPr>
        <w:spacing w:line="360" w:lineRule="auto"/>
        <w:jc w:val="both"/>
        <w:outlineLvl w:val="1"/>
        <w:rPr>
          <w:rFonts w:hint="eastAsia" w:ascii="宋体" w:hAnsi="宋体" w:eastAsia="宋体" w:cs="宋体"/>
          <w:b/>
          <w:bCs/>
        </w:rPr>
      </w:pPr>
    </w:p>
    <w:p w14:paraId="40F1FFBB">
      <w:pPr>
        <w:pStyle w:val="16"/>
        <w:rPr>
          <w:rFonts w:hint="eastAsia"/>
        </w:rPr>
      </w:pPr>
    </w:p>
    <w:p w14:paraId="24B6E3FE">
      <w:pPr>
        <w:pStyle w:val="16"/>
        <w:rPr>
          <w:rFonts w:hint="eastAsia"/>
        </w:rPr>
      </w:pPr>
    </w:p>
    <w:p w14:paraId="060E39A7">
      <w:pPr>
        <w:pStyle w:val="16"/>
        <w:rPr>
          <w:rFonts w:hint="eastAsia"/>
        </w:rPr>
      </w:pPr>
    </w:p>
    <w:p w14:paraId="39D5D4C8">
      <w:pPr>
        <w:pStyle w:val="11"/>
        <w:spacing w:line="360" w:lineRule="auto"/>
        <w:ind w:left="0" w:leftChars="0" w:firstLine="0" w:firstLineChars="0"/>
        <w:jc w:val="both"/>
        <w:outlineLvl w:val="1"/>
        <w:rPr>
          <w:rFonts w:hint="eastAsia" w:ascii="宋体" w:hAnsi="宋体" w:eastAsia="宋体" w:cs="宋体"/>
          <w:color w:val="auto"/>
          <w:sz w:val="21"/>
          <w:szCs w:val="21"/>
        </w:rPr>
      </w:pPr>
      <w:bookmarkStart w:id="0" w:name="_Toc15526"/>
      <w:bookmarkStart w:id="1" w:name="_Toc12015"/>
      <w:bookmarkStart w:id="2" w:name="_Toc20589"/>
      <w:bookmarkStart w:id="3" w:name="_Toc25638"/>
      <w:bookmarkStart w:id="4" w:name="_Toc11351"/>
      <w:bookmarkStart w:id="5" w:name="_Toc27661"/>
      <w:r>
        <w:rPr>
          <w:rStyle w:val="18"/>
          <w:rFonts w:hint="eastAsia" w:ascii="宋体" w:hAnsi="宋体" w:eastAsia="宋体" w:cs="宋体"/>
          <w:b/>
          <w:bCs/>
          <w:sz w:val="21"/>
          <w:szCs w:val="21"/>
          <w:lang w:val="en-US" w:eastAsia="zh-CN"/>
        </w:rPr>
        <w:t>三、</w:t>
      </w:r>
      <w:r>
        <w:rPr>
          <w:rStyle w:val="18"/>
          <w:rFonts w:hint="eastAsia" w:ascii="宋体" w:hAnsi="宋体" w:eastAsia="宋体" w:cs="宋体"/>
          <w:b/>
          <w:bCs/>
          <w:sz w:val="21"/>
          <w:szCs w:val="21"/>
        </w:rPr>
        <w:t>法定代表人身份证明书</w:t>
      </w:r>
      <w:bookmarkEnd w:id="0"/>
      <w:bookmarkEnd w:id="1"/>
      <w:bookmarkEnd w:id="2"/>
      <w:bookmarkEnd w:id="3"/>
      <w:bookmarkEnd w:id="4"/>
      <w:bookmarkEnd w:id="5"/>
    </w:p>
    <w:p w14:paraId="4A1F51DA">
      <w:pPr>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法定代表人证明书</w:t>
      </w:r>
    </w:p>
    <w:p w14:paraId="65DBC189">
      <w:pPr>
        <w:spacing w:line="480" w:lineRule="exact"/>
        <w:rPr>
          <w:rFonts w:hint="eastAsia" w:ascii="宋体" w:hAnsi="宋体" w:eastAsia="宋体" w:cs="宋体"/>
          <w:sz w:val="24"/>
        </w:rPr>
      </w:pPr>
    </w:p>
    <w:p w14:paraId="66F41128">
      <w:pPr>
        <w:spacing w:line="480" w:lineRule="exact"/>
        <w:ind w:firstLine="470" w:firstLineChars="196"/>
        <w:rPr>
          <w:rFonts w:hint="eastAsia" w:ascii="宋体" w:hAnsi="宋体" w:eastAsia="宋体" w:cs="宋体"/>
          <w:sz w:val="24"/>
        </w:rPr>
      </w:pPr>
    </w:p>
    <w:p w14:paraId="78DD6DFB">
      <w:pPr>
        <w:spacing w:line="480" w:lineRule="exact"/>
        <w:ind w:firstLine="468" w:firstLineChars="195"/>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 性别：       </w:t>
      </w:r>
      <w:r>
        <w:rPr>
          <w:rFonts w:hint="eastAsia" w:ascii="宋体" w:hAnsi="宋体" w:eastAsia="宋体" w:cs="宋体"/>
          <w:sz w:val="24"/>
          <w:lang w:val="en-US" w:eastAsia="zh-CN"/>
        </w:rPr>
        <w:t xml:space="preserve">      </w:t>
      </w:r>
      <w:r>
        <w:rPr>
          <w:rFonts w:hint="eastAsia" w:ascii="宋体" w:hAnsi="宋体" w:eastAsia="宋体" w:cs="宋体"/>
          <w:sz w:val="24"/>
        </w:rPr>
        <w:t xml:space="preserve"> 年龄： </w:t>
      </w:r>
    </w:p>
    <w:p w14:paraId="1564925B">
      <w:pPr>
        <w:spacing w:line="480" w:lineRule="exact"/>
        <w:ind w:firstLine="468" w:firstLineChars="195"/>
        <w:rPr>
          <w:rFonts w:hint="eastAsia" w:ascii="宋体" w:hAnsi="宋体" w:eastAsia="宋体" w:cs="宋体"/>
          <w:sz w:val="24"/>
          <w:u w:val="single"/>
        </w:rPr>
      </w:pPr>
      <w:r>
        <w:rPr>
          <w:rFonts w:hint="eastAsia" w:ascii="宋体" w:hAnsi="宋体" w:eastAsia="宋体" w:cs="宋体"/>
          <w:sz w:val="24"/>
        </w:rPr>
        <w:t>身份证号码：</w:t>
      </w:r>
      <w:r>
        <w:rPr>
          <w:rFonts w:hint="eastAsia" w:ascii="宋体" w:hAnsi="宋体" w:eastAsia="宋体" w:cs="宋体"/>
          <w:sz w:val="24"/>
          <w:lang w:val="en-US" w:eastAsia="zh-CN"/>
        </w:rPr>
        <w:t xml:space="preserve">                           </w:t>
      </w:r>
      <w:r>
        <w:rPr>
          <w:rFonts w:hint="eastAsia" w:ascii="宋体" w:hAnsi="宋体" w:eastAsia="宋体" w:cs="宋体"/>
          <w:sz w:val="24"/>
        </w:rPr>
        <w:t xml:space="preserve">  职务：</w:t>
      </w:r>
    </w:p>
    <w:p w14:paraId="4DA1CBA0">
      <w:pPr>
        <w:spacing w:line="480" w:lineRule="exact"/>
        <w:rPr>
          <w:rFonts w:hint="eastAsia" w:ascii="宋体" w:hAnsi="宋体" w:eastAsia="宋体" w:cs="宋体"/>
          <w:sz w:val="24"/>
        </w:rPr>
      </w:pPr>
    </w:p>
    <w:p w14:paraId="2568D6A7">
      <w:pPr>
        <w:spacing w:line="480" w:lineRule="exact"/>
        <w:ind w:firstLine="470" w:firstLineChars="196"/>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的法定代表人。</w:t>
      </w:r>
    </w:p>
    <w:p w14:paraId="4AC9D98C">
      <w:pPr>
        <w:spacing w:line="480" w:lineRule="exact"/>
        <w:rPr>
          <w:rFonts w:hint="eastAsia" w:ascii="宋体" w:hAnsi="宋体" w:eastAsia="宋体" w:cs="宋体"/>
          <w:sz w:val="24"/>
        </w:rPr>
      </w:pPr>
    </w:p>
    <w:p w14:paraId="3B891C29">
      <w:pPr>
        <w:spacing w:line="480" w:lineRule="exact"/>
        <w:ind w:firstLine="955" w:firstLineChars="398"/>
        <w:rPr>
          <w:rFonts w:hint="eastAsia" w:ascii="宋体" w:hAnsi="宋体" w:eastAsia="宋体" w:cs="宋体"/>
          <w:sz w:val="24"/>
        </w:rPr>
      </w:pPr>
      <w:r>
        <w:rPr>
          <w:rFonts w:hint="eastAsia" w:ascii="宋体" w:hAnsi="宋体" w:eastAsia="宋体" w:cs="宋体"/>
          <w:sz w:val="24"/>
        </w:rPr>
        <w:t xml:space="preserve"> 特此证明！</w:t>
      </w:r>
    </w:p>
    <w:p w14:paraId="39FA8096">
      <w:pPr>
        <w:spacing w:line="480" w:lineRule="exact"/>
        <w:rPr>
          <w:rFonts w:hint="eastAsia" w:ascii="宋体" w:hAnsi="宋体" w:eastAsia="宋体" w:cs="宋体"/>
          <w:sz w:val="24"/>
        </w:rPr>
      </w:pPr>
    </w:p>
    <w:p w14:paraId="0CCA230E">
      <w:pPr>
        <w:spacing w:line="480" w:lineRule="exact"/>
        <w:rPr>
          <w:rFonts w:hint="eastAsia" w:ascii="宋体" w:hAnsi="宋体" w:eastAsia="宋体" w:cs="宋体"/>
          <w:sz w:val="24"/>
        </w:rPr>
      </w:pPr>
    </w:p>
    <w:p w14:paraId="017681D0">
      <w:pPr>
        <w:spacing w:line="480" w:lineRule="exact"/>
        <w:jc w:val="center"/>
        <w:rPr>
          <w:rFonts w:hint="eastAsia" w:ascii="宋体" w:hAnsi="宋体" w:eastAsia="宋体" w:cs="宋体"/>
          <w:sz w:val="24"/>
        </w:rPr>
      </w:pPr>
      <w:r>
        <w:rPr>
          <w:rFonts w:hint="eastAsia" w:ascii="宋体" w:hAnsi="宋体" w:eastAsia="宋体" w:cs="宋体"/>
          <w:sz w:val="24"/>
        </w:rPr>
        <w:t>单位（盖章）：</w:t>
      </w:r>
    </w:p>
    <w:p w14:paraId="49B10F83">
      <w:pPr>
        <w:spacing w:line="480" w:lineRule="exact"/>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lang w:val="en-US" w:eastAsia="zh-CN"/>
        </w:rPr>
        <w:t xml:space="preserve">   </w:t>
      </w: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4C36D704">
      <w:pPr>
        <w:spacing w:line="480" w:lineRule="exact"/>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mc:AlternateContent>
          <mc:Choice Requires="wps">
            <w:drawing>
              <wp:anchor distT="0" distB="0" distL="114935" distR="114935" simplePos="0" relativeHeight="251660288"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v:textbox>
                <w10:wrap type="square"/>
              </v:shape>
            </w:pict>
          </mc:Fallback>
        </mc:AlternateContent>
      </w:r>
    </w:p>
    <w:p w14:paraId="5177E6A1">
      <w:pPr>
        <w:pStyle w:val="17"/>
        <w:rPr>
          <w:rFonts w:hint="eastAsia" w:ascii="宋体" w:hAnsi="宋体" w:eastAsia="宋体" w:cs="宋体"/>
          <w:lang w:eastAsia="zh-CN"/>
        </w:rPr>
      </w:pPr>
    </w:p>
    <w:p w14:paraId="2E8967E4">
      <w:pPr>
        <w:pStyle w:val="16"/>
        <w:spacing w:line="360" w:lineRule="auto"/>
        <w:jc w:val="center"/>
        <w:rPr>
          <w:rStyle w:val="18"/>
          <w:rFonts w:hint="eastAsia" w:ascii="宋体" w:hAnsi="宋体" w:eastAsia="宋体" w:cs="宋体"/>
          <w:b/>
          <w:bCs/>
          <w:color w:val="auto"/>
          <w:kern w:val="2"/>
          <w:sz w:val="32"/>
          <w:szCs w:val="28"/>
        </w:rPr>
      </w:pPr>
    </w:p>
    <w:p w14:paraId="4154A4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6BEC55C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0101DC7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7770919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3373E46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2625482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r>
        <w:rPr>
          <w:rStyle w:val="18"/>
          <w:rFonts w:hint="eastAsia" w:hAnsi="宋体" w:cs="宋体"/>
          <w:b/>
          <w:bCs/>
          <w:color w:val="auto"/>
          <w:kern w:val="2"/>
          <w:sz w:val="21"/>
          <w:szCs w:val="21"/>
          <w:lang w:val="en-US" w:eastAsia="zh-CN"/>
        </w:rPr>
        <w:t>四、法定代表人授权委托书（若法人参与投标，则不需填写本表）</w:t>
      </w:r>
    </w:p>
    <w:p w14:paraId="5CD3653D">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授权委托书</w:t>
      </w:r>
    </w:p>
    <w:p w14:paraId="2F4CBCE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致：</w:t>
      </w:r>
      <w:r>
        <w:rPr>
          <w:rFonts w:hint="eastAsia" w:ascii="宋体" w:hAnsi="宋体" w:cs="宋体"/>
          <w:b w:val="0"/>
          <w:bCs w:val="0"/>
          <w:color w:val="auto"/>
          <w:sz w:val="24"/>
          <w:szCs w:val="24"/>
          <w:highlight w:val="none"/>
          <w:lang w:eastAsia="zh-CN"/>
        </w:rPr>
        <w:t>中山市东升医院</w:t>
      </w:r>
    </w:p>
    <w:p w14:paraId="361EAD0D">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兹授权</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同志，为我方签订经济合同及办理其他事务代理人，其权限是：</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w:t>
      </w:r>
    </w:p>
    <w:p w14:paraId="3A1FF0B9">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授权单位（盖章）：  </w:t>
      </w:r>
    </w:p>
    <w:p w14:paraId="14E733B6">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b w:val="0"/>
          <w:bCs w:val="0"/>
          <w:color w:val="auto"/>
          <w:sz w:val="24"/>
          <w:szCs w:val="24"/>
          <w:highlight w:val="none"/>
        </w:rPr>
        <w:t>（签名或盖私章）：</w:t>
      </w:r>
    </w:p>
    <w:p w14:paraId="4FED0011">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日期：</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年</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月</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日</w:t>
      </w:r>
    </w:p>
    <w:p w14:paraId="6B5D6CAA">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附：代理人性别：        年龄：       职务：         身份证号码：</w:t>
      </w:r>
    </w:p>
    <w:p w14:paraId="7AA69CE0">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联系电话：</w:t>
      </w:r>
    </w:p>
    <w:p w14:paraId="5D367AFD">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统一社会信用代码：</w:t>
      </w:r>
    </w:p>
    <w:p w14:paraId="554BC4BC">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说明：1、</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为企业事业单位、国家机关、社会团体的主要行政负责人。</w:t>
      </w:r>
    </w:p>
    <w:p w14:paraId="22CEA495">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2、此处所述“法定代表人”，须与供应商“营业执照”上的内容一致。</w:t>
      </w:r>
    </w:p>
    <w:p w14:paraId="3F530F3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3、内容必须填写真实、清楚、涂改无效，不得转让、买卖。</w:t>
      </w:r>
    </w:p>
    <w:p w14:paraId="55A807AC">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4、将此证明书提交对方作为合同附件。</w:t>
      </w:r>
    </w:p>
    <w:p w14:paraId="605BA9FD">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5、授权权限：全权代表本公司参与上述采购项目的报价，负责提供与签署确认一切文书资料，以及向贵方递交的任何补充承诺。</w:t>
      </w:r>
    </w:p>
    <w:p w14:paraId="6D4940B5">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6、签字代表为法定代表人，则本表不适用。</w:t>
      </w:r>
    </w:p>
    <w:p w14:paraId="311E38AA">
      <w:pPr>
        <w:pStyle w:val="4"/>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7、身份证复印件或扫描件须在有效期内。</w:t>
      </w:r>
    </w:p>
    <w:p w14:paraId="58095B9C">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b w:val="0"/>
          <w:bCs w:val="0"/>
          <w:color w:val="auto"/>
          <w:sz w:val="21"/>
          <w:szCs w:val="21"/>
          <w:highlight w:val="none"/>
        </w:rPr>
      </w:pPr>
      <w:r>
        <w:rPr>
          <w:rFonts w:hint="eastAsia" w:ascii="宋体" w:hAnsi="宋体" w:cs="宋体"/>
          <w:b w:val="0"/>
          <w:bCs w:val="0"/>
          <w:color w:val="auto"/>
          <w:sz w:val="24"/>
          <w:szCs w:val="24"/>
          <w:highlight w:val="none"/>
        </w:rPr>
        <w:t>8、有效</w:t>
      </w:r>
      <w:r>
        <w:rPr>
          <w:rFonts w:hint="eastAsia" w:ascii="宋体" w:hAnsi="宋体"/>
          <w:b w:val="0"/>
          <w:bCs w:val="0"/>
          <w:color w:val="auto"/>
          <w:sz w:val="24"/>
          <w:szCs w:val="24"/>
          <w:highlight w:val="none"/>
        </w:rPr>
        <w:t>期限：与本公司报价文件中标注的投标有效期相同，自本单位盖公章之日起生效。</w:t>
      </w:r>
    </w:p>
    <w:p w14:paraId="62BA1263">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ascii="宋体" w:hAnsi="宋体" w:cs="宋体"/>
          <w:b w:val="0"/>
          <w:bCs w:val="0"/>
          <w:i w:val="0"/>
          <w:iCs w:val="0"/>
          <w:color w:val="auto"/>
          <w:sz w:val="21"/>
          <w:szCs w:val="21"/>
          <w:highlight w:val="none"/>
          <w:u w:val="none"/>
        </w:rPr>
      </w:pPr>
      <w:r>
        <w:rPr>
          <w:rFonts w:ascii="宋体" w:hAnsi="宋体" w:cs="宋体"/>
          <w:b w:val="0"/>
          <w:bCs w:val="0"/>
          <w:i w:val="0"/>
          <w:iCs w:val="0"/>
          <w:color w:val="auto"/>
          <w:sz w:val="21"/>
          <w:szCs w:val="21"/>
          <w:highlight w:val="none"/>
          <w:u w:val="none"/>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v:textbox>
                <w10:wrap type="none"/>
                <w10:anchorlock/>
              </v:shape>
            </w:pict>
          </mc:Fallback>
        </mc:AlternateContent>
      </w:r>
    </w:p>
    <w:p w14:paraId="0BF2380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33DFD8A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p w14:paraId="040096C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r>
        <w:rPr>
          <w:rStyle w:val="18"/>
          <w:rFonts w:hint="eastAsia" w:hAnsi="宋体" w:cs="宋体"/>
          <w:b/>
          <w:bCs/>
          <w:color w:val="auto"/>
          <w:kern w:val="2"/>
          <w:sz w:val="21"/>
          <w:szCs w:val="21"/>
          <w:lang w:val="en-US" w:eastAsia="zh-CN"/>
        </w:rPr>
        <w:t>五、无围标、串标行为声明函</w:t>
      </w:r>
    </w:p>
    <w:p w14:paraId="55A91983">
      <w:pPr>
        <w:spacing w:line="360" w:lineRule="auto"/>
        <w:ind w:firstLine="2880" w:firstLineChars="1200"/>
        <w:rPr>
          <w:rFonts w:hint="eastAsia" w:ascii="宋体" w:hAnsi="宋体" w:eastAsia="宋体" w:cs="宋体"/>
          <w:sz w:val="24"/>
          <w:lang w:val="en-US" w:eastAsia="zh-CN"/>
        </w:rPr>
      </w:pPr>
      <w:r>
        <w:rPr>
          <w:rFonts w:hint="eastAsia" w:ascii="宋体" w:hAnsi="宋体" w:eastAsia="宋体" w:cs="宋体"/>
          <w:sz w:val="24"/>
          <w:lang w:val="en-US" w:eastAsia="zh-CN"/>
        </w:rPr>
        <w:t>无围标、串标行为声明函</w:t>
      </w:r>
    </w:p>
    <w:p w14:paraId="4D0E5580">
      <w:pPr>
        <w:rPr>
          <w:rFonts w:hint="eastAsia" w:ascii="宋体" w:hAnsi="宋体" w:eastAsia="宋体" w:cs="宋体"/>
        </w:rPr>
      </w:pPr>
    </w:p>
    <w:p w14:paraId="781D710C">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szCs w:val="24"/>
        </w:rPr>
        <w:t>本公司郑重</w:t>
      </w:r>
      <w:r>
        <w:rPr>
          <w:rFonts w:hint="eastAsia" w:ascii="宋体" w:hAnsi="宋体" w:eastAsia="宋体" w:cs="宋体"/>
          <w:sz w:val="24"/>
          <w:szCs w:val="24"/>
          <w:lang w:eastAsia="zh-CN"/>
        </w:rPr>
        <w:t>声明</w:t>
      </w:r>
      <w:r>
        <w:rPr>
          <w:rFonts w:hint="eastAsia" w:ascii="宋体" w:hAnsi="宋体" w:eastAsia="宋体" w:cs="宋体"/>
          <w:sz w:val="24"/>
          <w:szCs w:val="24"/>
        </w:rPr>
        <w:t>本公司在参加本次</w:t>
      </w:r>
      <w:r>
        <w:rPr>
          <w:rFonts w:hint="eastAsia" w:ascii="宋体" w:hAnsi="宋体" w:eastAsia="宋体" w:cs="宋体"/>
          <w:i w:val="0"/>
          <w:iCs w:val="0"/>
          <w:caps w:val="0"/>
          <w:color w:val="000000"/>
          <w:spacing w:val="0"/>
          <w:sz w:val="24"/>
          <w:szCs w:val="24"/>
          <w:u w:val="single"/>
          <w:shd w:val="clear" w:fill="FFFFFF"/>
        </w:rPr>
        <w:t>中山市东升医院2026-2028年度共享轮椅服务项目</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rPr>
        <w:t>，无以下围标、串标行为</w:t>
      </w:r>
      <w:r>
        <w:rPr>
          <w:rFonts w:hint="eastAsia" w:ascii="宋体" w:hAnsi="宋体" w:eastAsia="宋体" w:cs="宋体"/>
          <w:sz w:val="24"/>
          <w:lang w:eastAsia="zh-CN"/>
        </w:rPr>
        <w:t>：</w:t>
      </w:r>
    </w:p>
    <w:p w14:paraId="5178739E">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由同一单位或者个人编制；</w:t>
      </w:r>
    </w:p>
    <w:p w14:paraId="09A50A52">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不同供应商委托同一单位或者个人办理响应事宜；</w:t>
      </w:r>
    </w:p>
    <w:p w14:paraId="34A2D41B">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载明的项目管理成员或者联系人员为同一人；</w:t>
      </w:r>
    </w:p>
    <w:p w14:paraId="3A98A62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异常一致或者响应报价呈规律性差异；</w:t>
      </w:r>
    </w:p>
    <w:p w14:paraId="4E423D7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相互混装；</w:t>
      </w:r>
    </w:p>
    <w:p w14:paraId="5F2557B7">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00F19354">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法律法规界定的其他围标串标行为。</w:t>
      </w:r>
    </w:p>
    <w:p w14:paraId="653298AE">
      <w:pPr>
        <w:spacing w:line="360" w:lineRule="auto"/>
        <w:rPr>
          <w:rFonts w:hint="eastAsia" w:ascii="宋体" w:hAnsi="宋体" w:eastAsia="宋体" w:cs="宋体"/>
          <w:sz w:val="24"/>
        </w:rPr>
      </w:pPr>
    </w:p>
    <w:p w14:paraId="688389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如有发现我公司存在围标、串标行为，我公司愿承担一切法律责任。</w:t>
      </w:r>
    </w:p>
    <w:p w14:paraId="1C9807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sz w:val="24"/>
          <w:lang w:eastAsia="zh-CN"/>
        </w:rPr>
        <w:t>声明</w:t>
      </w:r>
      <w:r>
        <w:rPr>
          <w:rFonts w:hint="eastAsia" w:ascii="宋体" w:hAnsi="宋体" w:eastAsia="宋体" w:cs="宋体"/>
          <w:sz w:val="24"/>
        </w:rPr>
        <w:t>。</w:t>
      </w:r>
    </w:p>
    <w:p w14:paraId="34DCA673">
      <w:pPr>
        <w:spacing w:before="156" w:beforeLines="50" w:after="156" w:afterLines="50" w:line="360" w:lineRule="auto"/>
        <w:ind w:firstLine="480" w:firstLineChars="200"/>
        <w:rPr>
          <w:rFonts w:hint="eastAsia" w:ascii="宋体" w:hAnsi="宋体" w:eastAsia="宋体" w:cs="宋体"/>
          <w:sz w:val="24"/>
        </w:rPr>
      </w:pPr>
    </w:p>
    <w:p w14:paraId="4A62D2CB">
      <w:pPr>
        <w:spacing w:before="156" w:beforeLines="50" w:after="156" w:afterLines="50" w:line="360" w:lineRule="auto"/>
        <w:rPr>
          <w:rFonts w:hint="eastAsia" w:ascii="宋体" w:hAnsi="宋体" w:eastAsia="宋体" w:cs="宋体"/>
          <w:sz w:val="24"/>
          <w:vertAlign w:val="baseline"/>
        </w:rPr>
      </w:pPr>
      <w:r>
        <w:rPr>
          <w:rFonts w:hint="eastAsia" w:ascii="宋体" w:hAnsi="宋体" w:eastAsia="宋体" w:cs="宋体"/>
          <w:sz w:val="24"/>
        </w:rPr>
        <w:t xml:space="preserve">                    </w:t>
      </w:r>
    </w:p>
    <w:p w14:paraId="4869F83B">
      <w:pPr>
        <w:spacing w:before="156" w:beforeLines="50" w:after="156" w:afterLines="50" w:line="360" w:lineRule="auto"/>
        <w:rPr>
          <w:rFonts w:hint="eastAsia"/>
        </w:rPr>
      </w:pPr>
      <w:r>
        <w:rPr>
          <w:rFonts w:hint="eastAsia" w:ascii="宋体" w:hAnsi="宋体" w:eastAsia="宋体" w:cs="宋体"/>
          <w:sz w:val="24"/>
        </w:rPr>
        <w:t>供应商名称（加盖公章）：</w:t>
      </w:r>
    </w:p>
    <w:p w14:paraId="0D25A6B3">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法定代表人或其委托人签字：</w:t>
      </w:r>
    </w:p>
    <w:p w14:paraId="1CAE6A51">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日期：</w:t>
      </w:r>
      <w:r>
        <w:rPr>
          <w:rFonts w:hint="eastAsia" w:ascii="宋体" w:hAnsi="宋体" w:cs="宋体"/>
          <w:sz w:val="24"/>
          <w:lang w:val="en-US" w:eastAsia="zh-CN"/>
        </w:rPr>
        <w:t xml:space="preserve">     </w:t>
      </w:r>
      <w:r>
        <w:rPr>
          <w:rFonts w:hint="eastAsia" w:ascii="宋体" w:hAnsi="宋体" w:eastAsia="宋体" w:cs="宋体"/>
          <w:sz w:val="24"/>
        </w:rPr>
        <w:t xml:space="preserve"> 年 </w:t>
      </w:r>
      <w:r>
        <w:rPr>
          <w:rFonts w:hint="eastAsia" w:ascii="宋体" w:hAnsi="宋体" w:cs="宋体"/>
          <w:sz w:val="24"/>
          <w:lang w:val="en-US" w:eastAsia="zh-CN"/>
        </w:rPr>
        <w:t xml:space="preserve">   </w:t>
      </w:r>
      <w:r>
        <w:rPr>
          <w:rFonts w:hint="eastAsia" w:ascii="宋体" w:hAnsi="宋体" w:eastAsia="宋体" w:cs="宋体"/>
          <w:sz w:val="24"/>
        </w:rPr>
        <w:t>月</w:t>
      </w:r>
      <w:r>
        <w:rPr>
          <w:rFonts w:hint="eastAsia" w:ascii="宋体" w:hAnsi="宋体" w:cs="宋体"/>
          <w:sz w:val="24"/>
          <w:lang w:val="en-US" w:eastAsia="zh-CN"/>
        </w:rPr>
        <w:t xml:space="preserve">   </w:t>
      </w:r>
      <w:r>
        <w:rPr>
          <w:rFonts w:hint="eastAsia" w:ascii="宋体" w:hAnsi="宋体" w:eastAsia="宋体" w:cs="宋体"/>
          <w:sz w:val="24"/>
        </w:rPr>
        <w:t>日</w:t>
      </w:r>
    </w:p>
    <w:p w14:paraId="3BFFE0A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kern w:val="2"/>
          <w:sz w:val="21"/>
          <w:szCs w:val="22"/>
          <w:lang w:val="en-US" w:eastAsia="zh-CN" w:bidi="ar-SA"/>
        </w:rPr>
      </w:pPr>
      <w:bookmarkStart w:id="6" w:name="_Toc1074"/>
      <w:bookmarkStart w:id="7" w:name="_Toc16435"/>
      <w:bookmarkStart w:id="8" w:name="_Toc23967"/>
      <w:bookmarkStart w:id="9" w:name="_Toc26969"/>
      <w:bookmarkStart w:id="10" w:name="_Toc12967"/>
      <w:bookmarkStart w:id="11" w:name="_Toc2041"/>
    </w:p>
    <w:p w14:paraId="5DDD7D9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kern w:val="2"/>
          <w:sz w:val="21"/>
          <w:szCs w:val="22"/>
          <w:lang w:val="en-US" w:eastAsia="zh-CN" w:bidi="ar-SA"/>
        </w:rPr>
      </w:pPr>
    </w:p>
    <w:p w14:paraId="248C819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kern w:val="2"/>
          <w:sz w:val="21"/>
          <w:szCs w:val="22"/>
          <w:lang w:val="en-US" w:eastAsia="zh-CN" w:bidi="ar-SA"/>
        </w:rPr>
      </w:pPr>
    </w:p>
    <w:p w14:paraId="68F4F41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kern w:val="2"/>
          <w:sz w:val="21"/>
          <w:szCs w:val="22"/>
          <w:lang w:val="en-US" w:eastAsia="zh-CN" w:bidi="ar-SA"/>
        </w:rPr>
      </w:pPr>
    </w:p>
    <w:p w14:paraId="32AC125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kern w:val="2"/>
          <w:sz w:val="21"/>
          <w:szCs w:val="22"/>
          <w:lang w:val="en-US" w:eastAsia="zh-CN" w:bidi="ar-SA"/>
        </w:rPr>
      </w:pPr>
    </w:p>
    <w:p w14:paraId="6E41D3E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kern w:val="2"/>
          <w:sz w:val="21"/>
          <w:szCs w:val="22"/>
          <w:lang w:val="en-US" w:eastAsia="zh-CN" w:bidi="ar-SA"/>
        </w:rPr>
      </w:pPr>
    </w:p>
    <w:p w14:paraId="75DD1942">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8"/>
          <w:rFonts w:hint="eastAsia" w:hAnsi="宋体" w:cs="宋体"/>
          <w:b/>
          <w:bCs/>
          <w:color w:val="auto"/>
          <w:kern w:val="2"/>
          <w:sz w:val="21"/>
          <w:szCs w:val="21"/>
          <w:lang w:val="en-US" w:eastAsia="zh-CN"/>
        </w:rPr>
      </w:pPr>
    </w:p>
    <w:bookmarkEnd w:id="6"/>
    <w:bookmarkEnd w:id="7"/>
    <w:bookmarkEnd w:id="8"/>
    <w:bookmarkEnd w:id="9"/>
    <w:bookmarkEnd w:id="10"/>
    <w:bookmarkEnd w:id="11"/>
    <w:p w14:paraId="1AD104C4">
      <w:pPr>
        <w:keepNext w:val="0"/>
        <w:keepLines w:val="0"/>
        <w:pageBreakBefore w:val="0"/>
        <w:numPr>
          <w:ilvl w:val="0"/>
          <w:numId w:val="0"/>
        </w:numPr>
        <w:shd w:val="clea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sz w:val="20"/>
          <w:szCs w:val="20"/>
          <w:lang w:val="en-US" w:eastAsia="zh-CN"/>
        </w:rPr>
      </w:pPr>
      <w:r>
        <w:rPr>
          <w:rFonts w:hint="eastAsia" w:ascii="宋体" w:hAnsi="宋体" w:eastAsia="宋体" w:cs="宋体"/>
          <w:b/>
          <w:bCs/>
          <w:spacing w:val="7"/>
          <w:sz w:val="20"/>
          <w:szCs w:val="20"/>
          <w:lang w:eastAsia="zh-CN"/>
        </w:rPr>
        <w:t>六</w:t>
      </w:r>
      <w:r>
        <w:rPr>
          <w:rFonts w:ascii="宋体" w:hAnsi="宋体" w:eastAsia="宋体" w:cs="宋体"/>
          <w:b/>
          <w:bCs/>
          <w:spacing w:val="7"/>
          <w:sz w:val="20"/>
          <w:szCs w:val="20"/>
          <w:lang w:eastAsia="zh-CN"/>
        </w:rPr>
        <w:t>、采购需求偏离表</w:t>
      </w:r>
      <w:r>
        <w:rPr>
          <w:rFonts w:hint="eastAsia"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加盖公章）</w:t>
      </w:r>
    </w:p>
    <w:p w14:paraId="46903B95">
      <w:pPr>
        <w:spacing w:before="257" w:line="219" w:lineRule="auto"/>
        <w:ind w:left="4127"/>
        <w:rPr>
          <w:rFonts w:ascii="宋体" w:hAnsi="宋体" w:eastAsia="宋体" w:cs="宋体"/>
          <w:sz w:val="30"/>
          <w:szCs w:val="30"/>
          <w:lang w:eastAsia="zh-CN"/>
        </w:rPr>
      </w:pPr>
      <w:r>
        <w:rPr>
          <w:rFonts w:ascii="宋体" w:hAnsi="宋体" w:eastAsia="宋体" w:cs="宋体"/>
          <w:b/>
          <w:bCs/>
          <w:spacing w:val="-7"/>
          <w:sz w:val="30"/>
          <w:szCs w:val="30"/>
          <w:lang w:eastAsia="zh-CN"/>
        </w:rPr>
        <w:t>偏离表</w:t>
      </w:r>
    </w:p>
    <w:p w14:paraId="62353373">
      <w:pPr>
        <w:pStyle w:val="4"/>
        <w:spacing w:line="286" w:lineRule="auto"/>
        <w:rPr>
          <w:lang w:eastAsia="zh-CN"/>
        </w:rPr>
      </w:pPr>
    </w:p>
    <w:p w14:paraId="65E86C6A">
      <w:pPr>
        <w:keepNext w:val="0"/>
        <w:keepLines w:val="0"/>
        <w:pageBreakBefore w:val="0"/>
        <w:widowControl/>
        <w:kinsoku w:val="0"/>
        <w:wordWrap/>
        <w:overflowPunct/>
        <w:topLinePunct w:val="0"/>
        <w:autoSpaceDE w:val="0"/>
        <w:autoSpaceDN w:val="0"/>
        <w:bidi w:val="0"/>
        <w:adjustRightInd w:val="0"/>
        <w:snapToGrid w:val="0"/>
        <w:spacing w:before="95" w:beforeLines="30" w:line="228" w:lineRule="auto"/>
        <w:textAlignment w:val="baseline"/>
        <w:rPr>
          <w:rFonts w:ascii="宋体" w:hAnsi="宋体" w:eastAsia="宋体" w:cs="宋体"/>
          <w:sz w:val="20"/>
          <w:szCs w:val="20"/>
          <w:lang w:eastAsia="zh-CN"/>
        </w:rPr>
      </w:pPr>
      <w:r>
        <w:rPr>
          <w:rFonts w:ascii="宋体" w:hAnsi="宋体" w:eastAsia="宋体" w:cs="宋体"/>
          <w:spacing w:val="5"/>
          <w:sz w:val="20"/>
          <w:szCs w:val="20"/>
          <w:lang w:eastAsia="zh-CN"/>
        </w:rPr>
        <w:t>填写要求：</w:t>
      </w:r>
    </w:p>
    <w:p w14:paraId="562D69C9">
      <w:pPr>
        <w:keepNext w:val="0"/>
        <w:keepLines w:val="0"/>
        <w:pageBreakBefore w:val="0"/>
        <w:widowControl/>
        <w:kinsoku w:val="0"/>
        <w:wordWrap/>
        <w:overflowPunct/>
        <w:topLinePunct w:val="0"/>
        <w:autoSpaceDE w:val="0"/>
        <w:autoSpaceDN w:val="0"/>
        <w:bidi w:val="0"/>
        <w:adjustRightInd w:val="0"/>
        <w:snapToGrid w:val="0"/>
        <w:spacing w:before="95" w:beforeLines="30" w:line="227" w:lineRule="auto"/>
        <w:textAlignment w:val="baseline"/>
        <w:rPr>
          <w:rFonts w:ascii="宋体" w:hAnsi="宋体" w:eastAsia="宋体" w:cs="宋体"/>
          <w:sz w:val="20"/>
          <w:szCs w:val="20"/>
          <w:lang w:eastAsia="zh-CN"/>
        </w:rPr>
      </w:pPr>
      <w:r>
        <w:rPr>
          <w:rFonts w:ascii="Calibri" w:hAnsi="Calibri" w:eastAsia="Calibri" w:cs="Calibri"/>
          <w:spacing w:val="8"/>
          <w:sz w:val="20"/>
          <w:szCs w:val="20"/>
          <w:lang w:eastAsia="zh-CN"/>
        </w:rPr>
        <w:t>1</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、请按采购需求的要求逐条响应，正负偏离参数请备</w:t>
      </w:r>
      <w:r>
        <w:rPr>
          <w:rFonts w:ascii="宋体" w:hAnsi="宋体" w:eastAsia="宋体" w:cs="宋体"/>
          <w:spacing w:val="7"/>
          <w:sz w:val="20"/>
          <w:szCs w:val="20"/>
          <w:lang w:eastAsia="zh-CN"/>
        </w:rPr>
        <w:t>注说明。</w:t>
      </w:r>
    </w:p>
    <w:p w14:paraId="2C99D150">
      <w:pPr>
        <w:keepNext w:val="0"/>
        <w:keepLines w:val="0"/>
        <w:pageBreakBefore w:val="0"/>
        <w:widowControl/>
        <w:kinsoku w:val="0"/>
        <w:wordWrap/>
        <w:overflowPunct/>
        <w:topLinePunct w:val="0"/>
        <w:autoSpaceDE w:val="0"/>
        <w:autoSpaceDN w:val="0"/>
        <w:bidi w:val="0"/>
        <w:adjustRightInd w:val="0"/>
        <w:snapToGrid w:val="0"/>
        <w:spacing w:before="95" w:beforeLines="30" w:line="228" w:lineRule="auto"/>
        <w:textAlignment w:val="baseline"/>
        <w:rPr>
          <w:rFonts w:ascii="宋体" w:hAnsi="宋体" w:eastAsia="宋体" w:cs="宋体"/>
          <w:sz w:val="20"/>
          <w:szCs w:val="20"/>
          <w:lang w:eastAsia="zh-CN"/>
        </w:rPr>
      </w:pPr>
      <w:r>
        <w:rPr>
          <w:rFonts w:ascii="Calibri" w:hAnsi="Calibri" w:eastAsia="Calibri" w:cs="Calibri"/>
          <w:spacing w:val="7"/>
          <w:sz w:val="20"/>
          <w:szCs w:val="20"/>
          <w:lang w:eastAsia="zh-CN"/>
        </w:rPr>
        <w:t>2</w:t>
      </w:r>
      <w:r>
        <w:rPr>
          <w:rFonts w:ascii="Calibri" w:hAnsi="Calibri" w:eastAsia="Calibri" w:cs="Calibri"/>
          <w:spacing w:val="-14"/>
          <w:sz w:val="20"/>
          <w:szCs w:val="20"/>
          <w:lang w:eastAsia="zh-CN"/>
        </w:rPr>
        <w:t xml:space="preserve"> </w:t>
      </w:r>
      <w:r>
        <w:rPr>
          <w:rFonts w:ascii="宋体" w:hAnsi="宋体" w:eastAsia="宋体" w:cs="宋体"/>
          <w:spacing w:val="7"/>
          <w:sz w:val="20"/>
          <w:szCs w:val="20"/>
          <w:lang w:eastAsia="zh-CN"/>
        </w:rPr>
        <w:t>、其中带★的参数是必须完全响应的参数。</w:t>
      </w:r>
    </w:p>
    <w:p w14:paraId="32B81AA3">
      <w:pPr>
        <w:keepNext w:val="0"/>
        <w:keepLines w:val="0"/>
        <w:pageBreakBefore w:val="0"/>
        <w:widowControl/>
        <w:kinsoku w:val="0"/>
        <w:wordWrap/>
        <w:overflowPunct/>
        <w:topLinePunct w:val="0"/>
        <w:autoSpaceDE w:val="0"/>
        <w:autoSpaceDN w:val="0"/>
        <w:bidi w:val="0"/>
        <w:adjustRightInd w:val="0"/>
        <w:snapToGrid w:val="0"/>
        <w:spacing w:before="95" w:beforeLines="30" w:line="228" w:lineRule="auto"/>
        <w:textAlignment w:val="baseline"/>
        <w:rPr>
          <w:rFonts w:ascii="宋体" w:hAnsi="宋体" w:eastAsia="宋体" w:cs="宋体"/>
          <w:sz w:val="20"/>
          <w:szCs w:val="20"/>
          <w:lang w:eastAsia="zh-CN"/>
        </w:rPr>
      </w:pPr>
      <w:r>
        <w:rPr>
          <w:rFonts w:ascii="Calibri" w:hAnsi="Calibri" w:eastAsia="Calibri" w:cs="Calibri"/>
          <w:spacing w:val="8"/>
          <w:sz w:val="20"/>
          <w:szCs w:val="20"/>
          <w:lang w:eastAsia="zh-CN"/>
        </w:rPr>
        <w:t>3</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、所投</w:t>
      </w:r>
      <w:r>
        <w:rPr>
          <w:rFonts w:hint="eastAsia" w:ascii="宋体" w:hAnsi="宋体" w:eastAsia="宋体" w:cs="宋体"/>
          <w:spacing w:val="8"/>
          <w:sz w:val="20"/>
          <w:szCs w:val="20"/>
          <w:lang w:eastAsia="zh-CN"/>
        </w:rPr>
        <w:t>服务</w:t>
      </w:r>
      <w:r>
        <w:rPr>
          <w:rFonts w:ascii="宋体" w:hAnsi="宋体" w:eastAsia="宋体" w:cs="宋体"/>
          <w:spacing w:val="8"/>
          <w:sz w:val="20"/>
          <w:szCs w:val="20"/>
          <w:lang w:eastAsia="zh-CN"/>
        </w:rPr>
        <w:t>的参数满足率≥</w:t>
      </w:r>
      <w:r>
        <w:rPr>
          <w:rFonts w:ascii="Calibri" w:hAnsi="Calibri" w:eastAsia="Calibri" w:cs="Calibri"/>
          <w:spacing w:val="8"/>
          <w:sz w:val="20"/>
          <w:szCs w:val="20"/>
          <w:lang w:eastAsia="zh-CN"/>
        </w:rPr>
        <w:t>90%</w:t>
      </w:r>
      <w:r>
        <w:rPr>
          <w:rFonts w:ascii="宋体" w:hAnsi="宋体" w:eastAsia="宋体" w:cs="宋体"/>
          <w:spacing w:val="8"/>
          <w:sz w:val="20"/>
          <w:szCs w:val="20"/>
          <w:lang w:eastAsia="zh-CN"/>
        </w:rPr>
        <w:t>方视为满足</w:t>
      </w:r>
      <w:r>
        <w:rPr>
          <w:rFonts w:ascii="宋体" w:hAnsi="宋体" w:eastAsia="宋体" w:cs="宋体"/>
          <w:spacing w:val="7"/>
          <w:sz w:val="20"/>
          <w:szCs w:val="20"/>
          <w:lang w:eastAsia="zh-CN"/>
        </w:rPr>
        <w:t>需求的合格</w:t>
      </w:r>
      <w:r>
        <w:rPr>
          <w:rFonts w:hint="eastAsia" w:ascii="宋体" w:hAnsi="宋体" w:eastAsia="宋体" w:cs="宋体"/>
          <w:spacing w:val="7"/>
          <w:sz w:val="20"/>
          <w:szCs w:val="20"/>
          <w:lang w:eastAsia="zh-CN"/>
        </w:rPr>
        <w:t>服务</w:t>
      </w:r>
      <w:r>
        <w:rPr>
          <w:rFonts w:ascii="宋体" w:hAnsi="宋体" w:eastAsia="宋体" w:cs="宋体"/>
          <w:spacing w:val="7"/>
          <w:sz w:val="20"/>
          <w:szCs w:val="20"/>
          <w:lang w:eastAsia="zh-CN"/>
        </w:rPr>
        <w:t>。</w:t>
      </w:r>
    </w:p>
    <w:tbl>
      <w:tblPr>
        <w:tblStyle w:val="20"/>
        <w:tblpPr w:leftFromText="180" w:rightFromText="180" w:vertAnchor="text" w:horzAnchor="page" w:tblpX="992" w:tblpY="224"/>
        <w:tblOverlap w:val="never"/>
        <w:tblW w:w="967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57" w:type="dxa"/>
          <w:left w:w="57" w:type="dxa"/>
          <w:bottom w:w="57" w:type="dxa"/>
          <w:right w:w="57" w:type="dxa"/>
        </w:tblCellMar>
      </w:tblPr>
      <w:tblGrid>
        <w:gridCol w:w="661"/>
        <w:gridCol w:w="5547"/>
        <w:gridCol w:w="1425"/>
        <w:gridCol w:w="978"/>
        <w:gridCol w:w="1065"/>
      </w:tblGrid>
      <w:tr w14:paraId="37EB4D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926" w:hRule="atLeast"/>
        </w:trPr>
        <w:tc>
          <w:tcPr>
            <w:tcW w:w="661" w:type="dxa"/>
            <w:vAlign w:val="center"/>
          </w:tcPr>
          <w:p w14:paraId="61DC7371">
            <w:pPr>
              <w:spacing w:before="65" w:line="300" w:lineRule="exact"/>
              <w:jc w:val="center"/>
              <w:rPr>
                <w:rFonts w:ascii="宋体" w:hAnsi="宋体" w:eastAsia="宋体" w:cs="宋体"/>
                <w:b/>
                <w:bCs/>
              </w:rPr>
            </w:pPr>
            <w:r>
              <w:rPr>
                <w:rFonts w:hint="eastAsia" w:ascii="宋体" w:hAnsi="宋体" w:eastAsia="宋体" w:cs="宋体"/>
                <w:b/>
                <w:bCs/>
                <w:spacing w:val="5"/>
              </w:rPr>
              <w:t>序号</w:t>
            </w:r>
          </w:p>
        </w:tc>
        <w:tc>
          <w:tcPr>
            <w:tcW w:w="5547" w:type="dxa"/>
            <w:vAlign w:val="center"/>
          </w:tcPr>
          <w:p w14:paraId="2A5AABAD">
            <w:pPr>
              <w:spacing w:before="65" w:line="300" w:lineRule="exact"/>
              <w:jc w:val="center"/>
              <w:rPr>
                <w:rFonts w:ascii="宋体" w:hAnsi="宋体" w:eastAsia="宋体" w:cs="宋体"/>
                <w:b/>
                <w:bCs/>
              </w:rPr>
            </w:pPr>
            <w:r>
              <w:rPr>
                <w:rFonts w:hint="eastAsia" w:ascii="宋体" w:hAnsi="宋体" w:eastAsia="宋体" w:cs="宋体"/>
                <w:b/>
                <w:bCs/>
                <w:spacing w:val="8"/>
              </w:rPr>
              <w:t>采购需求的要求</w:t>
            </w:r>
          </w:p>
        </w:tc>
        <w:tc>
          <w:tcPr>
            <w:tcW w:w="1425" w:type="dxa"/>
            <w:vAlign w:val="center"/>
          </w:tcPr>
          <w:p w14:paraId="43FB0302">
            <w:pPr>
              <w:keepNext w:val="0"/>
              <w:keepLines w:val="0"/>
              <w:pageBreakBefore w:val="0"/>
              <w:widowControl/>
              <w:kinsoku w:val="0"/>
              <w:wordWrap/>
              <w:overflowPunct/>
              <w:topLinePunct w:val="0"/>
              <w:autoSpaceDE w:val="0"/>
              <w:autoSpaceDN w:val="0"/>
              <w:bidi w:val="0"/>
              <w:adjustRightInd w:val="0"/>
              <w:snapToGrid w:val="0"/>
              <w:spacing w:line="300" w:lineRule="exact"/>
              <w:ind w:right="244"/>
              <w:jc w:val="center"/>
              <w:textAlignment w:val="baseline"/>
              <w:rPr>
                <w:rFonts w:hint="eastAsia" w:ascii="宋体" w:hAnsi="宋体" w:eastAsia="宋体" w:cs="宋体"/>
                <w:b/>
                <w:bCs/>
                <w:spacing w:val="7"/>
              </w:rPr>
            </w:pPr>
            <w:r>
              <w:rPr>
                <w:rFonts w:hint="eastAsia" w:ascii="宋体" w:hAnsi="宋体" w:eastAsia="宋体" w:cs="宋体"/>
                <w:b/>
                <w:bCs/>
                <w:spacing w:val="7"/>
              </w:rPr>
              <w:t>完全响应</w:t>
            </w:r>
          </w:p>
          <w:p w14:paraId="33305874">
            <w:pPr>
              <w:keepNext w:val="0"/>
              <w:keepLines w:val="0"/>
              <w:pageBreakBefore w:val="0"/>
              <w:widowControl/>
              <w:kinsoku w:val="0"/>
              <w:wordWrap/>
              <w:overflowPunct/>
              <w:topLinePunct w:val="0"/>
              <w:autoSpaceDE w:val="0"/>
              <w:autoSpaceDN w:val="0"/>
              <w:bidi w:val="0"/>
              <w:adjustRightInd w:val="0"/>
              <w:snapToGrid w:val="0"/>
              <w:spacing w:line="300" w:lineRule="exact"/>
              <w:ind w:right="244"/>
              <w:jc w:val="center"/>
              <w:textAlignment w:val="baseline"/>
              <w:rPr>
                <w:rFonts w:hint="eastAsia" w:ascii="宋体" w:hAnsi="宋体" w:eastAsia="宋体" w:cs="宋体"/>
                <w:b/>
                <w:bCs/>
                <w:spacing w:val="7"/>
              </w:rPr>
            </w:pPr>
            <w:r>
              <w:rPr>
                <w:rFonts w:hint="eastAsia" w:ascii="宋体" w:hAnsi="宋体" w:eastAsia="宋体" w:cs="宋体"/>
                <w:b/>
                <w:bCs/>
                <w:spacing w:val="7"/>
              </w:rPr>
              <w:t>或</w:t>
            </w:r>
          </w:p>
          <w:p w14:paraId="7C9B8E9B">
            <w:pPr>
              <w:keepNext w:val="0"/>
              <w:keepLines w:val="0"/>
              <w:pageBreakBefore w:val="0"/>
              <w:widowControl/>
              <w:kinsoku w:val="0"/>
              <w:wordWrap/>
              <w:overflowPunct/>
              <w:topLinePunct w:val="0"/>
              <w:autoSpaceDE w:val="0"/>
              <w:autoSpaceDN w:val="0"/>
              <w:bidi w:val="0"/>
              <w:adjustRightInd w:val="0"/>
              <w:snapToGrid w:val="0"/>
              <w:spacing w:line="300" w:lineRule="exact"/>
              <w:ind w:right="244"/>
              <w:jc w:val="center"/>
              <w:textAlignment w:val="baseline"/>
              <w:rPr>
                <w:rFonts w:ascii="宋体" w:hAnsi="宋体" w:eastAsia="宋体" w:cs="宋体"/>
                <w:b/>
                <w:bCs/>
              </w:rPr>
            </w:pPr>
            <w:r>
              <w:rPr>
                <w:rFonts w:hint="eastAsia" w:ascii="宋体" w:hAnsi="宋体" w:eastAsia="宋体" w:cs="宋体"/>
                <w:b/>
                <w:bCs/>
                <w:spacing w:val="6"/>
              </w:rPr>
              <w:t>正/负偏离</w:t>
            </w:r>
          </w:p>
        </w:tc>
        <w:tc>
          <w:tcPr>
            <w:tcW w:w="978" w:type="dxa"/>
            <w:vAlign w:val="center"/>
          </w:tcPr>
          <w:p w14:paraId="05845206">
            <w:pPr>
              <w:spacing w:before="65" w:line="300" w:lineRule="exact"/>
              <w:jc w:val="center"/>
              <w:rPr>
                <w:rFonts w:hint="eastAsia" w:ascii="宋体" w:hAnsi="宋体" w:eastAsia="宋体" w:cs="宋体"/>
                <w:b/>
                <w:bCs/>
                <w:spacing w:val="7"/>
              </w:rPr>
            </w:pPr>
            <w:r>
              <w:rPr>
                <w:rFonts w:hint="eastAsia" w:ascii="宋体" w:hAnsi="宋体" w:eastAsia="宋体" w:cs="宋体"/>
                <w:b/>
                <w:bCs/>
                <w:spacing w:val="7"/>
              </w:rPr>
              <w:t>偏离</w:t>
            </w:r>
          </w:p>
          <w:p w14:paraId="62DEE52A">
            <w:pPr>
              <w:spacing w:before="65" w:line="300" w:lineRule="exact"/>
              <w:jc w:val="center"/>
              <w:rPr>
                <w:rFonts w:ascii="宋体" w:hAnsi="宋体" w:eastAsia="宋体" w:cs="宋体"/>
                <w:b/>
                <w:bCs/>
              </w:rPr>
            </w:pPr>
            <w:r>
              <w:rPr>
                <w:rFonts w:hint="eastAsia" w:ascii="宋体" w:hAnsi="宋体" w:eastAsia="宋体" w:cs="宋体"/>
                <w:b/>
                <w:bCs/>
                <w:spacing w:val="7"/>
              </w:rPr>
              <w:t>情况</w:t>
            </w:r>
          </w:p>
        </w:tc>
        <w:tc>
          <w:tcPr>
            <w:tcW w:w="1065" w:type="dxa"/>
            <w:vAlign w:val="center"/>
          </w:tcPr>
          <w:p w14:paraId="7173064F">
            <w:pPr>
              <w:spacing w:before="65" w:line="300" w:lineRule="exact"/>
              <w:jc w:val="center"/>
              <w:rPr>
                <w:rFonts w:hint="eastAsia" w:ascii="宋体" w:hAnsi="宋体" w:eastAsia="宋体" w:cs="宋体"/>
                <w:b/>
                <w:bCs/>
                <w:spacing w:val="7"/>
                <w:lang w:val="en-US" w:eastAsia="zh-CN"/>
              </w:rPr>
            </w:pPr>
            <w:r>
              <w:rPr>
                <w:rFonts w:hint="eastAsia" w:ascii="宋体" w:hAnsi="宋体" w:eastAsia="宋体" w:cs="宋体"/>
                <w:b/>
                <w:bCs/>
                <w:spacing w:val="7"/>
                <w:lang w:val="en-US" w:eastAsia="zh-CN"/>
              </w:rPr>
              <w:t>对应</w:t>
            </w:r>
          </w:p>
          <w:p w14:paraId="2272C3A4">
            <w:pPr>
              <w:spacing w:before="65" w:line="300" w:lineRule="exact"/>
              <w:jc w:val="center"/>
              <w:rPr>
                <w:rFonts w:hint="default" w:ascii="宋体" w:hAnsi="宋体" w:eastAsia="宋体" w:cs="宋体"/>
                <w:b/>
                <w:bCs/>
                <w:spacing w:val="7"/>
                <w:lang w:val="en-US" w:eastAsia="zh-CN"/>
              </w:rPr>
            </w:pPr>
            <w:r>
              <w:rPr>
                <w:rFonts w:hint="eastAsia" w:ascii="宋体" w:hAnsi="宋体" w:eastAsia="宋体" w:cs="宋体"/>
                <w:b/>
                <w:bCs/>
                <w:spacing w:val="7"/>
                <w:lang w:val="en-US" w:eastAsia="zh-CN"/>
              </w:rPr>
              <w:t>页码</w:t>
            </w:r>
          </w:p>
        </w:tc>
      </w:tr>
      <w:tr w14:paraId="0B8354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962" w:hRule="atLeast"/>
        </w:trPr>
        <w:tc>
          <w:tcPr>
            <w:tcW w:w="661" w:type="dxa"/>
            <w:vAlign w:val="center"/>
          </w:tcPr>
          <w:p w14:paraId="5F3B1345">
            <w:pPr>
              <w:spacing w:before="65" w:line="270" w:lineRule="exact"/>
              <w:jc w:val="center"/>
              <w:rPr>
                <w:rFonts w:ascii="宋体" w:hAnsi="宋体" w:eastAsia="宋体" w:cs="宋体"/>
              </w:rPr>
            </w:pPr>
            <w:r>
              <w:rPr>
                <w:rFonts w:hint="eastAsia" w:ascii="宋体" w:hAnsi="宋体" w:eastAsia="宋体" w:cs="宋体"/>
                <w:position w:val="1"/>
              </w:rPr>
              <w:t>1</w:t>
            </w:r>
          </w:p>
        </w:tc>
        <w:tc>
          <w:tcPr>
            <w:tcW w:w="5547" w:type="dxa"/>
          </w:tcPr>
          <w:p w14:paraId="5E8D2D57">
            <w:pPr>
              <w:pStyle w:val="10"/>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rPr>
              <w:t>合作模式</w:t>
            </w:r>
          </w:p>
          <w:p w14:paraId="261D1889">
            <w:pPr>
              <w:pStyle w:val="10"/>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rPr>
              <w:t>（一）场地支持：医院提供院内适宜场地（门诊大厅、急诊科门口、住院部入口等），供应商根据医院规划合理布设共享轮椅设备点位，保障服务覆盖全院主要诊疗区域。</w:t>
            </w:r>
          </w:p>
          <w:p w14:paraId="04538B85">
            <w:pPr>
              <w:pStyle w:val="10"/>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rPr>
              <w:t>（二）投资运营：为方便患者使用，降低轮椅租借费用，减轻患者负担，采购人同意供应商在指定区域内投放共享轮椅，不收取供应商任何费用。由供应商全额出资提供符合国家标准的共享轮椅及配套智能租借设备（包含智能锁、扫码终端、归位桩等），设备产权归供应商所有。</w:t>
            </w:r>
          </w:p>
          <w:p w14:paraId="502D1396">
            <w:pPr>
              <w:pStyle w:val="10"/>
              <w:widowControl w:val="0"/>
              <w:kinsoku/>
              <w:autoSpaceDN/>
              <w:adjustRightInd/>
              <w:snapToGrid/>
              <w:spacing w:before="0" w:beforeAutospacing="0" w:after="0" w:afterAutospacing="0" w:line="240" w:lineRule="exact"/>
              <w:rPr>
                <w:rFonts w:ascii="宋体" w:hAnsi="宋体" w:eastAsia="宋体" w:cs="宋体"/>
                <w:sz w:val="20"/>
                <w:szCs w:val="20"/>
              </w:rPr>
            </w:pPr>
            <w:r>
              <w:rPr>
                <w:rFonts w:hint="eastAsia" w:ascii="宋体" w:hAnsi="宋体" w:eastAsia="宋体" w:cs="宋体"/>
                <w:sz w:val="20"/>
                <w:szCs w:val="20"/>
              </w:rPr>
              <w:t>（三）运营运维：供应商全权负责项目日常运营管理、设备安装调试、定期检修、清洁消毒、故障维修、损耗更换、点位调整等全部工作，保障设备全天候正常可用。医院不参与收益分成，不承担任何运营成本及经营风险。</w:t>
            </w:r>
          </w:p>
        </w:tc>
        <w:tc>
          <w:tcPr>
            <w:tcW w:w="1425" w:type="dxa"/>
          </w:tcPr>
          <w:p w14:paraId="03ED26DE">
            <w:pPr>
              <w:pStyle w:val="21"/>
              <w:rPr>
                <w:rFonts w:ascii="宋体" w:hAnsi="宋体" w:eastAsia="宋体" w:cs="宋体"/>
                <w:lang w:eastAsia="zh-CN"/>
              </w:rPr>
            </w:pPr>
          </w:p>
        </w:tc>
        <w:tc>
          <w:tcPr>
            <w:tcW w:w="978" w:type="dxa"/>
          </w:tcPr>
          <w:p w14:paraId="314D7EEC">
            <w:pPr>
              <w:pStyle w:val="21"/>
              <w:rPr>
                <w:rFonts w:ascii="宋体" w:hAnsi="宋体" w:eastAsia="宋体" w:cs="宋体"/>
                <w:lang w:eastAsia="zh-CN"/>
              </w:rPr>
            </w:pPr>
          </w:p>
        </w:tc>
        <w:tc>
          <w:tcPr>
            <w:tcW w:w="1065" w:type="dxa"/>
          </w:tcPr>
          <w:p w14:paraId="0A9D39B5">
            <w:pPr>
              <w:pStyle w:val="21"/>
              <w:rPr>
                <w:rFonts w:ascii="宋体" w:hAnsi="宋体" w:eastAsia="宋体" w:cs="宋体"/>
                <w:lang w:eastAsia="zh-CN"/>
              </w:rPr>
            </w:pPr>
          </w:p>
        </w:tc>
      </w:tr>
      <w:tr w14:paraId="140536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537" w:hRule="atLeast"/>
        </w:trPr>
        <w:tc>
          <w:tcPr>
            <w:tcW w:w="661" w:type="dxa"/>
            <w:vAlign w:val="center"/>
          </w:tcPr>
          <w:p w14:paraId="6B8C066E">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2</w:t>
            </w:r>
          </w:p>
        </w:tc>
        <w:tc>
          <w:tcPr>
            <w:tcW w:w="5547" w:type="dxa"/>
          </w:tcPr>
          <w:p w14:paraId="299E92B4">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eastAsia="zh-CN"/>
              </w:rPr>
              <w:t>服务期限：服务期限为 3 年，自合同签订后起3年。合作期间，每年进行服务质量考核，若供应商出现违规运营、服务不达标、拒不整改等情况，医院有权单方面终止合同。</w:t>
            </w:r>
          </w:p>
        </w:tc>
        <w:tc>
          <w:tcPr>
            <w:tcW w:w="1425" w:type="dxa"/>
          </w:tcPr>
          <w:p w14:paraId="69CF45F5">
            <w:pPr>
              <w:pStyle w:val="21"/>
              <w:rPr>
                <w:rFonts w:ascii="宋体" w:hAnsi="宋体" w:eastAsia="宋体" w:cs="宋体"/>
                <w:lang w:eastAsia="zh-CN"/>
              </w:rPr>
            </w:pPr>
          </w:p>
        </w:tc>
        <w:tc>
          <w:tcPr>
            <w:tcW w:w="978" w:type="dxa"/>
          </w:tcPr>
          <w:p w14:paraId="4B1E84E1">
            <w:pPr>
              <w:pStyle w:val="21"/>
              <w:rPr>
                <w:rFonts w:ascii="宋体" w:hAnsi="宋体" w:eastAsia="宋体" w:cs="宋体"/>
                <w:lang w:eastAsia="zh-CN"/>
              </w:rPr>
            </w:pPr>
          </w:p>
        </w:tc>
        <w:tc>
          <w:tcPr>
            <w:tcW w:w="1065" w:type="dxa"/>
          </w:tcPr>
          <w:p w14:paraId="050D5957">
            <w:pPr>
              <w:pStyle w:val="21"/>
              <w:rPr>
                <w:rFonts w:ascii="宋体" w:hAnsi="宋体" w:eastAsia="宋体" w:cs="宋体"/>
                <w:lang w:eastAsia="zh-CN"/>
              </w:rPr>
            </w:pPr>
          </w:p>
        </w:tc>
      </w:tr>
      <w:tr w14:paraId="7C20B9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650" w:hRule="atLeast"/>
        </w:trPr>
        <w:tc>
          <w:tcPr>
            <w:tcW w:w="661" w:type="dxa"/>
            <w:vAlign w:val="center"/>
          </w:tcPr>
          <w:p w14:paraId="002DA8E4">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3</w:t>
            </w:r>
          </w:p>
        </w:tc>
        <w:tc>
          <w:tcPr>
            <w:tcW w:w="5547" w:type="dxa"/>
          </w:tcPr>
          <w:p w14:paraId="3A6BB4D8">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投放数量与区域</w:t>
            </w:r>
          </w:p>
          <w:p w14:paraId="7E506F37">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（一）共享轮椅首批投放约15台，供应商须根据医院日均人流量测算，预留10%-20%备用设备应对高峰需求。</w:t>
            </w:r>
          </w:p>
          <w:p w14:paraId="3CD111BD">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eastAsia="zh-CN"/>
              </w:rPr>
              <w:t>（二）具体投放位置须经院方确认，不得占用消防通道、应急出口及诊疗通道。</w:t>
            </w:r>
          </w:p>
        </w:tc>
        <w:tc>
          <w:tcPr>
            <w:tcW w:w="1425" w:type="dxa"/>
          </w:tcPr>
          <w:p w14:paraId="50520806">
            <w:pPr>
              <w:pStyle w:val="21"/>
              <w:rPr>
                <w:rFonts w:ascii="宋体" w:hAnsi="宋体" w:eastAsia="宋体" w:cs="宋体"/>
                <w:lang w:eastAsia="zh-CN"/>
              </w:rPr>
            </w:pPr>
          </w:p>
        </w:tc>
        <w:tc>
          <w:tcPr>
            <w:tcW w:w="978" w:type="dxa"/>
          </w:tcPr>
          <w:p w14:paraId="27AC7BB1">
            <w:pPr>
              <w:pStyle w:val="21"/>
              <w:rPr>
                <w:rFonts w:ascii="宋体" w:hAnsi="宋体" w:eastAsia="宋体" w:cs="宋体"/>
                <w:lang w:eastAsia="zh-CN"/>
              </w:rPr>
            </w:pPr>
          </w:p>
        </w:tc>
        <w:tc>
          <w:tcPr>
            <w:tcW w:w="1065" w:type="dxa"/>
          </w:tcPr>
          <w:p w14:paraId="714423AC">
            <w:pPr>
              <w:pStyle w:val="21"/>
              <w:rPr>
                <w:rFonts w:ascii="宋体" w:hAnsi="宋体" w:eastAsia="宋体" w:cs="宋体"/>
                <w:lang w:eastAsia="zh-CN"/>
              </w:rPr>
            </w:pPr>
          </w:p>
        </w:tc>
      </w:tr>
      <w:tr w14:paraId="18DFEC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210" w:hRule="atLeast"/>
        </w:trPr>
        <w:tc>
          <w:tcPr>
            <w:tcW w:w="661" w:type="dxa"/>
            <w:vAlign w:val="center"/>
          </w:tcPr>
          <w:p w14:paraId="71310ABA">
            <w:pPr>
              <w:spacing w:before="65"/>
              <w:jc w:val="center"/>
              <w:rPr>
                <w:rFonts w:ascii="宋体" w:hAnsi="宋体" w:eastAsia="宋体" w:cs="宋体"/>
                <w:position w:val="1"/>
                <w:lang w:eastAsia="zh-CN"/>
              </w:rPr>
            </w:pPr>
            <w:r>
              <w:rPr>
                <w:rFonts w:hint="eastAsia" w:ascii="宋体" w:hAnsi="宋体" w:eastAsia="宋体" w:cs="宋体"/>
                <w:position w:val="1"/>
                <w:lang w:eastAsia="zh-CN"/>
              </w:rPr>
              <w:t>4</w:t>
            </w:r>
          </w:p>
        </w:tc>
        <w:tc>
          <w:tcPr>
            <w:tcW w:w="5547" w:type="dxa"/>
          </w:tcPr>
          <w:p w14:paraId="2074FC7E">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设备技术要求</w:t>
            </w:r>
          </w:p>
          <w:p w14:paraId="7F1441CC">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（一）共享轮椅</w:t>
            </w:r>
          </w:p>
          <w:p w14:paraId="65B38A50">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1.符合《GB/T 13800-2009 手动轮椅车》国家标准，并提供具有CMA/CNAS资质的第三方检测机构出具的检测报告；</w:t>
            </w:r>
          </w:p>
          <w:p w14:paraId="7E2AFFCF">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2.可折叠、轻便承重（承重≥100kg），具备自动收合踏板、防滑设计及良好减震性能；</w:t>
            </w:r>
          </w:p>
          <w:p w14:paraId="33A35D87">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3.车架采用优质钢管焊接，表面防锈处理；坐垫采用牛津布/高密度海绵，抗拉力强、透气性好；</w:t>
            </w:r>
          </w:p>
          <w:p w14:paraId="65B79AB6">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4.前轮采用环保塑料铸塑，后轮为免充气PU轮胎，配备肘节式刹车装置。</w:t>
            </w:r>
          </w:p>
          <w:p w14:paraId="5B99D2C2">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（二）归位桩/收纳架</w:t>
            </w:r>
          </w:p>
          <w:p w14:paraId="46E70CE4">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1.支持多车位组合（1桩2椅至1桩5椅），采用4G/蓝牙双模通信方式；</w:t>
            </w:r>
          </w:p>
          <w:p w14:paraId="726CA37A">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2.设备自带电池供电，续航≥3个月，禁止接入医院任何电源，确保零电费产生；</w:t>
            </w:r>
          </w:p>
          <w:p w14:paraId="62B7464D">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3.安装无需打孔拉电线，可随时移动，不破坏医院原有地面、墙壁；</w:t>
            </w:r>
          </w:p>
          <w:p w14:paraId="4165EECE">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4.归位桩须具备身份识别技术（如RFID），防止用户作弊和错位归还。</w:t>
            </w:r>
          </w:p>
          <w:p w14:paraId="3E1F4373">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（三）智能租借系统</w:t>
            </w:r>
          </w:p>
          <w:p w14:paraId="4653EBA6">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1.支持微信/支付宝扫码租借，无需下载APP，操作简便；</w:t>
            </w:r>
          </w:p>
          <w:p w14:paraId="155ED997">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2.支持信用免押金租借（微信支付分/芝麻信用达标准即可免押）；</w:t>
            </w:r>
          </w:p>
          <w:p w14:paraId="58CD9B73">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3.支持蓝牙/NB双模开锁、远程升级与管理，实现设备状态实时监控；</w:t>
            </w:r>
          </w:p>
          <w:p w14:paraId="45671D0D">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4.后台管理系统支持实时查看轮椅使用状态、位置分布、故障报修等数据，具备数据统计及异常预警功能；</w:t>
            </w:r>
          </w:p>
          <w:p w14:paraId="28DB7043">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5.共享设备除使用说明外，不得印有其他商业广告。</w:t>
            </w:r>
          </w:p>
        </w:tc>
        <w:tc>
          <w:tcPr>
            <w:tcW w:w="1425" w:type="dxa"/>
          </w:tcPr>
          <w:p w14:paraId="1976FE37">
            <w:pPr>
              <w:pStyle w:val="21"/>
              <w:rPr>
                <w:rFonts w:ascii="宋体" w:hAnsi="宋体" w:eastAsia="宋体" w:cs="宋体"/>
                <w:lang w:eastAsia="zh-CN"/>
              </w:rPr>
            </w:pPr>
          </w:p>
        </w:tc>
        <w:tc>
          <w:tcPr>
            <w:tcW w:w="978" w:type="dxa"/>
          </w:tcPr>
          <w:p w14:paraId="23D2CAC8">
            <w:pPr>
              <w:pStyle w:val="21"/>
              <w:rPr>
                <w:rFonts w:ascii="宋体" w:hAnsi="宋体" w:eastAsia="宋体" w:cs="宋体"/>
                <w:lang w:eastAsia="zh-CN"/>
              </w:rPr>
            </w:pPr>
          </w:p>
        </w:tc>
        <w:tc>
          <w:tcPr>
            <w:tcW w:w="1065" w:type="dxa"/>
          </w:tcPr>
          <w:p w14:paraId="6941F157">
            <w:pPr>
              <w:pStyle w:val="21"/>
              <w:rPr>
                <w:rFonts w:ascii="宋体" w:hAnsi="宋体" w:eastAsia="宋体" w:cs="宋体"/>
                <w:lang w:eastAsia="zh-CN"/>
              </w:rPr>
            </w:pPr>
          </w:p>
        </w:tc>
      </w:tr>
      <w:tr w14:paraId="1E1832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90" w:hRule="atLeast"/>
        </w:trPr>
        <w:tc>
          <w:tcPr>
            <w:tcW w:w="661" w:type="dxa"/>
            <w:vAlign w:val="center"/>
          </w:tcPr>
          <w:p w14:paraId="2322AC96">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5</w:t>
            </w:r>
          </w:p>
        </w:tc>
        <w:tc>
          <w:tcPr>
            <w:tcW w:w="5547" w:type="dxa"/>
          </w:tcPr>
          <w:p w14:paraId="3EA0B18A">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0"/>
                <w:szCs w:val="20"/>
                <w:lang w:eastAsia="zh-CN"/>
              </w:rPr>
            </w:pPr>
            <w:r>
              <w:rPr>
                <w:rFonts w:hint="eastAsia" w:ascii="宋体" w:hAnsi="宋体" w:eastAsia="宋体" w:cs="宋体"/>
                <w:sz w:val="20"/>
                <w:szCs w:val="20"/>
                <w:lang w:eastAsia="zh-CN"/>
              </w:rPr>
              <w:t>收费标准</w:t>
            </w:r>
          </w:p>
          <w:p w14:paraId="555A6FC6">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0"/>
                <w:szCs w:val="20"/>
                <w:lang w:eastAsia="zh-CN"/>
              </w:rPr>
            </w:pPr>
            <w:r>
              <w:rPr>
                <w:rFonts w:hint="eastAsia" w:ascii="宋体" w:hAnsi="宋体" w:eastAsia="宋体" w:cs="宋体"/>
                <w:sz w:val="20"/>
                <w:szCs w:val="20"/>
                <w:lang w:eastAsia="zh-CN"/>
              </w:rPr>
              <w:t>（一）押金规则</w:t>
            </w:r>
          </w:p>
          <w:p w14:paraId="6D987B69">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0"/>
                <w:szCs w:val="20"/>
                <w:lang w:eastAsia="zh-CN"/>
              </w:rPr>
            </w:pPr>
            <w:r>
              <w:rPr>
                <w:rFonts w:hint="eastAsia" w:ascii="宋体" w:hAnsi="宋体" w:eastAsia="宋体" w:cs="宋体"/>
                <w:sz w:val="20"/>
                <w:szCs w:val="20"/>
                <w:lang w:eastAsia="zh-CN"/>
              </w:rPr>
              <w:t>1.未开通免押服务的用户，押金最高不超过299元/次；</w:t>
            </w:r>
          </w:p>
          <w:p w14:paraId="7F2FBCC0">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0"/>
                <w:szCs w:val="20"/>
                <w:lang w:eastAsia="zh-CN"/>
              </w:rPr>
            </w:pPr>
            <w:r>
              <w:rPr>
                <w:rFonts w:hint="eastAsia" w:ascii="宋体" w:hAnsi="宋体" w:eastAsia="宋体" w:cs="宋体"/>
                <w:sz w:val="20"/>
                <w:szCs w:val="20"/>
                <w:lang w:eastAsia="zh-CN"/>
              </w:rPr>
              <w:t>2.满足信用免押条件的用户免收押金；</w:t>
            </w:r>
          </w:p>
          <w:p w14:paraId="4FB4166C">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0"/>
                <w:szCs w:val="20"/>
                <w:lang w:eastAsia="zh-CN"/>
              </w:rPr>
            </w:pPr>
            <w:r>
              <w:rPr>
                <w:rFonts w:hint="eastAsia" w:ascii="宋体" w:hAnsi="宋体" w:eastAsia="宋体" w:cs="宋体"/>
                <w:sz w:val="20"/>
                <w:szCs w:val="20"/>
                <w:lang w:eastAsia="zh-CN"/>
              </w:rPr>
              <w:t>3.所有押金须交由正规第三方银行托管，专款专用，用户归还设备后须即时原路退还，不得以任何理由延迟。</w:t>
            </w:r>
          </w:p>
          <w:p w14:paraId="540163B3">
            <w:pPr>
              <w:keepNext w:val="0"/>
              <w:keepLines w:val="0"/>
              <w:pageBreakBefore w:val="0"/>
              <w:kinsoku/>
              <w:wordWrap/>
              <w:overflowPunct/>
              <w:topLinePunct w:val="0"/>
              <w:autoSpaceDE/>
              <w:autoSpaceDN/>
              <w:bidi w:val="0"/>
              <w:adjustRightInd/>
              <w:snapToGrid/>
              <w:spacing w:line="480" w:lineRule="exact"/>
              <w:jc w:val="left"/>
              <w:rPr>
                <w:rFonts w:hint="eastAsia" w:ascii="宋体" w:hAnsi="宋体" w:eastAsia="宋体" w:cs="宋体"/>
                <w:sz w:val="20"/>
                <w:szCs w:val="20"/>
              </w:rPr>
            </w:pPr>
            <w:r>
              <w:rPr>
                <w:rFonts w:hint="eastAsia" w:ascii="宋体" w:hAnsi="宋体" w:eastAsia="宋体" w:cs="宋体"/>
                <w:sz w:val="20"/>
                <w:szCs w:val="20"/>
                <w:lang w:eastAsia="zh-CN"/>
              </w:rPr>
              <w:t>（二）</w:t>
            </w:r>
            <w:r>
              <w:rPr>
                <w:rFonts w:hint="eastAsia" w:ascii="宋体" w:hAnsi="宋体" w:eastAsia="宋体" w:cs="宋体"/>
                <w:sz w:val="20"/>
                <w:szCs w:val="20"/>
              </w:rPr>
              <w:t>收费规则</w:t>
            </w:r>
          </w:p>
          <w:tbl>
            <w:tblPr>
              <w:tblStyle w:val="13"/>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529"/>
              <w:gridCol w:w="3903"/>
            </w:tblGrid>
            <w:tr w14:paraId="160884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F58119">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w:t>
                  </w:r>
                </w:p>
              </w:tc>
              <w:tc>
                <w:tcPr>
                  <w:tcW w:w="35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3BEB8C">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标准</w:t>
                  </w:r>
                </w:p>
              </w:tc>
            </w:tr>
            <w:tr w14:paraId="14B658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3C91D">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免费时长</w:t>
                  </w:r>
                </w:p>
              </w:tc>
              <w:tc>
                <w:tcPr>
                  <w:tcW w:w="35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D04C7B">
                  <w:pPr>
                    <w:keepNext w:val="0"/>
                    <w:keepLines w:val="0"/>
                    <w:pageBreakBefore w:val="0"/>
                    <w:widowControl/>
                    <w:suppressLineNumbers w:val="0"/>
                    <w:kinsoku/>
                    <w:wordWrap/>
                    <w:overflowPunct/>
                    <w:topLinePunct w:val="0"/>
                    <w:autoSpaceDE/>
                    <w:autoSpaceDN/>
                    <w:bidi w:val="0"/>
                    <w:adjustRightInd/>
                    <w:snapToGrid/>
                    <w:spacing w:line="480" w:lineRule="exact"/>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每天免费使用时间</w:t>
                  </w:r>
                  <w:r>
                    <w:rPr>
                      <w:rFonts w:hint="default" w:ascii="Arial" w:hAnsi="Arial" w:eastAsia="宋体" w:cs="Arial"/>
                      <w:i w:val="0"/>
                      <w:iCs w:val="0"/>
                      <w:color w:val="000000"/>
                      <w:kern w:val="0"/>
                      <w:sz w:val="28"/>
                      <w:szCs w:val="28"/>
                      <w:u w:val="none"/>
                      <w:lang w:val="en-US" w:eastAsia="zh-CN" w:bidi="ar"/>
                    </w:rPr>
                    <w:t>≥</w:t>
                  </w:r>
                  <w:r>
                    <w:rPr>
                      <w:rFonts w:hint="eastAsia" w:ascii="宋体" w:hAnsi="宋体" w:eastAsia="宋体" w:cs="宋体"/>
                      <w:i w:val="0"/>
                      <w:iCs w:val="0"/>
                      <w:color w:val="000000"/>
                      <w:kern w:val="0"/>
                      <w:sz w:val="20"/>
                      <w:szCs w:val="20"/>
                      <w:u w:val="none"/>
                      <w:lang w:val="en-US" w:eastAsia="zh-CN" w:bidi="ar"/>
                    </w:rPr>
                    <w:t>60分钟</w:t>
                  </w:r>
                </w:p>
              </w:tc>
            </w:tr>
            <w:tr w14:paraId="6302CF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4201B">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超时收费</w:t>
                  </w:r>
                </w:p>
              </w:tc>
              <w:tc>
                <w:tcPr>
                  <w:tcW w:w="35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D89E3">
                  <w:pPr>
                    <w:keepNext w:val="0"/>
                    <w:keepLines w:val="0"/>
                    <w:pageBreakBefore w:val="0"/>
                    <w:widowControl/>
                    <w:suppressLineNumbers w:val="0"/>
                    <w:kinsoku/>
                    <w:wordWrap/>
                    <w:overflowPunct/>
                    <w:topLinePunct w:val="0"/>
                    <w:autoSpaceDE/>
                    <w:autoSpaceDN/>
                    <w:bidi w:val="0"/>
                    <w:adjustRightInd/>
                    <w:snapToGrid/>
                    <w:spacing w:line="480" w:lineRule="exact"/>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免费时段结束后,租金≤ 5元/小时，不足1小时按1小时计费</w:t>
                  </w:r>
                </w:p>
              </w:tc>
            </w:tr>
            <w:tr w14:paraId="6F0DB7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1BF3EC">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单日封顶</w:t>
                  </w:r>
                </w:p>
              </w:tc>
              <w:tc>
                <w:tcPr>
                  <w:tcW w:w="35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36552F">
                  <w:pPr>
                    <w:keepNext w:val="0"/>
                    <w:keepLines w:val="0"/>
                    <w:pageBreakBefore w:val="0"/>
                    <w:widowControl/>
                    <w:suppressLineNumbers w:val="0"/>
                    <w:kinsoku/>
                    <w:wordWrap/>
                    <w:overflowPunct/>
                    <w:topLinePunct w:val="0"/>
                    <w:autoSpaceDE/>
                    <w:autoSpaceDN/>
                    <w:bidi w:val="0"/>
                    <w:adjustRightInd/>
                    <w:snapToGrid/>
                    <w:spacing w:line="480" w:lineRule="exact"/>
                    <w:jc w:val="left"/>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24小时内最高收费不超过每小时收费×10</w:t>
                  </w:r>
                </w:p>
              </w:tc>
            </w:tr>
          </w:tbl>
          <w:p w14:paraId="5385F789">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rPr>
              <w:t>供应商不得擅自调价、增设收费项目，收费标准须报院方审核同意后公示执行。</w:t>
            </w:r>
          </w:p>
        </w:tc>
        <w:tc>
          <w:tcPr>
            <w:tcW w:w="1425" w:type="dxa"/>
          </w:tcPr>
          <w:p w14:paraId="556D3F97">
            <w:pPr>
              <w:pStyle w:val="21"/>
              <w:rPr>
                <w:rFonts w:ascii="宋体" w:hAnsi="宋体" w:eastAsia="宋体" w:cs="宋体"/>
                <w:lang w:eastAsia="zh-CN"/>
              </w:rPr>
            </w:pPr>
          </w:p>
        </w:tc>
        <w:tc>
          <w:tcPr>
            <w:tcW w:w="978" w:type="dxa"/>
          </w:tcPr>
          <w:p w14:paraId="59D2077F">
            <w:pPr>
              <w:pStyle w:val="21"/>
              <w:rPr>
                <w:rFonts w:ascii="宋体" w:hAnsi="宋体" w:eastAsia="宋体" w:cs="宋体"/>
                <w:lang w:eastAsia="zh-CN"/>
              </w:rPr>
            </w:pPr>
          </w:p>
        </w:tc>
        <w:tc>
          <w:tcPr>
            <w:tcW w:w="1065" w:type="dxa"/>
          </w:tcPr>
          <w:p w14:paraId="788F44CC">
            <w:pPr>
              <w:pStyle w:val="21"/>
              <w:rPr>
                <w:rFonts w:ascii="宋体" w:hAnsi="宋体" w:eastAsia="宋体" w:cs="宋体"/>
                <w:lang w:eastAsia="zh-CN"/>
              </w:rPr>
            </w:pPr>
          </w:p>
        </w:tc>
      </w:tr>
      <w:tr w14:paraId="2CDD09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266" w:hRule="atLeast"/>
        </w:trPr>
        <w:tc>
          <w:tcPr>
            <w:tcW w:w="661" w:type="dxa"/>
            <w:vAlign w:val="center"/>
          </w:tcPr>
          <w:p w14:paraId="728B2294">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6</w:t>
            </w:r>
          </w:p>
        </w:tc>
        <w:tc>
          <w:tcPr>
            <w:tcW w:w="5547" w:type="dxa"/>
          </w:tcPr>
          <w:p w14:paraId="554855D8">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供应商资格要求</w:t>
            </w:r>
          </w:p>
          <w:p w14:paraId="598779B9">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（一）在中华人民共和国境内注册，具有独立法人资格，营业执照经营范围含相关经营项目；</w:t>
            </w:r>
          </w:p>
          <w:p w14:paraId="24A7DC27">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（二）具有良好的商业信誉和健全的财务会计制度；</w:t>
            </w:r>
          </w:p>
          <w:p w14:paraId="6588EDE1">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（三）具有依法缴纳税收和社会保障资金的良好记录；</w:t>
            </w:r>
          </w:p>
          <w:p w14:paraId="0A0DF470">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（四）参加采购活动前3年内，在经营活动中没有重大违法记录（提供承诺函及信用中国查询截图）；</w:t>
            </w:r>
          </w:p>
          <w:p w14:paraId="2A6D2216">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（五）具备同类医院共享轮椅项目运营经验，提供近2年医院合作案例及合同复印件优先；</w:t>
            </w:r>
          </w:p>
          <w:p w14:paraId="4EDF1BE2">
            <w:pPr>
              <w:widowControl w:val="0"/>
              <w:spacing w:line="240" w:lineRule="exact"/>
              <w:rPr>
                <w:rFonts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（六）具备履行合同所必需的设备和专业技术能力，具有完善的售后服务体系。</w:t>
            </w:r>
          </w:p>
        </w:tc>
        <w:tc>
          <w:tcPr>
            <w:tcW w:w="1425" w:type="dxa"/>
          </w:tcPr>
          <w:p w14:paraId="309C6D61">
            <w:pPr>
              <w:pStyle w:val="21"/>
              <w:rPr>
                <w:rFonts w:ascii="宋体" w:hAnsi="宋体" w:eastAsia="宋体" w:cs="宋体"/>
                <w:lang w:eastAsia="zh-CN"/>
              </w:rPr>
            </w:pPr>
          </w:p>
        </w:tc>
        <w:tc>
          <w:tcPr>
            <w:tcW w:w="978" w:type="dxa"/>
          </w:tcPr>
          <w:p w14:paraId="3DA9A9F7">
            <w:pPr>
              <w:pStyle w:val="21"/>
              <w:rPr>
                <w:rFonts w:ascii="宋体" w:hAnsi="宋体" w:eastAsia="宋体" w:cs="宋体"/>
                <w:lang w:eastAsia="zh-CN"/>
              </w:rPr>
            </w:pPr>
          </w:p>
        </w:tc>
        <w:tc>
          <w:tcPr>
            <w:tcW w:w="1065" w:type="dxa"/>
          </w:tcPr>
          <w:p w14:paraId="3217B854">
            <w:pPr>
              <w:pStyle w:val="21"/>
              <w:rPr>
                <w:rFonts w:ascii="宋体" w:hAnsi="宋体" w:eastAsia="宋体" w:cs="宋体"/>
                <w:lang w:eastAsia="zh-CN"/>
              </w:rPr>
            </w:pPr>
            <w:bookmarkStart w:id="12" w:name="_GoBack"/>
            <w:bookmarkEnd w:id="12"/>
          </w:p>
        </w:tc>
      </w:tr>
      <w:tr w14:paraId="1286B2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054" w:hRule="atLeast"/>
        </w:trPr>
        <w:tc>
          <w:tcPr>
            <w:tcW w:w="661" w:type="dxa"/>
            <w:vAlign w:val="center"/>
          </w:tcPr>
          <w:p w14:paraId="78851C23">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7</w:t>
            </w:r>
          </w:p>
        </w:tc>
        <w:tc>
          <w:tcPr>
            <w:tcW w:w="5547" w:type="dxa"/>
          </w:tcPr>
          <w:p w14:paraId="7C00695A">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服务要求</w:t>
            </w:r>
          </w:p>
          <w:p w14:paraId="1C229773">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（一）日常运维</w:t>
            </w:r>
          </w:p>
          <w:p w14:paraId="3B23A9C3">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1.供应商须配备专职运维人员，建立7×24小时运维服务机制；</w:t>
            </w:r>
          </w:p>
          <w:p w14:paraId="42CF4596">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2.每月至少安排一次全面巡检，检查轮椅刹车系统、车轮、折叠机构等关键部件，及时更换老化损坏零件，确保设备性能完好；</w:t>
            </w:r>
          </w:p>
          <w:p w14:paraId="435A6E55">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3.建立设备维护档案，记录每次维修保养的时间、内容及更换部件型号。</w:t>
            </w:r>
          </w:p>
          <w:p w14:paraId="3432BD20">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（二）清洁消毒</w:t>
            </w:r>
          </w:p>
          <w:p w14:paraId="31512F39">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1.每日对轮椅进行清洁消毒，重点清洁座椅、扶手、脚踏板等高频接触部位，严格执行医院院感管理要求；</w:t>
            </w:r>
          </w:p>
          <w:p w14:paraId="0F3B9C36">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2.消毒后张贴“已消毒”标识及消毒时间，消毒记录需留存备查；</w:t>
            </w:r>
          </w:p>
          <w:p w14:paraId="288FDD8F">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3.如轮椅有大面积污损，供应商须及时更换为新轮椅。</w:t>
            </w:r>
          </w:p>
          <w:p w14:paraId="1B403ACC">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（三）客服与投诉处理</w:t>
            </w:r>
          </w:p>
          <w:p w14:paraId="5749A876">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1.设立7×24小时客服专线，及时响应患者及家属的咨询、投诉及求助；</w:t>
            </w:r>
          </w:p>
          <w:p w14:paraId="1EA36B1E">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2.用户问题30分钟内响应，简单问题1小时内解决，复杂问题24小时内提供解决方案；</w:t>
            </w:r>
          </w:p>
          <w:p w14:paraId="45C1136A">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3.用户反馈处理结果须同步反馈给院方及当事人。</w:t>
            </w:r>
          </w:p>
          <w:p w14:paraId="04BBDC3C">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（四）故障响应</w:t>
            </w:r>
          </w:p>
          <w:p w14:paraId="143E3DC6">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1.接到故障通知后，30分钟内到达现场（医院内），1小时内到达（周边）；</w:t>
            </w:r>
          </w:p>
          <w:p w14:paraId="4ABC5B26">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2.一般故障修复时间不超过2小时，特殊情况不超过24小时；</w:t>
            </w:r>
          </w:p>
          <w:p w14:paraId="3F61D476">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3.维修时携带备用设备替换故障设备，确保服务不中断。</w:t>
            </w:r>
          </w:p>
        </w:tc>
        <w:tc>
          <w:tcPr>
            <w:tcW w:w="1425" w:type="dxa"/>
          </w:tcPr>
          <w:p w14:paraId="63477C59">
            <w:pPr>
              <w:pStyle w:val="21"/>
              <w:rPr>
                <w:rFonts w:ascii="宋体" w:hAnsi="宋体" w:eastAsia="宋体" w:cs="宋体"/>
                <w:lang w:eastAsia="zh-CN"/>
              </w:rPr>
            </w:pPr>
          </w:p>
        </w:tc>
        <w:tc>
          <w:tcPr>
            <w:tcW w:w="978" w:type="dxa"/>
          </w:tcPr>
          <w:p w14:paraId="17855BC8">
            <w:pPr>
              <w:pStyle w:val="21"/>
              <w:rPr>
                <w:rFonts w:ascii="宋体" w:hAnsi="宋体" w:eastAsia="宋体" w:cs="宋体"/>
                <w:lang w:eastAsia="zh-CN"/>
              </w:rPr>
            </w:pPr>
          </w:p>
        </w:tc>
        <w:tc>
          <w:tcPr>
            <w:tcW w:w="1065" w:type="dxa"/>
          </w:tcPr>
          <w:p w14:paraId="6A11C7ED">
            <w:pPr>
              <w:pStyle w:val="21"/>
              <w:rPr>
                <w:rFonts w:ascii="宋体" w:hAnsi="宋体" w:eastAsia="宋体" w:cs="宋体"/>
                <w:lang w:eastAsia="zh-CN"/>
              </w:rPr>
            </w:pPr>
          </w:p>
        </w:tc>
      </w:tr>
      <w:tr w14:paraId="5AA1C2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054" w:hRule="atLeast"/>
        </w:trPr>
        <w:tc>
          <w:tcPr>
            <w:tcW w:w="661" w:type="dxa"/>
            <w:vAlign w:val="center"/>
          </w:tcPr>
          <w:p w14:paraId="0B40FD8A">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8</w:t>
            </w:r>
          </w:p>
        </w:tc>
        <w:tc>
          <w:tcPr>
            <w:tcW w:w="5547" w:type="dxa"/>
          </w:tcPr>
          <w:p w14:paraId="79C3B0D3">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安全与责任</w:t>
            </w:r>
          </w:p>
          <w:p w14:paraId="52CB0BF7">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一）保险保障：供应商须购买足额的公众责任险（保额不低于100万元）和产品责任险，承保范围须覆盖设备运营期间可能造成的人身伤害或财产损失，并将保单提交院方备案。所投保的产品责任险覆盖不足的部分由供应商自行承担。</w:t>
            </w:r>
          </w:p>
          <w:p w14:paraId="076F427F">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二）安全责任：供应商对设备质量、用电安全、消防安全、人身财产安全负全部法律与经济责任。因设备质量问题导致用户受伤的，由供应商承担全部赔偿责任。院方对所投放的共享轮椅及归位桩的运营风险不承担任何法律责任。</w:t>
            </w:r>
          </w:p>
          <w:p w14:paraId="79DE9EC9">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（三）纠纷处理：运营期间发生设备故障、人身伤害、消费纠纷等，均由供应商全权处理并承担费用。</w:t>
            </w:r>
          </w:p>
          <w:p w14:paraId="3B6E722C">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（四）配合义务：医院因院区改造、科室调整、政策要求需调整/拆除设备时，供应商须无条件配合，不追究医院违约责任。</w:t>
            </w:r>
          </w:p>
          <w:p w14:paraId="773D11C4">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（五）安全承诺：锂电池须采用符合国家标准的电池，不得因电池问题引发冒烟、起火、爆炸等安全隐患；供应商须提供锂电池的安全检测报告（CMA/CNAS认证）及产品合格证书。</w:t>
            </w:r>
          </w:p>
        </w:tc>
        <w:tc>
          <w:tcPr>
            <w:tcW w:w="1425" w:type="dxa"/>
          </w:tcPr>
          <w:p w14:paraId="619505C4">
            <w:pPr>
              <w:pStyle w:val="21"/>
              <w:rPr>
                <w:rFonts w:ascii="宋体" w:hAnsi="宋体" w:eastAsia="宋体" w:cs="宋体"/>
                <w:lang w:eastAsia="zh-CN"/>
              </w:rPr>
            </w:pPr>
          </w:p>
        </w:tc>
        <w:tc>
          <w:tcPr>
            <w:tcW w:w="978" w:type="dxa"/>
          </w:tcPr>
          <w:p w14:paraId="3EDFC2F1">
            <w:pPr>
              <w:pStyle w:val="21"/>
              <w:rPr>
                <w:rFonts w:ascii="宋体" w:hAnsi="宋体" w:eastAsia="宋体" w:cs="宋体"/>
                <w:lang w:eastAsia="zh-CN"/>
              </w:rPr>
            </w:pPr>
          </w:p>
        </w:tc>
        <w:tc>
          <w:tcPr>
            <w:tcW w:w="1065" w:type="dxa"/>
          </w:tcPr>
          <w:p w14:paraId="5542A998">
            <w:pPr>
              <w:pStyle w:val="21"/>
              <w:rPr>
                <w:rFonts w:ascii="宋体" w:hAnsi="宋体" w:eastAsia="宋体" w:cs="宋体"/>
                <w:lang w:eastAsia="zh-CN"/>
              </w:rPr>
            </w:pPr>
          </w:p>
        </w:tc>
      </w:tr>
      <w:tr w14:paraId="10CF9D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054" w:hRule="atLeast"/>
        </w:trPr>
        <w:tc>
          <w:tcPr>
            <w:tcW w:w="661" w:type="dxa"/>
            <w:vAlign w:val="center"/>
          </w:tcPr>
          <w:p w14:paraId="243630EF">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9</w:t>
            </w:r>
          </w:p>
        </w:tc>
        <w:tc>
          <w:tcPr>
            <w:tcW w:w="5547" w:type="dxa"/>
          </w:tcPr>
          <w:p w14:paraId="6C4DE62D">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考核机制</w:t>
            </w:r>
          </w:p>
          <w:p w14:paraId="3EFE31A8">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（一）医院每季度对供应商服务质量进行评价考核；</w:t>
            </w:r>
          </w:p>
          <w:p w14:paraId="7973AA30">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（二）考核内容包括设备完好率、清洁消毒执行情况、故障响应时效、用户投诉处理等；</w:t>
            </w:r>
          </w:p>
          <w:p w14:paraId="6A352F56">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（三）设备完好率须不低于95%；</w:t>
            </w:r>
          </w:p>
          <w:p w14:paraId="0EE453EE">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（四）若连续两个季度考核不合格，医院有权单方面解除合同，履约保证金不予退还。</w:t>
            </w:r>
          </w:p>
        </w:tc>
        <w:tc>
          <w:tcPr>
            <w:tcW w:w="1425" w:type="dxa"/>
          </w:tcPr>
          <w:p w14:paraId="7291BD29">
            <w:pPr>
              <w:pStyle w:val="21"/>
              <w:rPr>
                <w:rFonts w:ascii="宋体" w:hAnsi="宋体" w:eastAsia="宋体" w:cs="宋体"/>
                <w:lang w:eastAsia="zh-CN"/>
              </w:rPr>
            </w:pPr>
          </w:p>
        </w:tc>
        <w:tc>
          <w:tcPr>
            <w:tcW w:w="978" w:type="dxa"/>
          </w:tcPr>
          <w:p w14:paraId="783F74B1">
            <w:pPr>
              <w:pStyle w:val="21"/>
              <w:rPr>
                <w:rFonts w:ascii="宋体" w:hAnsi="宋体" w:eastAsia="宋体" w:cs="宋体"/>
                <w:lang w:eastAsia="zh-CN"/>
              </w:rPr>
            </w:pPr>
          </w:p>
        </w:tc>
        <w:tc>
          <w:tcPr>
            <w:tcW w:w="1065" w:type="dxa"/>
          </w:tcPr>
          <w:p w14:paraId="14A962BD">
            <w:pPr>
              <w:pStyle w:val="21"/>
              <w:rPr>
                <w:rFonts w:ascii="宋体" w:hAnsi="宋体" w:eastAsia="宋体" w:cs="宋体"/>
                <w:lang w:eastAsia="zh-CN"/>
              </w:rPr>
            </w:pPr>
          </w:p>
        </w:tc>
      </w:tr>
      <w:tr w14:paraId="7A5F06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054" w:hRule="atLeast"/>
        </w:trPr>
        <w:tc>
          <w:tcPr>
            <w:tcW w:w="661" w:type="dxa"/>
            <w:vAlign w:val="center"/>
          </w:tcPr>
          <w:p w14:paraId="2C907B17">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10</w:t>
            </w:r>
          </w:p>
        </w:tc>
        <w:tc>
          <w:tcPr>
            <w:tcW w:w="5547" w:type="dxa"/>
          </w:tcPr>
          <w:p w14:paraId="32810662">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费用与结算</w:t>
            </w:r>
          </w:p>
          <w:p w14:paraId="4632AB73">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一）费用承担：为方便患者使用，降低轮椅租借费用，减轻患者负担，采购人同意供应商在指定区域内投放共享轮椅，不收取供应商任何费用。供应商负责设备投放、运维、清洁消毒、维修更换、保险、人员等全部成本；</w:t>
            </w:r>
          </w:p>
          <w:p w14:paraId="4B0C5BA3">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（二）水电费用：若供应商需要外接电源，医院可配合提供，但供应商须安装独立电表并按实际用量缴纳电费；</w:t>
            </w:r>
          </w:p>
          <w:p w14:paraId="753BF6AB">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（三）履约保证金：合同签订后5个工作日内，供应商须向医院缴纳履约保证金5000元，合同期满无违约则无息退还。</w:t>
            </w:r>
          </w:p>
        </w:tc>
        <w:tc>
          <w:tcPr>
            <w:tcW w:w="1425" w:type="dxa"/>
          </w:tcPr>
          <w:p w14:paraId="78522C51">
            <w:pPr>
              <w:pStyle w:val="21"/>
              <w:rPr>
                <w:rFonts w:ascii="宋体" w:hAnsi="宋体" w:eastAsia="宋体" w:cs="宋体"/>
                <w:lang w:eastAsia="zh-CN"/>
              </w:rPr>
            </w:pPr>
          </w:p>
        </w:tc>
        <w:tc>
          <w:tcPr>
            <w:tcW w:w="978" w:type="dxa"/>
          </w:tcPr>
          <w:p w14:paraId="4CF21CEE">
            <w:pPr>
              <w:pStyle w:val="21"/>
              <w:rPr>
                <w:rFonts w:ascii="宋体" w:hAnsi="宋体" w:eastAsia="宋体" w:cs="宋体"/>
                <w:lang w:eastAsia="zh-CN"/>
              </w:rPr>
            </w:pPr>
          </w:p>
        </w:tc>
        <w:tc>
          <w:tcPr>
            <w:tcW w:w="1065" w:type="dxa"/>
          </w:tcPr>
          <w:p w14:paraId="12AA54C0">
            <w:pPr>
              <w:pStyle w:val="21"/>
              <w:rPr>
                <w:rFonts w:ascii="宋体" w:hAnsi="宋体" w:eastAsia="宋体" w:cs="宋体"/>
                <w:lang w:eastAsia="zh-CN"/>
              </w:rPr>
            </w:pPr>
          </w:p>
        </w:tc>
      </w:tr>
      <w:tr w14:paraId="3482CB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054" w:hRule="atLeast"/>
        </w:trPr>
        <w:tc>
          <w:tcPr>
            <w:tcW w:w="661" w:type="dxa"/>
            <w:vAlign w:val="center"/>
          </w:tcPr>
          <w:p w14:paraId="56D0F0D3">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11</w:t>
            </w:r>
          </w:p>
        </w:tc>
        <w:tc>
          <w:tcPr>
            <w:tcW w:w="5547" w:type="dxa"/>
          </w:tcPr>
          <w:p w14:paraId="38E3CB77">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其他约定</w:t>
            </w:r>
          </w:p>
          <w:p w14:paraId="73E8E61B">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（一）保密义务：供应商不得泄露在合作中获取的患者信息及医院商业信息，不得过度收集个人信息，仅留存必要的身份验证和使用记录数据，且数据存储符合信息安全等级保护要求。</w:t>
            </w:r>
          </w:p>
          <w:p w14:paraId="652BF5C8">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（二）变更管理：如需调整投放点位或收费标准，须提前至少10个工作日向院方提交书面申请，经批准后方可执行。</w:t>
            </w:r>
          </w:p>
          <w:p w14:paraId="4F0F1CE7">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（三）退出机制：合同期满或提前终止，供应商须在10日内完成撤场，未在规定时间内撤场的，超出时间按日支付场地占用费。</w:t>
            </w:r>
          </w:p>
          <w:p w14:paraId="44C8B7EC">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（四）不可抗力：因不可抗力导致服务无法正常开展，双方及时沟通协商解决，互不承担违约责任。</w:t>
            </w:r>
          </w:p>
        </w:tc>
        <w:tc>
          <w:tcPr>
            <w:tcW w:w="1425" w:type="dxa"/>
          </w:tcPr>
          <w:p w14:paraId="1A350C6E">
            <w:pPr>
              <w:pStyle w:val="21"/>
              <w:rPr>
                <w:rFonts w:ascii="宋体" w:hAnsi="宋体" w:eastAsia="宋体" w:cs="宋体"/>
                <w:lang w:eastAsia="zh-CN"/>
              </w:rPr>
            </w:pPr>
          </w:p>
        </w:tc>
        <w:tc>
          <w:tcPr>
            <w:tcW w:w="978" w:type="dxa"/>
          </w:tcPr>
          <w:p w14:paraId="6C3D18AF">
            <w:pPr>
              <w:pStyle w:val="21"/>
              <w:rPr>
                <w:rFonts w:ascii="宋体" w:hAnsi="宋体" w:eastAsia="宋体" w:cs="宋体"/>
                <w:lang w:eastAsia="zh-CN"/>
              </w:rPr>
            </w:pPr>
          </w:p>
        </w:tc>
        <w:tc>
          <w:tcPr>
            <w:tcW w:w="1065" w:type="dxa"/>
          </w:tcPr>
          <w:p w14:paraId="29CAF5D0">
            <w:pPr>
              <w:pStyle w:val="21"/>
              <w:rPr>
                <w:rFonts w:ascii="宋体" w:hAnsi="宋体" w:eastAsia="宋体" w:cs="宋体"/>
                <w:lang w:eastAsia="zh-CN"/>
              </w:rPr>
            </w:pPr>
          </w:p>
        </w:tc>
      </w:tr>
    </w:tbl>
    <w:p w14:paraId="2D03D558">
      <w:pPr>
        <w:pStyle w:val="11"/>
        <w:spacing w:line="360" w:lineRule="auto"/>
        <w:ind w:firstLine="0"/>
        <w:rPr>
          <w:rFonts w:hint="eastAsia" w:ascii="宋体" w:hAnsi="宋体" w:eastAsia="宋体" w:cs="宋体"/>
          <w:lang w:val="zh-TW" w:eastAsia="zh-TW"/>
        </w:rPr>
      </w:pPr>
    </w:p>
    <w:p w14:paraId="57B3868D">
      <w:pPr>
        <w:pStyle w:val="17"/>
        <w:numPr>
          <w:ilvl w:val="0"/>
          <w:numId w:val="0"/>
        </w:numPr>
        <w:ind w:leftChars="0"/>
        <w:rPr>
          <w:rStyle w:val="18"/>
          <w:rFonts w:hint="eastAsia" w:hAnsi="宋体" w:cs="宋体" w:asciiTheme="minorHAnsi"/>
          <w:b/>
          <w:bCs/>
          <w:color w:val="auto"/>
          <w:kern w:val="2"/>
          <w:sz w:val="21"/>
          <w:szCs w:val="21"/>
          <w:lang w:val="en-US" w:eastAsia="zh-CN"/>
        </w:rPr>
      </w:pPr>
      <w:r>
        <w:rPr>
          <w:rFonts w:hint="eastAsia" w:hAnsi="宋体" w:cs="宋体"/>
          <w:b/>
          <w:bCs/>
          <w:color w:val="auto"/>
          <w:kern w:val="2"/>
          <w:sz w:val="21"/>
          <w:szCs w:val="21"/>
          <w:lang w:val="en-US" w:eastAsia="zh-CN" w:bidi="ar-SA"/>
        </w:rPr>
        <w:t>七</w:t>
      </w:r>
      <w:r>
        <w:rPr>
          <w:rStyle w:val="18"/>
          <w:rFonts w:hint="eastAsia" w:hAnsi="宋体" w:cs="宋体" w:asciiTheme="minorHAnsi"/>
          <w:b/>
          <w:bCs/>
          <w:color w:val="auto"/>
          <w:kern w:val="2"/>
          <w:sz w:val="21"/>
          <w:szCs w:val="21"/>
          <w:lang w:val="en-US" w:eastAsia="zh-CN"/>
        </w:rPr>
        <w:t>、供应商认为需要提供的其他材料（包括但不限于服务方案、产品说明、技术参数表、检测报告、合格证书等）</w:t>
      </w:r>
    </w:p>
    <w:p w14:paraId="1EDCDE29">
      <w:pPr>
        <w:pStyle w:val="4"/>
        <w:spacing w:line="360" w:lineRule="auto"/>
        <w:jc w:val="center"/>
        <w:rPr>
          <w:rFonts w:hint="eastAsia" w:ascii="宋体" w:hAnsi="宋体" w:eastAsia="宋体" w:cs="宋体"/>
        </w:rPr>
      </w:pPr>
    </w:p>
    <w:p w14:paraId="10B18D41">
      <w:pPr>
        <w:pStyle w:val="4"/>
        <w:spacing w:line="360" w:lineRule="auto"/>
        <w:jc w:val="center"/>
        <w:rPr>
          <w:rFonts w:hint="eastAsia" w:ascii="宋体" w:hAnsi="宋体" w:eastAsia="宋体" w:cs="宋体"/>
        </w:rPr>
      </w:pPr>
    </w:p>
    <w:p w14:paraId="0CC13FA1">
      <w:pPr>
        <w:pStyle w:val="4"/>
        <w:spacing w:line="360" w:lineRule="auto"/>
        <w:jc w:val="center"/>
        <w:rPr>
          <w:rFonts w:hint="eastAsia" w:ascii="宋体" w:hAnsi="宋体" w:eastAsia="宋体" w:cs="宋体"/>
        </w:rPr>
      </w:pPr>
    </w:p>
    <w:p w14:paraId="04992075">
      <w:pPr>
        <w:spacing w:line="360" w:lineRule="auto"/>
        <w:rPr>
          <w:rFonts w:hint="eastAsia" w:ascii="宋体" w:hAnsi="宋体" w:eastAsia="宋体" w:cs="宋体"/>
        </w:rPr>
      </w:pPr>
    </w:p>
    <w:p w14:paraId="27598A96">
      <w:pPr>
        <w:spacing w:line="360" w:lineRule="auto"/>
        <w:rPr>
          <w:rFonts w:hint="eastAsia" w:ascii="宋体" w:hAnsi="宋体" w:eastAsia="宋体" w:cs="宋体"/>
        </w:rPr>
      </w:pPr>
    </w:p>
    <w:p w14:paraId="78DAAFD3">
      <w:pPr>
        <w:spacing w:line="360" w:lineRule="auto"/>
        <w:rPr>
          <w:rFonts w:hint="eastAsia" w:ascii="宋体" w:hAnsi="宋体" w:eastAsia="宋体" w:cs="宋体"/>
        </w:rPr>
      </w:pPr>
    </w:p>
    <w:p w14:paraId="3FFB3869">
      <w:pPr>
        <w:spacing w:line="360" w:lineRule="auto"/>
        <w:rPr>
          <w:rFonts w:hint="eastAsia" w:ascii="宋体" w:hAnsi="宋体" w:eastAsia="宋体" w:cs="宋体"/>
        </w:rPr>
      </w:pPr>
    </w:p>
    <w:p w14:paraId="1B20D38B">
      <w:pPr>
        <w:spacing w:line="360" w:lineRule="auto"/>
        <w:rPr>
          <w:rFonts w:hint="eastAsia" w:ascii="宋体" w:hAnsi="宋体" w:eastAsia="宋体" w:cs="宋体"/>
        </w:rPr>
      </w:pPr>
    </w:p>
    <w:p w14:paraId="5F660A43">
      <w:pPr>
        <w:spacing w:line="360" w:lineRule="auto"/>
        <w:rPr>
          <w:rFonts w:hint="eastAsia" w:ascii="宋体" w:hAnsi="宋体" w:eastAsia="宋体" w:cs="宋体"/>
        </w:rPr>
      </w:pPr>
    </w:p>
    <w:p w14:paraId="472752A9">
      <w:pPr>
        <w:spacing w:line="360" w:lineRule="auto"/>
        <w:rPr>
          <w:rFonts w:hint="eastAsia" w:ascii="宋体" w:hAnsi="宋体" w:eastAsia="宋体" w:cs="宋体"/>
        </w:rPr>
      </w:pPr>
    </w:p>
    <w:p w14:paraId="41783743">
      <w:pPr>
        <w:spacing w:line="360" w:lineRule="auto"/>
        <w:rPr>
          <w:rFonts w:hint="eastAsia" w:ascii="宋体" w:hAnsi="宋体" w:eastAsia="宋体" w:cs="宋体"/>
        </w:rPr>
      </w:pPr>
    </w:p>
    <w:p w14:paraId="434C33DA">
      <w:pPr>
        <w:spacing w:line="360" w:lineRule="auto"/>
        <w:rPr>
          <w:rFonts w:hint="eastAsia" w:ascii="宋体" w:hAnsi="宋体" w:eastAsia="宋体" w:cs="宋体"/>
        </w:rPr>
      </w:pPr>
    </w:p>
    <w:p w14:paraId="54452DDA">
      <w:pPr>
        <w:spacing w:line="360" w:lineRule="auto"/>
        <w:rPr>
          <w:rFonts w:hint="eastAsia" w:ascii="宋体" w:hAnsi="宋体" w:eastAsia="宋体" w:cs="宋体"/>
        </w:rPr>
      </w:pPr>
    </w:p>
    <w:p w14:paraId="6A9C187B">
      <w:pPr>
        <w:spacing w:line="360" w:lineRule="auto"/>
        <w:rPr>
          <w:rFonts w:hint="eastAsia" w:ascii="宋体" w:hAnsi="宋体" w:eastAsia="宋体" w:cs="宋体"/>
        </w:rPr>
      </w:pPr>
    </w:p>
    <w:p w14:paraId="6D54A704">
      <w:pPr>
        <w:spacing w:line="360" w:lineRule="auto"/>
        <w:rPr>
          <w:rFonts w:hint="eastAsia" w:ascii="宋体" w:hAnsi="宋体" w:eastAsia="宋体" w:cs="宋体"/>
        </w:rPr>
      </w:pPr>
    </w:p>
    <w:p w14:paraId="710BEBED">
      <w:pPr>
        <w:spacing w:line="360" w:lineRule="auto"/>
        <w:rPr>
          <w:rFonts w:hint="eastAsia" w:ascii="宋体" w:hAnsi="宋体" w:eastAsia="宋体" w:cs="宋体"/>
        </w:rPr>
      </w:pPr>
    </w:p>
    <w:p w14:paraId="40DE9FCA">
      <w:pPr>
        <w:spacing w:line="360" w:lineRule="auto"/>
        <w:rPr>
          <w:rFonts w:hint="eastAsia" w:ascii="宋体" w:hAnsi="宋体" w:eastAsia="宋体" w:cs="宋体"/>
        </w:rPr>
      </w:pPr>
    </w:p>
    <w:p w14:paraId="3F4DEF2F">
      <w:pPr>
        <w:spacing w:line="360" w:lineRule="auto"/>
        <w:rPr>
          <w:rFonts w:hint="eastAsia" w:ascii="宋体" w:hAnsi="宋体" w:eastAsia="宋体" w:cs="宋体"/>
        </w:rPr>
      </w:pPr>
    </w:p>
    <w:p w14:paraId="5E0D0DC2">
      <w:pPr>
        <w:spacing w:line="360" w:lineRule="auto"/>
        <w:rPr>
          <w:rFonts w:hint="eastAsia" w:ascii="宋体" w:hAnsi="宋体" w:eastAsia="宋体" w:cs="宋体"/>
        </w:rPr>
      </w:pPr>
    </w:p>
    <w:p w14:paraId="04C55060">
      <w:pPr>
        <w:spacing w:line="360" w:lineRule="auto"/>
        <w:rPr>
          <w:rFonts w:hint="eastAsia" w:ascii="宋体" w:hAnsi="宋体" w:eastAsia="宋体" w:cs="宋体"/>
        </w:rPr>
      </w:pPr>
    </w:p>
    <w:p w14:paraId="13078ED4">
      <w:pPr>
        <w:spacing w:line="360" w:lineRule="auto"/>
        <w:rPr>
          <w:rFonts w:hint="eastAsia" w:ascii="宋体" w:hAnsi="宋体" w:eastAsia="宋体" w:cs="宋体"/>
        </w:rPr>
      </w:pPr>
    </w:p>
    <w:p w14:paraId="341A08D7">
      <w:pPr>
        <w:spacing w:line="360" w:lineRule="auto"/>
        <w:rPr>
          <w:rFonts w:hint="eastAsia" w:ascii="宋体" w:hAnsi="宋体" w:eastAsia="宋体" w:cs="宋体"/>
        </w:rPr>
      </w:pPr>
    </w:p>
    <w:p w14:paraId="1039093C">
      <w:pPr>
        <w:spacing w:line="360" w:lineRule="auto"/>
        <w:rPr>
          <w:rFonts w:hint="eastAsia" w:ascii="宋体" w:hAnsi="宋体" w:eastAsia="宋体" w:cs="宋体"/>
        </w:rPr>
      </w:pPr>
    </w:p>
    <w:p w14:paraId="6CD43ACF">
      <w:pPr>
        <w:spacing w:line="360" w:lineRule="auto"/>
        <w:rPr>
          <w:rFonts w:hint="eastAsia" w:ascii="宋体" w:hAnsi="宋体" w:eastAsia="宋体" w:cs="宋体"/>
        </w:rPr>
      </w:pPr>
    </w:p>
    <w:p w14:paraId="0C6D6752">
      <w:pPr>
        <w:spacing w:line="360" w:lineRule="auto"/>
        <w:rPr>
          <w:rFonts w:hint="eastAsia" w:ascii="宋体" w:hAnsi="宋体" w:eastAsia="宋体" w:cs="宋体"/>
        </w:rPr>
      </w:pPr>
    </w:p>
    <w:p w14:paraId="585D4359">
      <w:pPr>
        <w:spacing w:line="360" w:lineRule="auto"/>
        <w:jc w:val="left"/>
        <w:rPr>
          <w:rFonts w:hint="default" w:ascii="宋体" w:hAnsi="宋体" w:eastAsia="宋体" w:cs="宋体"/>
          <w:sz w:val="24"/>
          <w:szCs w:val="24"/>
          <w:u w:val="none"/>
          <w:lang w:val="en-US" w:eastAsia="zh-CN"/>
        </w:rPr>
      </w:pPr>
    </w:p>
    <w:sectPr>
      <w:headerReference r:id="rId4" w:type="default"/>
      <w:pgSz w:w="11906" w:h="16838"/>
      <w:pgMar w:top="1157" w:right="1800" w:bottom="1157"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BF54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8782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EF5E58"/>
    <w:multiLevelType w:val="singleLevel"/>
    <w:tmpl w:val="6FEF5E58"/>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94D472E"/>
    <w:rsid w:val="0CA21D1B"/>
    <w:rsid w:val="187F3307"/>
    <w:rsid w:val="1D9E24EE"/>
    <w:rsid w:val="1E840AC7"/>
    <w:rsid w:val="20E33B6F"/>
    <w:rsid w:val="20FE31B4"/>
    <w:rsid w:val="28DF6635"/>
    <w:rsid w:val="2A417081"/>
    <w:rsid w:val="2DA35FBA"/>
    <w:rsid w:val="2FFC3389"/>
    <w:rsid w:val="335464C2"/>
    <w:rsid w:val="336E7A0B"/>
    <w:rsid w:val="36E33B5E"/>
    <w:rsid w:val="3824441B"/>
    <w:rsid w:val="3D531950"/>
    <w:rsid w:val="3E6B5D05"/>
    <w:rsid w:val="490E789E"/>
    <w:rsid w:val="490F4F35"/>
    <w:rsid w:val="4B7A033A"/>
    <w:rsid w:val="4C551B83"/>
    <w:rsid w:val="53BC3594"/>
    <w:rsid w:val="602E5C55"/>
    <w:rsid w:val="6051490F"/>
    <w:rsid w:val="612D28B6"/>
    <w:rsid w:val="6B4C6025"/>
    <w:rsid w:val="6BB6035B"/>
    <w:rsid w:val="6C561999"/>
    <w:rsid w:val="70922C0A"/>
    <w:rsid w:val="72D245E7"/>
    <w:rsid w:val="76BE71B6"/>
    <w:rsid w:val="79D14349"/>
    <w:rsid w:val="7B8E386D"/>
    <w:rsid w:val="7C270BB8"/>
    <w:rsid w:val="7CD83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before="260" w:beforeLines="0" w:after="260" w:afterLines="0" w:line="416" w:lineRule="auto"/>
      <w:outlineLvl w:val="2"/>
    </w:pPr>
    <w:rPr>
      <w:b/>
      <w:bCs/>
      <w:sz w:val="32"/>
      <w:szCs w:val="32"/>
    </w:rPr>
  </w:style>
  <w:style w:type="character" w:default="1" w:styleId="15">
    <w:name w:val="Default Paragraph Font"/>
    <w:semiHidden/>
    <w:qFormat/>
    <w:uiPriority w:val="0"/>
  </w:style>
  <w:style w:type="table" w:default="1" w:styleId="13">
    <w:name w:val="Normal Table"/>
    <w:autoRedefine/>
    <w:semiHidden/>
    <w:qFormat/>
    <w:uiPriority w:val="0"/>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Body Text"/>
    <w:basedOn w:val="1"/>
    <w:autoRedefine/>
    <w:qFormat/>
    <w:uiPriority w:val="99"/>
    <w:pPr>
      <w:spacing w:after="120"/>
    </w:pPr>
  </w:style>
  <w:style w:type="paragraph" w:styleId="5">
    <w:name w:val="Body Text Indent"/>
    <w:basedOn w:val="1"/>
    <w:qFormat/>
    <w:uiPriority w:val="0"/>
    <w:pPr>
      <w:widowControl w:val="0"/>
      <w:spacing w:line="360" w:lineRule="auto"/>
      <w:ind w:left="608" w:hanging="608"/>
      <w:jc w:val="both"/>
    </w:pPr>
    <w:rPr>
      <w:rFonts w:ascii="宋体"/>
      <w:sz w:val="28"/>
    </w:rPr>
  </w:style>
  <w:style w:type="paragraph" w:styleId="6">
    <w:name w:val="toc 5"/>
    <w:basedOn w:val="1"/>
    <w:next w:val="1"/>
    <w:autoRedefine/>
    <w:qFormat/>
    <w:uiPriority w:val="0"/>
    <w:pPr>
      <w:ind w:left="840"/>
      <w:jc w:val="left"/>
    </w:pPr>
    <w:rPr>
      <w:rFonts w:ascii="Calibri" w:hAnsi="Calibri"/>
      <w:sz w:val="18"/>
      <w:szCs w:val="18"/>
    </w:rPr>
  </w:style>
  <w:style w:type="paragraph" w:styleId="7">
    <w:name w:val="Body Text Indent 2"/>
    <w:basedOn w:val="1"/>
    <w:link w:val="18"/>
    <w:autoRedefine/>
    <w:qFormat/>
    <w:uiPriority w:val="0"/>
    <w:pPr>
      <w:spacing w:after="120" w:line="480" w:lineRule="auto"/>
      <w:ind w:left="420" w:leftChars="200"/>
    </w:pPr>
    <w:rPr>
      <w:szCs w:val="20"/>
    </w:rPr>
  </w:style>
  <w:style w:type="paragraph" w:styleId="8">
    <w:name w:val="footer"/>
    <w:basedOn w:val="1"/>
    <w:qFormat/>
    <w:uiPriority w:val="99"/>
    <w:pPr>
      <w:tabs>
        <w:tab w:val="center" w:pos="4153"/>
        <w:tab w:val="right" w:pos="8306"/>
      </w:tabs>
      <w:snapToGrid w:val="0"/>
      <w:jc w:val="left"/>
    </w:pPr>
    <w:rPr>
      <w:sz w:val="18"/>
    </w:rPr>
  </w:style>
  <w:style w:type="paragraph" w:styleId="9">
    <w:name w:val="toc 1"/>
    <w:basedOn w:val="1"/>
    <w:next w:val="1"/>
    <w:qFormat/>
    <w:uiPriority w:val="39"/>
  </w:style>
  <w:style w:type="paragraph" w:styleId="10">
    <w:name w:val="Normal (Web)"/>
    <w:basedOn w:val="1"/>
    <w:qFormat/>
    <w:uiPriority w:val="99"/>
    <w:pPr>
      <w:widowControl/>
      <w:spacing w:before="100" w:beforeAutospacing="1" w:after="100" w:afterAutospacing="1"/>
      <w:jc w:val="left"/>
    </w:pPr>
    <w:rPr>
      <w:rFonts w:ascii="宋体" w:hAnsi="宋体"/>
      <w:kern w:val="0"/>
      <w:sz w:val="24"/>
    </w:rPr>
  </w:style>
  <w:style w:type="paragraph" w:styleId="11">
    <w:name w:val="Body Text First Indent"/>
    <w:basedOn w:val="4"/>
    <w:qFormat/>
    <w:uiPriority w:val="0"/>
    <w:pPr>
      <w:snapToGrid w:val="0"/>
      <w:spacing w:before="40" w:after="40" w:line="288" w:lineRule="auto"/>
      <w:ind w:firstLine="482"/>
    </w:pPr>
    <w:rPr>
      <w:rFonts w:ascii="仿宋_GB2312" w:hAnsi="仿宋_GB2312" w:eastAsia="仿宋_GB2312"/>
      <w:szCs w:val="20"/>
    </w:rPr>
  </w:style>
  <w:style w:type="paragraph" w:styleId="12">
    <w:name w:val="Body Text First Indent 2"/>
    <w:basedOn w:val="5"/>
    <w:qFormat/>
    <w:uiPriority w:val="0"/>
    <w:pPr>
      <w:snapToGrid w:val="0"/>
      <w:spacing w:after="120" w:afterLines="0"/>
      <w:ind w:left="420" w:firstLine="420" w:firstLineChars="200"/>
    </w:pPr>
    <w:rPr>
      <w:rFonts w:ascii="Tahoma" w:hAnsi="Tahoma"/>
      <w:kern w:val="2"/>
      <w:szCs w:val="24"/>
    </w:rPr>
  </w:style>
  <w:style w:type="table" w:styleId="14">
    <w:name w:val="Table Grid"/>
    <w:basedOn w:val="13"/>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7">
    <w:name w:val="List Paragraph"/>
    <w:basedOn w:val="1"/>
    <w:autoRedefine/>
    <w:qFormat/>
    <w:uiPriority w:val="34"/>
    <w:pPr>
      <w:ind w:firstLine="420" w:firstLineChars="200"/>
    </w:pPr>
    <w:rPr>
      <w:rFonts w:ascii="Calibri" w:hAnsi="Calibri"/>
      <w:szCs w:val="22"/>
    </w:rPr>
  </w:style>
  <w:style w:type="character" w:customStyle="1" w:styleId="18">
    <w:name w:val="正文文本缩进 2 Char"/>
    <w:link w:val="7"/>
    <w:autoRedefine/>
    <w:qFormat/>
    <w:uiPriority w:val="0"/>
    <w:rPr>
      <w:szCs w:val="20"/>
    </w:rPr>
  </w:style>
  <w:style w:type="paragraph" w:customStyle="1" w:styleId="19">
    <w:name w:val="图"/>
    <w:basedOn w:val="1"/>
    <w:autoRedefine/>
    <w:qFormat/>
    <w:uiPriority w:val="0"/>
    <w:pPr>
      <w:keepNext/>
      <w:widowControl w:val="0"/>
      <w:adjustRightInd w:val="0"/>
      <w:spacing w:before="60" w:after="60" w:line="300" w:lineRule="auto"/>
      <w:jc w:val="center"/>
      <w:textAlignment w:val="center"/>
    </w:pPr>
    <w:rPr>
      <w:snapToGrid w:val="0"/>
      <w:spacing w:val="20"/>
      <w:sz w:val="24"/>
    </w:rPr>
  </w:style>
  <w:style w:type="table" w:customStyle="1" w:styleId="20">
    <w:name w:val="Table Normal"/>
    <w:semiHidden/>
    <w:unhideWhenUsed/>
    <w:qFormat/>
    <w:uiPriority w:val="0"/>
    <w:tblPr>
      <w:tblCellMar>
        <w:top w:w="0" w:type="dxa"/>
        <w:left w:w="0" w:type="dxa"/>
        <w:bottom w:w="0" w:type="dxa"/>
        <w:right w:w="0" w:type="dxa"/>
      </w:tblCellMar>
    </w:tblPr>
  </w:style>
  <w:style w:type="paragraph" w:customStyle="1" w:styleId="21">
    <w:name w:val="Table Text"/>
    <w:basedOn w:val="1"/>
    <w:semiHidden/>
    <w:qFormat/>
    <w:uiPriority w:val="0"/>
    <w:rPr>
      <w:rFonts w:ascii="宋体" w:hAnsi="宋体" w:eastAsia="宋体" w:cs="宋体"/>
      <w:sz w:val="25"/>
      <w:szCs w:val="25"/>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353</Words>
  <Characters>368</Characters>
  <Lines>0</Lines>
  <Paragraphs>0</Paragraphs>
  <TotalTime>0</TotalTime>
  <ScaleCrop>false</ScaleCrop>
  <LinksUpToDate>false</LinksUpToDate>
  <CharactersWithSpaces>507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18924981193</cp:lastModifiedBy>
  <dcterms:modified xsi:type="dcterms:W3CDTF">2026-09-22T01:37:05Z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ADDCDE4F86FD49D0BAE74623170F1A00_13</vt:lpwstr>
  </property>
  <property fmtid="{D5CDD505-2E9C-101B-9397-08002B2CF9AE}" pid="4" name="KSOTemplateDocerSaveRecord">
    <vt:lpwstr>eyJoZGlkIjoiMDI1YTQ0MGQ2NDc4NmQ3MjU4NTFkMzZmNDA5NDM5ODgiLCJ1c2VySWQiOiI3MDcxOTEyNjEifQ==</vt:lpwstr>
  </property>
</Properties>
</file>