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122647E3">
      <w:pPr>
        <w:spacing w:before="153" w:line="295" w:lineRule="auto"/>
        <w:ind w:right="191"/>
        <w:jc w:val="center"/>
        <w:outlineLvl w:val="0"/>
        <w:rPr>
          <w:rFonts w:hint="eastAsia" w:ascii="宋体" w:hAnsi="宋体" w:eastAsia="宋体" w:cs="宋体"/>
          <w:b/>
          <w:bCs/>
          <w:spacing w:val="-1"/>
          <w:sz w:val="47"/>
          <w:szCs w:val="47"/>
          <w:lang w:eastAsia="zh-CN"/>
        </w:rPr>
      </w:pPr>
      <w:r>
        <w:rPr>
          <w:rFonts w:hint="eastAsia" w:ascii="宋体" w:hAnsi="宋体" w:eastAsia="宋体" w:cs="宋体"/>
          <w:b/>
          <w:bCs/>
          <w:spacing w:val="-1"/>
          <w:sz w:val="47"/>
          <w:szCs w:val="47"/>
          <w:lang w:eastAsia="zh-CN"/>
        </w:rPr>
        <w:t>中山市东升医院拍卖代理服务项目</w:t>
      </w:r>
    </w:p>
    <w:p w14:paraId="61EA706F">
      <w:pPr>
        <w:spacing w:before="153" w:line="295" w:lineRule="auto"/>
        <w:ind w:right="191"/>
        <w:jc w:val="center"/>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2"/>
        <w:spacing w:line="247" w:lineRule="auto"/>
        <w:rPr>
          <w:lang w:eastAsia="zh-CN"/>
        </w:rPr>
      </w:pPr>
    </w:p>
    <w:p w14:paraId="1073FC52">
      <w:pPr>
        <w:pStyle w:val="2"/>
        <w:spacing w:line="247" w:lineRule="auto"/>
        <w:rPr>
          <w:lang w:eastAsia="zh-CN"/>
        </w:rPr>
      </w:pPr>
    </w:p>
    <w:p w14:paraId="76DBF516">
      <w:pPr>
        <w:pStyle w:val="2"/>
        <w:spacing w:line="247" w:lineRule="auto"/>
        <w:rPr>
          <w:lang w:eastAsia="zh-CN"/>
        </w:rPr>
      </w:pPr>
    </w:p>
    <w:p w14:paraId="7E46F770">
      <w:pPr>
        <w:pStyle w:val="2"/>
        <w:spacing w:line="247" w:lineRule="auto"/>
        <w:rPr>
          <w:lang w:eastAsia="zh-CN"/>
        </w:rPr>
      </w:pPr>
    </w:p>
    <w:p w14:paraId="769B815E">
      <w:pPr>
        <w:pStyle w:val="2"/>
        <w:spacing w:line="247" w:lineRule="auto"/>
        <w:rPr>
          <w:lang w:eastAsia="zh-CN"/>
        </w:rPr>
      </w:pPr>
    </w:p>
    <w:p w14:paraId="7B529BE3">
      <w:pPr>
        <w:pStyle w:val="2"/>
        <w:spacing w:line="247" w:lineRule="auto"/>
        <w:rPr>
          <w:lang w:eastAsia="zh-CN"/>
        </w:rPr>
      </w:pPr>
    </w:p>
    <w:p w14:paraId="16208457">
      <w:pPr>
        <w:pStyle w:val="2"/>
        <w:spacing w:line="247" w:lineRule="auto"/>
        <w:rPr>
          <w:lang w:eastAsia="zh-CN"/>
        </w:rPr>
      </w:pPr>
    </w:p>
    <w:p w14:paraId="5723285D">
      <w:pPr>
        <w:pStyle w:val="2"/>
        <w:spacing w:line="248" w:lineRule="auto"/>
        <w:rPr>
          <w:lang w:eastAsia="zh-CN"/>
        </w:rPr>
      </w:pPr>
    </w:p>
    <w:p w14:paraId="37C9723C">
      <w:pPr>
        <w:pStyle w:val="2"/>
        <w:spacing w:line="248" w:lineRule="auto"/>
        <w:rPr>
          <w:lang w:eastAsia="zh-CN"/>
        </w:rPr>
      </w:pPr>
    </w:p>
    <w:p w14:paraId="58D11985">
      <w:pPr>
        <w:pStyle w:val="2"/>
        <w:spacing w:line="248" w:lineRule="auto"/>
        <w:rPr>
          <w:lang w:eastAsia="zh-CN"/>
        </w:rPr>
      </w:pPr>
    </w:p>
    <w:p w14:paraId="5E2B3D32">
      <w:pPr>
        <w:pStyle w:val="2"/>
        <w:spacing w:line="248" w:lineRule="auto"/>
        <w:rPr>
          <w:lang w:eastAsia="zh-CN"/>
        </w:rPr>
      </w:pPr>
    </w:p>
    <w:p w14:paraId="7F891FFF">
      <w:pPr>
        <w:pStyle w:val="2"/>
        <w:spacing w:line="248" w:lineRule="auto"/>
        <w:rPr>
          <w:lang w:eastAsia="zh-CN"/>
        </w:rPr>
      </w:pPr>
    </w:p>
    <w:p w14:paraId="2B03D7A3">
      <w:pPr>
        <w:pStyle w:val="2"/>
        <w:spacing w:line="248" w:lineRule="auto"/>
        <w:rPr>
          <w:lang w:eastAsia="zh-CN"/>
        </w:rPr>
      </w:pPr>
    </w:p>
    <w:p w14:paraId="21F1022D">
      <w:pPr>
        <w:pStyle w:val="2"/>
        <w:spacing w:line="248" w:lineRule="auto"/>
        <w:rPr>
          <w:lang w:eastAsia="zh-CN"/>
        </w:rPr>
      </w:pPr>
    </w:p>
    <w:p w14:paraId="2F827075">
      <w:pPr>
        <w:pStyle w:val="2"/>
        <w:spacing w:line="248" w:lineRule="auto"/>
        <w:rPr>
          <w:lang w:eastAsia="zh-CN"/>
        </w:rPr>
      </w:pPr>
    </w:p>
    <w:p w14:paraId="0713AC1F">
      <w:pPr>
        <w:pStyle w:val="2"/>
        <w:spacing w:line="248" w:lineRule="auto"/>
        <w:rPr>
          <w:lang w:eastAsia="zh-CN"/>
        </w:rPr>
      </w:pPr>
    </w:p>
    <w:p w14:paraId="7F42F37A">
      <w:pPr>
        <w:pStyle w:val="2"/>
        <w:spacing w:line="248" w:lineRule="auto"/>
        <w:rPr>
          <w:lang w:eastAsia="zh-CN"/>
        </w:rPr>
      </w:pPr>
    </w:p>
    <w:p w14:paraId="514364A2">
      <w:pPr>
        <w:pStyle w:val="2"/>
        <w:spacing w:line="248" w:lineRule="auto"/>
        <w:rPr>
          <w:lang w:eastAsia="zh-CN"/>
        </w:rPr>
      </w:pPr>
    </w:p>
    <w:p w14:paraId="1626D0EF">
      <w:pPr>
        <w:pStyle w:val="2"/>
        <w:spacing w:line="248" w:lineRule="auto"/>
        <w:rPr>
          <w:lang w:eastAsia="zh-CN"/>
        </w:rPr>
      </w:pPr>
    </w:p>
    <w:p w14:paraId="7464C756">
      <w:pPr>
        <w:pStyle w:val="2"/>
        <w:spacing w:line="248" w:lineRule="auto"/>
        <w:rPr>
          <w:lang w:eastAsia="zh-CN"/>
        </w:rPr>
      </w:pPr>
    </w:p>
    <w:p w14:paraId="62F413E0">
      <w:pPr>
        <w:pStyle w:val="2"/>
        <w:spacing w:line="248" w:lineRule="auto"/>
        <w:rPr>
          <w:lang w:eastAsia="zh-CN"/>
        </w:rPr>
      </w:pPr>
    </w:p>
    <w:p w14:paraId="3BD43258">
      <w:pPr>
        <w:spacing w:before="78" w:line="219" w:lineRule="auto"/>
        <w:ind w:left="1702"/>
        <w:outlineLvl w:val="0"/>
        <w:rPr>
          <w:rFonts w:ascii="宋体" w:hAnsi="宋体" w:eastAsia="宋体" w:cs="宋体"/>
          <w:sz w:val="24"/>
          <w:szCs w:val="24"/>
          <w:lang w:eastAsia="zh-CN"/>
        </w:rPr>
      </w:pPr>
      <w:r>
        <w:rPr>
          <w:rFonts w:ascii="宋体" w:hAnsi="宋体" w:eastAsia="宋体" w:cs="宋体"/>
          <w:spacing w:val="-2"/>
          <w:sz w:val="24"/>
          <w:szCs w:val="24"/>
          <w:lang w:eastAsia="zh-CN"/>
        </w:rPr>
        <w:t>报名单位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41B67F3C">
      <w:pPr>
        <w:spacing w:before="183"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联系人：</w:t>
      </w:r>
    </w:p>
    <w:p w14:paraId="6F66936F">
      <w:pPr>
        <w:spacing w:before="178"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4CABE41A">
      <w:pPr>
        <w:spacing w:before="180" w:line="220" w:lineRule="auto"/>
        <w:ind w:left="1722"/>
        <w:outlineLvl w:val="0"/>
        <w:rPr>
          <w:rFonts w:ascii="宋体" w:hAnsi="宋体" w:eastAsia="宋体" w:cs="宋体"/>
          <w:sz w:val="24"/>
          <w:szCs w:val="24"/>
          <w:lang w:eastAsia="zh-CN"/>
        </w:rPr>
      </w:pPr>
      <w:r>
        <w:rPr>
          <w:rFonts w:ascii="宋体" w:hAnsi="宋体" w:eastAsia="宋体" w:cs="宋体"/>
          <w:spacing w:val="-10"/>
          <w:sz w:val="24"/>
          <w:szCs w:val="24"/>
          <w:lang w:eastAsia="zh-CN"/>
        </w:rPr>
        <w:t>邮箱：</w:t>
      </w:r>
    </w:p>
    <w:p w14:paraId="466896BE">
      <w:pPr>
        <w:spacing w:line="22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6"/>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4"/>
        <w:gridCol w:w="2943"/>
        <w:gridCol w:w="2413"/>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164"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943"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佣金费</w:t>
            </w:r>
            <w:r>
              <w:rPr>
                <w:rFonts w:ascii="宋体" w:hAnsi="宋体" w:eastAsia="宋体" w:cs="宋体"/>
                <w:b/>
                <w:bCs/>
                <w:spacing w:val="-8"/>
                <w:sz w:val="24"/>
                <w:szCs w:val="24"/>
              </w:rPr>
              <w:t>率</w:t>
            </w:r>
            <w:r>
              <w:rPr>
                <w:rFonts w:hint="eastAsia" w:ascii="宋体" w:hAnsi="宋体" w:eastAsia="宋体" w:cs="宋体"/>
                <w:b/>
                <w:bCs/>
                <w:spacing w:val="-8"/>
                <w:sz w:val="24"/>
                <w:szCs w:val="24"/>
                <w:lang w:eastAsia="zh-CN"/>
              </w:rPr>
              <w:t>（%）</w:t>
            </w:r>
          </w:p>
        </w:tc>
        <w:tc>
          <w:tcPr>
            <w:tcW w:w="2413"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164"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eastAsia="zh-CN"/>
              </w:rPr>
              <w:t>中山市东升医院拍卖代理服务项目</w:t>
            </w:r>
          </w:p>
        </w:tc>
        <w:tc>
          <w:tcPr>
            <w:tcW w:w="2943" w:type="dxa"/>
            <w:vAlign w:val="center"/>
          </w:tcPr>
          <w:p w14:paraId="7DDAFCE5">
            <w:pPr>
              <w:tabs>
                <w:tab w:val="left" w:pos="1770"/>
              </w:tabs>
              <w:jc w:val="center"/>
              <w:outlineLvl w:val="0"/>
              <w:rPr>
                <w:rFonts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w:t>
            </w:r>
          </w:p>
        </w:tc>
        <w:tc>
          <w:tcPr>
            <w:tcW w:w="2413" w:type="dxa"/>
            <w:vAlign w:val="center"/>
          </w:tcPr>
          <w:p w14:paraId="417A2084">
            <w:pPr>
              <w:jc w:val="center"/>
            </w:pPr>
          </w:p>
        </w:tc>
      </w:tr>
    </w:tbl>
    <w:p w14:paraId="0CFDB52E">
      <w:pPr>
        <w:pStyle w:val="2"/>
        <w:spacing w:line="371" w:lineRule="auto"/>
      </w:pPr>
    </w:p>
    <w:p w14:paraId="675AB2DE">
      <w:pPr>
        <w:spacing w:before="166" w:line="226" w:lineRule="auto"/>
        <w:ind w:left="119"/>
        <w:rPr>
          <w:rFonts w:hint="eastAsia" w:eastAsia="宋体"/>
          <w:lang w:eastAsia="zh-CN"/>
        </w:rPr>
      </w:pPr>
      <w:r>
        <w:rPr>
          <w:rFonts w:ascii="宋体" w:hAnsi="宋体" w:eastAsia="宋体" w:cs="宋体"/>
          <w:b/>
          <w:bCs/>
          <w:spacing w:val="7"/>
          <w:sz w:val="20"/>
          <w:szCs w:val="20"/>
          <w:lang w:eastAsia="zh-CN"/>
        </w:rPr>
        <w:t>注意：</w:t>
      </w:r>
      <w:r>
        <w:rPr>
          <w:rFonts w:hint="eastAsia" w:ascii="宋体" w:hAnsi="宋体" w:eastAsia="宋体" w:cs="宋体"/>
          <w:b/>
          <w:bCs/>
          <w:spacing w:val="7"/>
          <w:sz w:val="20"/>
          <w:szCs w:val="20"/>
          <w:lang w:eastAsia="zh-CN"/>
        </w:rPr>
        <w:t>本项目佣金费率参照《中华人民共和国拍卖法》相关规定执行，最高不超过成交价款的5%；若报价超出此上限范围，该报价将被视为无效。本项目佣金费用由买受人承担。</w:t>
      </w:r>
    </w:p>
    <w:p w14:paraId="31EE09CF">
      <w:pPr>
        <w:pStyle w:val="2"/>
        <w:spacing w:line="246" w:lineRule="auto"/>
        <w:rPr>
          <w:lang w:eastAsia="zh-CN"/>
        </w:rPr>
      </w:pPr>
    </w:p>
    <w:p w14:paraId="06173646">
      <w:pPr>
        <w:pStyle w:val="2"/>
        <w:spacing w:line="247" w:lineRule="auto"/>
        <w:rPr>
          <w:lang w:eastAsia="zh-CN"/>
        </w:rPr>
      </w:pPr>
    </w:p>
    <w:p w14:paraId="5E5536D4">
      <w:pPr>
        <w:spacing w:before="79" w:line="219" w:lineRule="auto"/>
        <w:ind w:left="122"/>
        <w:rPr>
          <w:rFonts w:ascii="宋体" w:hAnsi="宋体" w:eastAsia="宋体" w:cs="宋体"/>
          <w:spacing w:val="2"/>
          <w:sz w:val="24"/>
          <w:szCs w:val="24"/>
          <w:lang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4E8D04A3">
      <w:pPr>
        <w:spacing w:before="79" w:line="219" w:lineRule="auto"/>
        <w:ind w:left="122"/>
        <w:rPr>
          <w:rFonts w:ascii="宋体" w:hAnsi="宋体" w:eastAsia="宋体" w:cs="宋体"/>
          <w:spacing w:val="2"/>
          <w:sz w:val="24"/>
          <w:szCs w:val="24"/>
          <w:lang w:eastAsia="zh-CN"/>
        </w:rPr>
      </w:pPr>
    </w:p>
    <w:p w14:paraId="0BE7F949">
      <w:pPr>
        <w:spacing w:before="79" w:line="219" w:lineRule="auto"/>
        <w:ind w:left="122"/>
        <w:rPr>
          <w:rFonts w:ascii="宋体" w:hAnsi="宋体" w:eastAsia="宋体" w:cs="宋体"/>
          <w:spacing w:val="2"/>
          <w:sz w:val="24"/>
          <w:szCs w:val="24"/>
          <w:lang w:eastAsia="zh-CN"/>
        </w:rPr>
      </w:pPr>
    </w:p>
    <w:p w14:paraId="0128495C">
      <w:pPr>
        <w:spacing w:before="79" w:line="219" w:lineRule="auto"/>
        <w:ind w:left="122"/>
        <w:rPr>
          <w:rFonts w:ascii="宋体" w:hAnsi="宋体" w:eastAsia="宋体" w:cs="宋体"/>
          <w:spacing w:val="2"/>
          <w:sz w:val="24"/>
          <w:szCs w:val="24"/>
          <w:lang w:eastAsia="zh-CN"/>
        </w:rPr>
      </w:pPr>
    </w:p>
    <w:p w14:paraId="0DBCA2B2">
      <w:pPr>
        <w:spacing w:before="79" w:line="219" w:lineRule="auto"/>
        <w:ind w:left="122"/>
        <w:rPr>
          <w:rFonts w:ascii="宋体" w:hAnsi="宋体" w:eastAsia="宋体" w:cs="宋体"/>
          <w:spacing w:val="2"/>
          <w:sz w:val="24"/>
          <w:szCs w:val="24"/>
          <w:lang w:eastAsia="zh-CN"/>
        </w:rPr>
      </w:pPr>
    </w:p>
    <w:p w14:paraId="52251666">
      <w:pPr>
        <w:spacing w:before="79" w:line="219" w:lineRule="auto"/>
        <w:ind w:left="122"/>
        <w:rPr>
          <w:rFonts w:ascii="宋体" w:hAnsi="宋体" w:eastAsia="宋体" w:cs="宋体"/>
          <w:spacing w:val="2"/>
          <w:sz w:val="24"/>
          <w:szCs w:val="24"/>
          <w:lang w:eastAsia="zh-CN"/>
        </w:rPr>
      </w:pPr>
    </w:p>
    <w:p w14:paraId="5F66F77B">
      <w:pPr>
        <w:spacing w:before="79" w:line="219" w:lineRule="auto"/>
        <w:ind w:left="122"/>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2"/>
        <w:spacing w:line="325" w:lineRule="auto"/>
        <w:rPr>
          <w:lang w:eastAsia="zh-CN"/>
        </w:rPr>
      </w:pPr>
    </w:p>
    <w:p w14:paraId="0DF79E5D">
      <w:pPr>
        <w:pStyle w:val="2"/>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eastAsia="zh-CN"/>
        </w:rPr>
        <w:t>中山市东升医院拍卖代理服务项目</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w:t>
      </w:r>
      <w:r>
        <w:rPr>
          <w:rFonts w:hint="eastAsia" w:ascii="宋体" w:hAnsi="宋体" w:eastAsia="宋体" w:cs="宋体"/>
          <w:spacing w:val="-3"/>
          <w:sz w:val="24"/>
          <w:szCs w:val="24"/>
          <w:lang w:eastAsia="zh-CN"/>
        </w:rPr>
        <w:t>服务</w:t>
      </w:r>
      <w:r>
        <w:rPr>
          <w:rFonts w:ascii="宋体" w:hAnsi="宋体" w:eastAsia="宋体" w:cs="宋体"/>
          <w:spacing w:val="-3"/>
          <w:sz w:val="24"/>
          <w:szCs w:val="24"/>
          <w:lang w:eastAsia="zh-CN"/>
        </w:rPr>
        <w:t>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2"/>
        <w:spacing w:line="281" w:lineRule="auto"/>
        <w:rPr>
          <w:lang w:eastAsia="zh-CN"/>
        </w:rPr>
      </w:pPr>
    </w:p>
    <w:p w14:paraId="531F2256">
      <w:pPr>
        <w:pStyle w:val="2"/>
        <w:spacing w:line="281" w:lineRule="auto"/>
        <w:rPr>
          <w:lang w:eastAsia="zh-CN"/>
        </w:rPr>
      </w:pPr>
    </w:p>
    <w:p w14:paraId="1757552E">
      <w:pPr>
        <w:pStyle w:val="2"/>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spacing w:before="4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具备独立承担民事责任的能力：应为在中华人民共和国境内注册的法人、其他组织或自然人，并于投标（响应）时提交有效的营业执照（拍卖行业）副本复印件及拍卖经营批准证书。；</w:t>
      </w:r>
    </w:p>
    <w:p w14:paraId="7742BFE6">
      <w:pPr>
        <w:spacing w:line="22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2"/>
        <w:spacing w:line="264" w:lineRule="auto"/>
        <w:rPr>
          <w:lang w:eastAsia="zh-CN"/>
        </w:rPr>
      </w:pPr>
    </w:p>
    <w:p w14:paraId="7669B1F2">
      <w:pPr>
        <w:pStyle w:val="2"/>
        <w:spacing w:line="264" w:lineRule="auto"/>
        <w:rPr>
          <w:lang w:eastAsia="zh-CN"/>
        </w:rPr>
      </w:pPr>
    </w:p>
    <w:p w14:paraId="35AD54B7">
      <w:pPr>
        <w:pStyle w:val="2"/>
        <w:spacing w:line="265" w:lineRule="auto"/>
        <w:rPr>
          <w:lang w:eastAsia="zh-CN"/>
        </w:rPr>
      </w:pPr>
    </w:p>
    <w:p w14:paraId="2B647D9C">
      <w:pPr>
        <w:pStyle w:val="2"/>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2"/>
        <w:spacing w:line="296" w:lineRule="auto"/>
        <w:rPr>
          <w:lang w:eastAsia="zh-CN"/>
        </w:rPr>
      </w:pPr>
    </w:p>
    <w:p w14:paraId="6CE3F126">
      <w:pPr>
        <w:pStyle w:val="2"/>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2"/>
        <w:spacing w:line="296" w:lineRule="auto"/>
        <w:rPr>
          <w:lang w:eastAsia="zh-CN"/>
        </w:rPr>
      </w:pPr>
    </w:p>
    <w:p w14:paraId="161E9A72">
      <w:pPr>
        <w:pStyle w:val="2"/>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2"/>
        <w:spacing w:line="267" w:lineRule="auto"/>
        <w:rPr>
          <w:lang w:eastAsia="zh-CN"/>
        </w:rPr>
      </w:pPr>
    </w:p>
    <w:p w14:paraId="74CD3E9F">
      <w:pPr>
        <w:pStyle w:val="2"/>
        <w:spacing w:line="267" w:lineRule="auto"/>
        <w:rPr>
          <w:lang w:eastAsia="zh-CN"/>
        </w:rPr>
      </w:pPr>
    </w:p>
    <w:p w14:paraId="663913BF">
      <w:pPr>
        <w:pStyle w:val="2"/>
        <w:spacing w:line="267" w:lineRule="auto"/>
        <w:rPr>
          <w:lang w:eastAsia="zh-CN"/>
        </w:rPr>
      </w:pPr>
    </w:p>
    <w:p w14:paraId="37346176">
      <w:pPr>
        <w:pStyle w:val="2"/>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2"/>
        <w:spacing w:line="273" w:lineRule="auto"/>
      </w:pPr>
    </w:p>
    <w:p w14:paraId="59ACC4F7">
      <w:pPr>
        <w:pStyle w:val="2"/>
        <w:spacing w:line="273" w:lineRule="auto"/>
      </w:pPr>
    </w:p>
    <w:p w14:paraId="72D9DF12">
      <w:pPr>
        <w:pStyle w:val="2"/>
        <w:spacing w:line="273" w:lineRule="auto"/>
      </w:pPr>
    </w:p>
    <w:p w14:paraId="32571043">
      <w:pPr>
        <w:pStyle w:val="2"/>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2"/>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2"/>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eastAsia="zh-CN"/>
        </w:rPr>
        <w:t>中山市东升医院拍卖代理服务项目</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2"/>
        <w:spacing w:line="283" w:lineRule="auto"/>
        <w:rPr>
          <w:lang w:eastAsia="zh-CN"/>
        </w:rPr>
      </w:pPr>
    </w:p>
    <w:p w14:paraId="6F145D85">
      <w:pPr>
        <w:pStyle w:val="2"/>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2"/>
        <w:spacing w:line="277" w:lineRule="auto"/>
        <w:rPr>
          <w:lang w:eastAsia="zh-CN"/>
        </w:rPr>
      </w:pPr>
    </w:p>
    <w:p w14:paraId="130A4A24">
      <w:pPr>
        <w:pStyle w:val="2"/>
        <w:spacing w:line="277" w:lineRule="auto"/>
        <w:rPr>
          <w:lang w:eastAsia="zh-CN"/>
        </w:rPr>
      </w:pPr>
    </w:p>
    <w:p w14:paraId="379E201F">
      <w:pPr>
        <w:pStyle w:val="2"/>
        <w:spacing w:line="277" w:lineRule="auto"/>
        <w:rPr>
          <w:lang w:eastAsia="zh-CN"/>
        </w:rPr>
      </w:pPr>
    </w:p>
    <w:p w14:paraId="4C47DA1B">
      <w:pPr>
        <w:pStyle w:val="2"/>
        <w:spacing w:line="278" w:lineRule="auto"/>
        <w:rPr>
          <w:lang w:eastAsia="zh-CN"/>
        </w:rPr>
      </w:pPr>
    </w:p>
    <w:p w14:paraId="4CD07A94">
      <w:pPr>
        <w:pStyle w:val="2"/>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line="378" w:lineRule="auto"/>
        <w:rPr>
          <w:rFonts w:ascii="宋体" w:hAnsi="宋体" w:eastAsia="宋体" w:cs="宋体"/>
          <w:b/>
          <w:bCs/>
          <w:spacing w:val="6"/>
          <w:sz w:val="20"/>
          <w:szCs w:val="20"/>
          <w:lang w:eastAsia="zh-CN"/>
        </w:rPr>
      </w:pPr>
      <w:r>
        <w:rPr>
          <w:rFonts w:ascii="宋体" w:hAnsi="宋体" w:eastAsia="宋体" w:cs="宋体"/>
          <w:b/>
          <w:bCs/>
          <w:spacing w:val="6"/>
          <w:sz w:val="20"/>
          <w:szCs w:val="20"/>
          <w:lang w:eastAsia="zh-CN"/>
        </w:rPr>
        <w:t>七、</w:t>
      </w:r>
      <w:r>
        <w:rPr>
          <w:rFonts w:hint="eastAsia" w:ascii="宋体" w:hAnsi="宋体" w:eastAsia="宋体" w:cs="宋体"/>
          <w:b/>
          <w:bCs/>
          <w:spacing w:val="6"/>
          <w:sz w:val="20"/>
          <w:szCs w:val="20"/>
          <w:lang w:eastAsia="zh-CN"/>
        </w:rPr>
        <w:t>提供202</w:t>
      </w:r>
      <w:r>
        <w:rPr>
          <w:rFonts w:hint="eastAsia" w:ascii="宋体" w:hAnsi="宋体" w:eastAsia="宋体" w:cs="宋体"/>
          <w:b/>
          <w:bCs/>
          <w:spacing w:val="6"/>
          <w:sz w:val="20"/>
          <w:szCs w:val="20"/>
          <w:lang w:val="en-US" w:eastAsia="zh-CN"/>
        </w:rPr>
        <w:t>5年度财务状况报告或基本开户行出具的资信证明。</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w:t>
      </w:r>
      <w:r>
        <w:rPr>
          <w:rFonts w:hint="eastAsia" w:ascii="宋体" w:hAnsi="宋体" w:eastAsia="宋体" w:cs="宋体"/>
          <w:b/>
          <w:bCs/>
          <w:spacing w:val="8"/>
          <w:sz w:val="20"/>
          <w:szCs w:val="20"/>
          <w:lang w:eastAsia="zh-CN"/>
        </w:rPr>
        <w:t>投标截止日前6个月内任意1个月</w:t>
      </w:r>
      <w:r>
        <w:rPr>
          <w:rFonts w:hint="eastAsia" w:ascii="宋体" w:hAnsi="宋体" w:eastAsia="宋体" w:cs="宋体"/>
          <w:b/>
          <w:bCs/>
          <w:spacing w:val="8"/>
          <w:sz w:val="20"/>
          <w:szCs w:val="20"/>
          <w:lang w:val="en-US" w:eastAsia="zh-CN"/>
        </w:rPr>
        <w:t>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w:t>
      </w:r>
      <w:r>
        <w:rPr>
          <w:rFonts w:hint="eastAsia" w:ascii="宋体" w:hAnsi="宋体" w:eastAsia="宋体" w:cs="宋体"/>
          <w:b/>
          <w:bCs/>
          <w:spacing w:val="3"/>
          <w:sz w:val="20"/>
          <w:szCs w:val="20"/>
          <w:lang w:eastAsia="zh-CN"/>
        </w:rPr>
        <w:t>投标截止日前6个月内任意1个月</w:t>
      </w:r>
      <w:r>
        <w:rPr>
          <w:rFonts w:ascii="宋体" w:hAnsi="宋体" w:eastAsia="宋体" w:cs="宋体"/>
          <w:b/>
          <w:bCs/>
          <w:spacing w:val="3"/>
          <w:sz w:val="20"/>
          <w:szCs w:val="20"/>
          <w:lang w:eastAsia="zh-CN"/>
        </w:rPr>
        <w:t>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spacing w:before="44" w:line="373" w:lineRule="auto"/>
        <w:ind w:left="22" w:right="18" w:firstLine="1"/>
        <w:jc w:val="both"/>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spacing w:line="373"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654573B8">
      <w:pPr>
        <w:spacing w:before="137" w:line="433" w:lineRule="auto"/>
        <w:ind w:left="24" w:right="16" w:hanging="1"/>
        <w:rPr>
          <w:rFonts w:hint="eastAsia" w:ascii="宋体" w:hAnsi="宋体" w:eastAsia="宋体" w:cs="宋体"/>
          <w:b/>
          <w:bCs/>
          <w:spacing w:val="9"/>
          <w:sz w:val="20"/>
          <w:szCs w:val="20"/>
          <w:lang w:eastAsia="zh-CN"/>
        </w:rPr>
      </w:pPr>
      <w:r>
        <w:rPr>
          <w:rFonts w:ascii="宋体" w:hAnsi="宋体" w:eastAsia="宋体" w:cs="宋体"/>
          <w:b/>
          <w:bCs/>
          <w:spacing w:val="9"/>
          <w:sz w:val="20"/>
          <w:szCs w:val="20"/>
          <w:lang w:eastAsia="zh-CN"/>
        </w:rPr>
        <w:t>十一、</w:t>
      </w:r>
      <w:r>
        <w:rPr>
          <w:rFonts w:hint="eastAsia" w:ascii="宋体" w:hAnsi="宋体" w:eastAsia="宋体" w:cs="宋体"/>
          <w:b/>
          <w:bCs/>
          <w:spacing w:val="9"/>
          <w:sz w:val="20"/>
          <w:szCs w:val="20"/>
          <w:lang w:eastAsia="zh-CN"/>
        </w:rPr>
        <w:t>具备企业资质认证。</w:t>
      </w:r>
    </w:p>
    <w:p w14:paraId="52FCC882">
      <w:pPr>
        <w:spacing w:line="433"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647DC97B">
      <w:pPr>
        <w:spacing w:before="137"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十二、拟投入</w:t>
      </w:r>
      <w:r>
        <w:rPr>
          <w:rFonts w:hint="eastAsia" w:ascii="宋体" w:hAnsi="宋体" w:eastAsia="宋体" w:cs="宋体"/>
          <w:b/>
          <w:bCs/>
          <w:spacing w:val="6"/>
          <w:sz w:val="20"/>
          <w:szCs w:val="20"/>
          <w:lang w:eastAsia="zh-CN"/>
        </w:rPr>
        <w:t>项目的主要人员</w:t>
      </w:r>
      <w:r>
        <w:rPr>
          <w:rFonts w:ascii="宋体" w:hAnsi="宋体" w:eastAsia="宋体" w:cs="宋体"/>
          <w:b/>
          <w:bCs/>
          <w:spacing w:val="6"/>
          <w:sz w:val="20"/>
          <w:szCs w:val="20"/>
          <w:lang w:eastAsia="zh-CN"/>
        </w:rPr>
        <w:t>：</w:t>
      </w:r>
    </w:p>
    <w:p w14:paraId="0DB61A02">
      <w:pPr>
        <w:spacing w:before="13"/>
        <w:rPr>
          <w:lang w:eastAsia="zh-CN"/>
        </w:rPr>
      </w:pPr>
    </w:p>
    <w:tbl>
      <w:tblPr>
        <w:tblStyle w:val="6"/>
        <w:tblW w:w="864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9" w:hRule="atLeast"/>
        </w:trPr>
        <w:tc>
          <w:tcPr>
            <w:tcW w:w="568" w:type="dxa"/>
            <w:tcBorders>
              <w:top w:val="single" w:color="000000" w:sz="10" w:space="0"/>
              <w:left w:val="single" w:color="000000" w:sz="10" w:space="0"/>
            </w:tcBorders>
            <w:shd w:val="clear" w:color="auto" w:fill="FFFFFF" w:themeFill="background1"/>
            <w:vAlign w:val="center"/>
          </w:tcPr>
          <w:p w14:paraId="18B00B55">
            <w:pPr>
              <w:spacing w:before="205" w:line="229" w:lineRule="auto"/>
              <w:jc w:val="center"/>
              <w:rPr>
                <w:rFonts w:ascii="宋体" w:hAnsi="宋体" w:eastAsia="宋体" w:cs="宋体"/>
                <w:b/>
                <w:bCs/>
                <w:sz w:val="20"/>
                <w:szCs w:val="20"/>
              </w:rPr>
            </w:pPr>
            <w:r>
              <w:rPr>
                <w:rFonts w:ascii="宋体" w:hAnsi="宋体" w:eastAsia="宋体" w:cs="宋体"/>
                <w:b/>
                <w:bCs/>
                <w:spacing w:val="5"/>
                <w:sz w:val="20"/>
                <w:szCs w:val="20"/>
              </w:rPr>
              <w:t>序号</w:t>
            </w:r>
          </w:p>
        </w:tc>
        <w:tc>
          <w:tcPr>
            <w:tcW w:w="993" w:type="dxa"/>
            <w:tcBorders>
              <w:top w:val="single" w:color="000000" w:sz="10" w:space="0"/>
            </w:tcBorders>
            <w:shd w:val="clear" w:color="auto" w:fill="FFFFFF" w:themeFill="background1"/>
            <w:vAlign w:val="center"/>
          </w:tcPr>
          <w:p w14:paraId="3558036A">
            <w:pPr>
              <w:spacing w:before="205" w:line="228" w:lineRule="auto"/>
              <w:jc w:val="center"/>
              <w:rPr>
                <w:rFonts w:ascii="宋体" w:hAnsi="宋体" w:eastAsia="宋体" w:cs="宋体"/>
                <w:b/>
                <w:bCs/>
                <w:sz w:val="20"/>
                <w:szCs w:val="20"/>
              </w:rPr>
            </w:pPr>
            <w:r>
              <w:rPr>
                <w:rFonts w:ascii="宋体" w:hAnsi="宋体" w:eastAsia="宋体" w:cs="宋体"/>
                <w:b/>
                <w:bCs/>
                <w:spacing w:val="4"/>
                <w:sz w:val="20"/>
                <w:szCs w:val="20"/>
              </w:rPr>
              <w:t>姓名</w:t>
            </w:r>
          </w:p>
        </w:tc>
        <w:tc>
          <w:tcPr>
            <w:tcW w:w="992" w:type="dxa"/>
            <w:tcBorders>
              <w:top w:val="single" w:color="000000" w:sz="10" w:space="0"/>
            </w:tcBorders>
            <w:shd w:val="clear" w:color="auto" w:fill="FFFFFF" w:themeFill="background1"/>
            <w:vAlign w:val="center"/>
          </w:tcPr>
          <w:p w14:paraId="2A9E5148">
            <w:pPr>
              <w:spacing w:before="206" w:line="228" w:lineRule="auto"/>
              <w:jc w:val="center"/>
              <w:rPr>
                <w:rFonts w:ascii="宋体" w:hAnsi="宋体" w:eastAsia="宋体" w:cs="宋体"/>
                <w:b/>
                <w:bCs/>
                <w:sz w:val="20"/>
                <w:szCs w:val="20"/>
              </w:rPr>
            </w:pPr>
            <w:r>
              <w:rPr>
                <w:rFonts w:ascii="宋体" w:hAnsi="宋体" w:eastAsia="宋体" w:cs="宋体"/>
                <w:b/>
                <w:bCs/>
                <w:spacing w:val="3"/>
                <w:sz w:val="20"/>
                <w:szCs w:val="20"/>
              </w:rPr>
              <w:t>性别</w:t>
            </w:r>
          </w:p>
        </w:tc>
        <w:tc>
          <w:tcPr>
            <w:tcW w:w="850" w:type="dxa"/>
            <w:tcBorders>
              <w:top w:val="single" w:color="000000" w:sz="10" w:space="0"/>
            </w:tcBorders>
            <w:shd w:val="clear" w:color="auto" w:fill="FFFFFF" w:themeFill="background1"/>
            <w:vAlign w:val="center"/>
          </w:tcPr>
          <w:p w14:paraId="65A77A6F">
            <w:pPr>
              <w:spacing w:before="205" w:line="228" w:lineRule="auto"/>
              <w:jc w:val="center"/>
              <w:rPr>
                <w:rFonts w:ascii="宋体" w:hAnsi="宋体" w:eastAsia="宋体" w:cs="宋体"/>
                <w:b/>
                <w:bCs/>
                <w:sz w:val="20"/>
                <w:szCs w:val="20"/>
              </w:rPr>
            </w:pPr>
            <w:r>
              <w:rPr>
                <w:rFonts w:ascii="宋体" w:hAnsi="宋体" w:eastAsia="宋体" w:cs="宋体"/>
                <w:b/>
                <w:bCs/>
                <w:spacing w:val="4"/>
                <w:sz w:val="20"/>
                <w:szCs w:val="20"/>
              </w:rPr>
              <w:t>年龄</w:t>
            </w:r>
          </w:p>
        </w:tc>
        <w:tc>
          <w:tcPr>
            <w:tcW w:w="1134" w:type="dxa"/>
            <w:tcBorders>
              <w:top w:val="single" w:color="000000" w:sz="10" w:space="0"/>
            </w:tcBorders>
            <w:shd w:val="clear" w:color="auto" w:fill="FFFFFF" w:themeFill="background1"/>
            <w:vAlign w:val="center"/>
          </w:tcPr>
          <w:p w14:paraId="3DF69216">
            <w:pPr>
              <w:spacing w:before="205" w:line="230" w:lineRule="auto"/>
              <w:jc w:val="center"/>
              <w:rPr>
                <w:rFonts w:ascii="宋体" w:hAnsi="宋体" w:eastAsia="宋体" w:cs="宋体"/>
                <w:b/>
                <w:bCs/>
                <w:sz w:val="20"/>
                <w:szCs w:val="20"/>
              </w:rPr>
            </w:pPr>
            <w:r>
              <w:rPr>
                <w:rFonts w:ascii="宋体" w:hAnsi="宋体" w:eastAsia="宋体" w:cs="宋体"/>
                <w:b/>
                <w:bCs/>
                <w:spacing w:val="4"/>
                <w:sz w:val="20"/>
                <w:szCs w:val="20"/>
              </w:rPr>
              <w:t>职称</w:t>
            </w:r>
          </w:p>
        </w:tc>
        <w:tc>
          <w:tcPr>
            <w:tcW w:w="993" w:type="dxa"/>
            <w:tcBorders>
              <w:top w:val="single" w:color="000000" w:sz="10" w:space="0"/>
            </w:tcBorders>
            <w:shd w:val="clear" w:color="auto" w:fill="FFFFFF" w:themeFill="background1"/>
            <w:vAlign w:val="center"/>
          </w:tcPr>
          <w:p w14:paraId="3D4251C8">
            <w:pPr>
              <w:spacing w:before="206" w:line="228" w:lineRule="auto"/>
              <w:jc w:val="center"/>
              <w:rPr>
                <w:rFonts w:ascii="宋体" w:hAnsi="宋体" w:eastAsia="宋体" w:cs="宋体"/>
                <w:b/>
                <w:bCs/>
                <w:sz w:val="20"/>
                <w:szCs w:val="20"/>
              </w:rPr>
            </w:pPr>
            <w:r>
              <w:rPr>
                <w:rFonts w:ascii="宋体" w:hAnsi="宋体" w:eastAsia="宋体" w:cs="宋体"/>
                <w:b/>
                <w:bCs/>
                <w:spacing w:val="4"/>
                <w:sz w:val="20"/>
                <w:szCs w:val="20"/>
              </w:rPr>
              <w:t>专业</w:t>
            </w:r>
          </w:p>
        </w:tc>
        <w:tc>
          <w:tcPr>
            <w:tcW w:w="1275" w:type="dxa"/>
            <w:tcBorders>
              <w:top w:val="single" w:color="000000" w:sz="10" w:space="0"/>
            </w:tcBorders>
            <w:shd w:val="clear" w:color="auto" w:fill="FFFFFF" w:themeFill="background1"/>
            <w:vAlign w:val="center"/>
          </w:tcPr>
          <w:p w14:paraId="236C85D6">
            <w:pPr>
              <w:spacing w:before="205" w:line="228" w:lineRule="auto"/>
              <w:jc w:val="center"/>
              <w:rPr>
                <w:rFonts w:ascii="宋体" w:hAnsi="宋体" w:eastAsia="宋体" w:cs="宋体"/>
                <w:b/>
                <w:bCs/>
                <w:sz w:val="20"/>
                <w:szCs w:val="20"/>
              </w:rPr>
            </w:pPr>
            <w:r>
              <w:rPr>
                <w:rFonts w:ascii="宋体" w:hAnsi="宋体" w:eastAsia="宋体" w:cs="宋体"/>
                <w:b/>
                <w:bCs/>
                <w:spacing w:val="6"/>
                <w:sz w:val="20"/>
                <w:szCs w:val="20"/>
              </w:rPr>
              <w:t>经验年限</w:t>
            </w:r>
          </w:p>
        </w:tc>
        <w:tc>
          <w:tcPr>
            <w:tcW w:w="1843" w:type="dxa"/>
            <w:tcBorders>
              <w:top w:val="single" w:color="000000" w:sz="10" w:space="0"/>
              <w:right w:val="single" w:color="000000" w:sz="10" w:space="0"/>
            </w:tcBorders>
            <w:shd w:val="clear" w:color="auto" w:fill="FFFFFF" w:themeFill="background1"/>
            <w:vAlign w:val="center"/>
          </w:tcPr>
          <w:p w14:paraId="73D0902D">
            <w:pPr>
              <w:spacing w:before="69" w:line="248" w:lineRule="auto"/>
              <w:ind w:left="176" w:right="151"/>
              <w:jc w:val="center"/>
              <w:rPr>
                <w:rFonts w:ascii="宋体" w:hAnsi="宋体" w:eastAsia="宋体" w:cs="宋体"/>
                <w:b/>
                <w:bCs/>
                <w:sz w:val="20"/>
                <w:szCs w:val="20"/>
                <w:lang w:eastAsia="zh-CN"/>
              </w:rPr>
            </w:pPr>
            <w:r>
              <w:rPr>
                <w:rFonts w:ascii="宋体" w:hAnsi="宋体" w:eastAsia="宋体" w:cs="宋体"/>
                <w:b/>
                <w:bCs/>
                <w:spacing w:val="8"/>
                <w:sz w:val="20"/>
                <w:szCs w:val="20"/>
                <w:lang w:eastAsia="zh-CN"/>
              </w:rPr>
              <w:t>拟担任职务或承担工</w:t>
            </w:r>
            <w:r>
              <w:rPr>
                <w:rFonts w:ascii="宋体" w:hAnsi="宋体" w:eastAsia="宋体" w:cs="宋体"/>
                <w:b/>
                <w:bCs/>
                <w:spacing w:val="6"/>
                <w:sz w:val="20"/>
                <w:szCs w:val="20"/>
                <w:lang w:eastAsia="zh-CN"/>
              </w:rPr>
              <w:t>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568" w:type="dxa"/>
            <w:tcBorders>
              <w:left w:val="single" w:color="000000" w:sz="10" w:space="0"/>
            </w:tcBorders>
            <w:vAlign w:val="center"/>
          </w:tcPr>
          <w:p w14:paraId="5AAC653F">
            <w:pPr>
              <w:spacing w:before="65" w:line="270" w:lineRule="exact"/>
              <w:jc w:val="center"/>
              <w:rPr>
                <w:rFonts w:ascii="宋体" w:hAnsi="宋体" w:eastAsia="宋体" w:cs="宋体"/>
                <w:sz w:val="20"/>
                <w:szCs w:val="20"/>
              </w:rPr>
            </w:pPr>
            <w:r>
              <w:rPr>
                <w:rFonts w:ascii="宋体" w:hAnsi="宋体" w:eastAsia="宋体" w:cs="宋体"/>
                <w:position w:val="1"/>
                <w:sz w:val="20"/>
                <w:szCs w:val="20"/>
              </w:rPr>
              <w:t>1</w:t>
            </w:r>
          </w:p>
        </w:tc>
        <w:tc>
          <w:tcPr>
            <w:tcW w:w="993" w:type="dxa"/>
            <w:vAlign w:val="center"/>
          </w:tcPr>
          <w:p w14:paraId="4DC70521">
            <w:pPr>
              <w:pStyle w:val="7"/>
              <w:jc w:val="center"/>
            </w:pPr>
          </w:p>
        </w:tc>
        <w:tc>
          <w:tcPr>
            <w:tcW w:w="992" w:type="dxa"/>
            <w:vAlign w:val="center"/>
          </w:tcPr>
          <w:p w14:paraId="6D45F58A">
            <w:pPr>
              <w:pStyle w:val="7"/>
              <w:jc w:val="center"/>
            </w:pPr>
          </w:p>
        </w:tc>
        <w:tc>
          <w:tcPr>
            <w:tcW w:w="850" w:type="dxa"/>
            <w:vAlign w:val="center"/>
          </w:tcPr>
          <w:p w14:paraId="240BD05E">
            <w:pPr>
              <w:pStyle w:val="7"/>
              <w:jc w:val="center"/>
            </w:pPr>
          </w:p>
        </w:tc>
        <w:tc>
          <w:tcPr>
            <w:tcW w:w="1134" w:type="dxa"/>
            <w:vAlign w:val="center"/>
          </w:tcPr>
          <w:p w14:paraId="1340D212">
            <w:pPr>
              <w:pStyle w:val="7"/>
              <w:jc w:val="center"/>
            </w:pPr>
          </w:p>
        </w:tc>
        <w:tc>
          <w:tcPr>
            <w:tcW w:w="993" w:type="dxa"/>
            <w:vAlign w:val="center"/>
          </w:tcPr>
          <w:p w14:paraId="0E970A95">
            <w:pPr>
              <w:pStyle w:val="7"/>
              <w:jc w:val="center"/>
            </w:pPr>
          </w:p>
        </w:tc>
        <w:tc>
          <w:tcPr>
            <w:tcW w:w="1275" w:type="dxa"/>
            <w:vAlign w:val="center"/>
          </w:tcPr>
          <w:p w14:paraId="6EF3B018">
            <w:pPr>
              <w:pStyle w:val="7"/>
              <w:jc w:val="center"/>
            </w:pPr>
          </w:p>
        </w:tc>
        <w:tc>
          <w:tcPr>
            <w:tcW w:w="1843" w:type="dxa"/>
            <w:tcBorders>
              <w:right w:val="single" w:color="000000" w:sz="10" w:space="0"/>
            </w:tcBorders>
            <w:vAlign w:val="center"/>
          </w:tcPr>
          <w:p w14:paraId="05049427">
            <w:pPr>
              <w:spacing w:before="65" w:line="228" w:lineRule="auto"/>
              <w:jc w:val="center"/>
              <w:rPr>
                <w:rFonts w:ascii="宋体" w:hAnsi="宋体" w:eastAsia="宋体" w:cs="宋体"/>
                <w:b/>
                <w:bCs/>
                <w:sz w:val="20"/>
                <w:szCs w:val="20"/>
              </w:rPr>
            </w:pPr>
            <w:r>
              <w:rPr>
                <w:rFonts w:hint="eastAsia" w:ascii="宋体" w:hAnsi="宋体" w:eastAsia="宋体" w:cs="宋体"/>
                <w:b/>
                <w:bCs/>
                <w:spacing w:val="8"/>
                <w:sz w:val="20"/>
                <w:szCs w:val="20"/>
                <w:lang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568" w:type="dxa"/>
            <w:tcBorders>
              <w:left w:val="single" w:color="000000" w:sz="10" w:space="0"/>
            </w:tcBorders>
            <w:vAlign w:val="center"/>
          </w:tcPr>
          <w:p w14:paraId="64B1DD84">
            <w:pPr>
              <w:spacing w:before="65" w:line="270" w:lineRule="exact"/>
              <w:jc w:val="center"/>
              <w:rPr>
                <w:rFonts w:ascii="宋体" w:hAnsi="宋体" w:eastAsia="宋体" w:cs="宋体"/>
                <w:sz w:val="20"/>
                <w:szCs w:val="20"/>
              </w:rPr>
            </w:pPr>
            <w:r>
              <w:rPr>
                <w:rFonts w:ascii="宋体" w:hAnsi="宋体" w:eastAsia="宋体" w:cs="宋体"/>
                <w:position w:val="1"/>
                <w:sz w:val="20"/>
                <w:szCs w:val="20"/>
              </w:rPr>
              <w:t>2</w:t>
            </w:r>
          </w:p>
        </w:tc>
        <w:tc>
          <w:tcPr>
            <w:tcW w:w="993" w:type="dxa"/>
            <w:vAlign w:val="center"/>
          </w:tcPr>
          <w:p w14:paraId="54BC48C4">
            <w:pPr>
              <w:pStyle w:val="7"/>
              <w:jc w:val="center"/>
              <w:rPr>
                <w:rFonts w:hint="eastAsia" w:eastAsia="宋体"/>
                <w:sz w:val="20"/>
                <w:szCs w:val="20"/>
                <w:lang w:eastAsia="zh-CN"/>
              </w:rPr>
            </w:pPr>
          </w:p>
        </w:tc>
        <w:tc>
          <w:tcPr>
            <w:tcW w:w="992" w:type="dxa"/>
            <w:vAlign w:val="center"/>
          </w:tcPr>
          <w:p w14:paraId="4E2F130F">
            <w:pPr>
              <w:pStyle w:val="7"/>
              <w:jc w:val="center"/>
              <w:rPr>
                <w:sz w:val="20"/>
                <w:szCs w:val="20"/>
              </w:rPr>
            </w:pPr>
          </w:p>
        </w:tc>
        <w:tc>
          <w:tcPr>
            <w:tcW w:w="850" w:type="dxa"/>
            <w:vAlign w:val="center"/>
          </w:tcPr>
          <w:p w14:paraId="4EB5834A">
            <w:pPr>
              <w:pStyle w:val="7"/>
              <w:jc w:val="center"/>
              <w:rPr>
                <w:sz w:val="20"/>
                <w:szCs w:val="20"/>
              </w:rPr>
            </w:pPr>
          </w:p>
        </w:tc>
        <w:tc>
          <w:tcPr>
            <w:tcW w:w="1134" w:type="dxa"/>
            <w:vAlign w:val="center"/>
          </w:tcPr>
          <w:p w14:paraId="7D7F222B">
            <w:pPr>
              <w:pStyle w:val="7"/>
              <w:jc w:val="center"/>
              <w:rPr>
                <w:sz w:val="20"/>
                <w:szCs w:val="20"/>
              </w:rPr>
            </w:pPr>
          </w:p>
        </w:tc>
        <w:tc>
          <w:tcPr>
            <w:tcW w:w="993" w:type="dxa"/>
            <w:vAlign w:val="center"/>
          </w:tcPr>
          <w:p w14:paraId="3A301724">
            <w:pPr>
              <w:pStyle w:val="7"/>
              <w:jc w:val="center"/>
              <w:rPr>
                <w:sz w:val="20"/>
                <w:szCs w:val="20"/>
              </w:rPr>
            </w:pPr>
          </w:p>
        </w:tc>
        <w:tc>
          <w:tcPr>
            <w:tcW w:w="1275" w:type="dxa"/>
            <w:vAlign w:val="center"/>
          </w:tcPr>
          <w:p w14:paraId="4584A004">
            <w:pPr>
              <w:pStyle w:val="7"/>
              <w:jc w:val="center"/>
              <w:rPr>
                <w:sz w:val="20"/>
                <w:szCs w:val="20"/>
              </w:rPr>
            </w:pPr>
          </w:p>
        </w:tc>
        <w:tc>
          <w:tcPr>
            <w:tcW w:w="1843" w:type="dxa"/>
            <w:tcBorders>
              <w:right w:val="single" w:color="000000" w:sz="10" w:space="0"/>
            </w:tcBorders>
            <w:vAlign w:val="center"/>
          </w:tcPr>
          <w:p w14:paraId="0B6DFD92">
            <w:pPr>
              <w:jc w:val="center"/>
              <w:rPr>
                <w:rFonts w:ascii="宋体" w:hAnsi="宋体" w:eastAsia="宋体" w:cs="宋体"/>
                <w:b/>
                <w:bCs/>
                <w:sz w:val="20"/>
                <w:szCs w:val="20"/>
                <w:lang w:eastAsia="zh-CN"/>
              </w:rPr>
            </w:pPr>
            <w:r>
              <w:rPr>
                <w:rFonts w:hint="eastAsia" w:ascii="宋体" w:hAnsi="宋体" w:eastAsia="宋体" w:cs="宋体"/>
                <w:b/>
                <w:bCs/>
                <w:sz w:val="20"/>
                <w:szCs w:val="20"/>
                <w:lang w:eastAsia="zh-CN"/>
              </w:rPr>
              <w:t>拟投入人员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568" w:type="dxa"/>
            <w:tcBorders>
              <w:left w:val="single" w:color="000000" w:sz="10" w:space="0"/>
              <w:bottom w:val="single" w:color="000000" w:sz="10" w:space="0"/>
            </w:tcBorders>
            <w:vAlign w:val="center"/>
          </w:tcPr>
          <w:p w14:paraId="202D3443">
            <w:pPr>
              <w:spacing w:before="65" w:line="269" w:lineRule="exact"/>
              <w:jc w:val="center"/>
              <w:rPr>
                <w:rFonts w:ascii="宋体" w:hAnsi="宋体" w:eastAsia="宋体" w:cs="宋体"/>
                <w:sz w:val="20"/>
                <w:szCs w:val="20"/>
              </w:rPr>
            </w:pPr>
            <w:r>
              <w:rPr>
                <w:rFonts w:hint="eastAsia" w:eastAsia="宋体"/>
                <w:sz w:val="20"/>
                <w:szCs w:val="20"/>
                <w:lang w:val="en-US" w:eastAsia="zh-CN"/>
              </w:rPr>
              <w:t>...</w:t>
            </w:r>
          </w:p>
        </w:tc>
        <w:tc>
          <w:tcPr>
            <w:tcW w:w="993" w:type="dxa"/>
            <w:tcBorders>
              <w:bottom w:val="single" w:color="000000" w:sz="10" w:space="0"/>
            </w:tcBorders>
            <w:vAlign w:val="center"/>
          </w:tcPr>
          <w:p w14:paraId="65435ABF">
            <w:pPr>
              <w:pStyle w:val="7"/>
              <w:jc w:val="center"/>
              <w:rPr>
                <w:rFonts w:hint="default" w:eastAsia="宋体"/>
                <w:sz w:val="20"/>
                <w:szCs w:val="20"/>
                <w:lang w:val="en-US" w:eastAsia="zh-CN"/>
              </w:rPr>
            </w:pPr>
          </w:p>
        </w:tc>
        <w:tc>
          <w:tcPr>
            <w:tcW w:w="992" w:type="dxa"/>
            <w:tcBorders>
              <w:bottom w:val="single" w:color="000000" w:sz="10" w:space="0"/>
            </w:tcBorders>
            <w:vAlign w:val="center"/>
          </w:tcPr>
          <w:p w14:paraId="7BCFE8BB">
            <w:pPr>
              <w:pStyle w:val="7"/>
              <w:jc w:val="center"/>
              <w:rPr>
                <w:sz w:val="20"/>
                <w:szCs w:val="20"/>
              </w:rPr>
            </w:pPr>
          </w:p>
        </w:tc>
        <w:tc>
          <w:tcPr>
            <w:tcW w:w="850" w:type="dxa"/>
            <w:tcBorders>
              <w:bottom w:val="single" w:color="000000" w:sz="10" w:space="0"/>
            </w:tcBorders>
            <w:vAlign w:val="center"/>
          </w:tcPr>
          <w:p w14:paraId="4EB10A2E">
            <w:pPr>
              <w:pStyle w:val="7"/>
              <w:jc w:val="center"/>
              <w:rPr>
                <w:sz w:val="20"/>
                <w:szCs w:val="20"/>
              </w:rPr>
            </w:pPr>
          </w:p>
        </w:tc>
        <w:tc>
          <w:tcPr>
            <w:tcW w:w="1134" w:type="dxa"/>
            <w:tcBorders>
              <w:bottom w:val="single" w:color="000000" w:sz="10" w:space="0"/>
            </w:tcBorders>
            <w:vAlign w:val="center"/>
          </w:tcPr>
          <w:p w14:paraId="206C8091">
            <w:pPr>
              <w:pStyle w:val="7"/>
              <w:jc w:val="center"/>
              <w:rPr>
                <w:sz w:val="20"/>
                <w:szCs w:val="20"/>
              </w:rPr>
            </w:pPr>
          </w:p>
        </w:tc>
        <w:tc>
          <w:tcPr>
            <w:tcW w:w="993" w:type="dxa"/>
            <w:tcBorders>
              <w:bottom w:val="single" w:color="000000" w:sz="10" w:space="0"/>
            </w:tcBorders>
            <w:vAlign w:val="center"/>
          </w:tcPr>
          <w:p w14:paraId="5EB59745">
            <w:pPr>
              <w:pStyle w:val="7"/>
              <w:jc w:val="center"/>
              <w:rPr>
                <w:sz w:val="20"/>
                <w:szCs w:val="20"/>
              </w:rPr>
            </w:pPr>
          </w:p>
        </w:tc>
        <w:tc>
          <w:tcPr>
            <w:tcW w:w="1275" w:type="dxa"/>
            <w:tcBorders>
              <w:bottom w:val="single" w:color="000000" w:sz="10" w:space="0"/>
            </w:tcBorders>
            <w:vAlign w:val="center"/>
          </w:tcPr>
          <w:p w14:paraId="71892D5E">
            <w:pPr>
              <w:pStyle w:val="7"/>
              <w:jc w:val="center"/>
              <w:rPr>
                <w:sz w:val="20"/>
                <w:szCs w:val="20"/>
              </w:rPr>
            </w:pPr>
          </w:p>
        </w:tc>
        <w:tc>
          <w:tcPr>
            <w:tcW w:w="1843" w:type="dxa"/>
            <w:tcBorders>
              <w:bottom w:val="single" w:color="000000" w:sz="10" w:space="0"/>
              <w:right w:val="single" w:color="000000" w:sz="10" w:space="0"/>
            </w:tcBorders>
            <w:vAlign w:val="center"/>
          </w:tcPr>
          <w:p w14:paraId="44E16C58">
            <w:pPr>
              <w:spacing w:before="284" w:line="228" w:lineRule="auto"/>
              <w:jc w:val="center"/>
              <w:rPr>
                <w:rFonts w:ascii="宋体" w:hAnsi="宋体" w:eastAsia="宋体" w:cs="宋体"/>
                <w:sz w:val="20"/>
                <w:szCs w:val="20"/>
              </w:rPr>
            </w:pPr>
          </w:p>
        </w:tc>
      </w:tr>
    </w:tbl>
    <w:p w14:paraId="7CA01027">
      <w:pPr>
        <w:keepNext w:val="0"/>
        <w:keepLines w:val="0"/>
        <w:pageBreakBefore w:val="0"/>
        <w:widowControl/>
        <w:kinsoku w:val="0"/>
        <w:wordWrap/>
        <w:overflowPunct/>
        <w:topLinePunct w:val="0"/>
        <w:autoSpaceDE w:val="0"/>
        <w:autoSpaceDN w:val="0"/>
        <w:bidi w:val="0"/>
        <w:adjustRightInd w:val="0"/>
        <w:snapToGrid w:val="0"/>
        <w:spacing w:before="0" w:beforeLines="100" w:line="240" w:lineRule="auto"/>
        <w:ind w:right="0"/>
        <w:textAlignment w:val="baseline"/>
        <w:rPr>
          <w:rFonts w:ascii="宋体" w:hAnsi="宋体" w:eastAsia="宋体" w:cs="宋体"/>
          <w:b/>
          <w:bCs/>
          <w:spacing w:val="8"/>
          <w:sz w:val="20"/>
          <w:szCs w:val="20"/>
          <w:lang w:eastAsia="zh-CN"/>
        </w:rPr>
      </w:pPr>
      <w:r>
        <w:rPr>
          <w:rFonts w:ascii="宋体" w:hAnsi="宋体" w:eastAsia="宋体" w:cs="宋体"/>
          <w:b/>
          <w:bCs/>
          <w:spacing w:val="8"/>
          <w:sz w:val="20"/>
          <w:szCs w:val="20"/>
          <w:lang w:eastAsia="zh-CN"/>
        </w:rPr>
        <w:t>【提供以上人员的相关证书；为证明拟派人</w:t>
      </w:r>
      <w:r>
        <w:rPr>
          <w:rFonts w:hint="eastAsia" w:ascii="宋体" w:hAnsi="宋体" w:eastAsia="宋体" w:cs="宋体"/>
          <w:b/>
          <w:bCs/>
          <w:spacing w:val="8"/>
          <w:sz w:val="20"/>
          <w:szCs w:val="20"/>
          <w:lang w:val="en-US" w:eastAsia="zh-CN"/>
        </w:rPr>
        <w:t>员</w:t>
      </w:r>
      <w:bookmarkStart w:id="0" w:name="_GoBack"/>
      <w:bookmarkEnd w:id="0"/>
      <w:r>
        <w:rPr>
          <w:rFonts w:ascii="宋体" w:hAnsi="宋体" w:eastAsia="宋体" w:cs="宋体"/>
          <w:b/>
          <w:bCs/>
          <w:spacing w:val="8"/>
          <w:sz w:val="20"/>
          <w:szCs w:val="20"/>
          <w:lang w:eastAsia="zh-CN"/>
        </w:rPr>
        <w:t>为</w:t>
      </w:r>
      <w:r>
        <w:rPr>
          <w:rFonts w:hint="eastAsia" w:ascii="宋体" w:hAnsi="宋体" w:eastAsia="宋体" w:cs="宋体"/>
          <w:b/>
          <w:bCs/>
          <w:spacing w:val="8"/>
          <w:sz w:val="20"/>
          <w:szCs w:val="20"/>
          <w:lang w:eastAsia="zh-CN"/>
        </w:rPr>
        <w:t>供应商</w:t>
      </w:r>
      <w:r>
        <w:rPr>
          <w:rFonts w:ascii="宋体" w:hAnsi="宋体" w:eastAsia="宋体" w:cs="宋体"/>
          <w:b/>
          <w:bCs/>
          <w:spacing w:val="8"/>
          <w:sz w:val="20"/>
          <w:szCs w:val="20"/>
          <w:lang w:eastAsia="zh-CN"/>
        </w:rPr>
        <w:t>员工，</w:t>
      </w:r>
      <w:r>
        <w:rPr>
          <w:rFonts w:hint="eastAsia" w:ascii="宋体" w:hAnsi="宋体" w:eastAsia="宋体" w:cs="宋体"/>
          <w:b/>
          <w:bCs/>
          <w:spacing w:val="8"/>
          <w:sz w:val="20"/>
          <w:szCs w:val="20"/>
          <w:lang w:eastAsia="zh-CN"/>
        </w:rPr>
        <w:t>拟投入主要人员的社保证明，应为供应商为其缴纳的近半年内任意连续三个月的社保证明复印件，若供应商成立时间不足1个月的应提供《社保声明函》（格式自拟）代替社保证明（成立时间以营业执照注册时间为准）。退休人员可提供退休证及返聘合同，并加盖供应商公章</w:t>
      </w:r>
      <w:r>
        <w:rPr>
          <w:rFonts w:ascii="宋体" w:hAnsi="宋体" w:eastAsia="宋体" w:cs="宋体"/>
          <w:b/>
          <w:bCs/>
          <w:spacing w:val="8"/>
          <w:sz w:val="20"/>
          <w:szCs w:val="20"/>
          <w:lang w:eastAsia="zh-CN"/>
        </w:rPr>
        <w:t>】</w:t>
      </w:r>
    </w:p>
    <w:p w14:paraId="1C4DF990">
      <w:pPr>
        <w:keepNext w:val="0"/>
        <w:keepLines w:val="0"/>
        <w:pageBreakBefore w:val="0"/>
        <w:widowControl/>
        <w:kinsoku w:val="0"/>
        <w:wordWrap/>
        <w:overflowPunct/>
        <w:topLinePunct w:val="0"/>
        <w:autoSpaceDE w:val="0"/>
        <w:autoSpaceDN w:val="0"/>
        <w:bidi w:val="0"/>
        <w:adjustRightInd w:val="0"/>
        <w:snapToGrid w:val="0"/>
        <w:spacing w:before="136" w:line="312" w:lineRule="auto"/>
        <w:ind w:right="16"/>
        <w:jc w:val="both"/>
        <w:textAlignment w:val="baseline"/>
        <w:rPr>
          <w:rFonts w:ascii="宋体" w:hAnsi="宋体" w:eastAsia="宋体" w:cs="宋体"/>
          <w:sz w:val="20"/>
          <w:szCs w:val="20"/>
        </w:rPr>
        <w:sectPr>
          <w:pgSz w:w="11900" w:h="16840"/>
          <w:pgMar w:top="907" w:right="1701" w:bottom="907" w:left="1701" w:header="0" w:footer="0" w:gutter="0"/>
          <w:cols w:space="720" w:num="1"/>
        </w:sectPr>
      </w:pPr>
    </w:p>
    <w:p w14:paraId="12316B45">
      <w:pPr>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十三、近三年同类规模业绩相关证明文件</w:t>
      </w:r>
    </w:p>
    <w:p w14:paraId="1D14C0F7">
      <w:pPr>
        <w:rPr>
          <w:rFonts w:ascii="宋体" w:hAnsi="宋体" w:eastAsia="宋体" w:cs="宋体"/>
          <w:b/>
          <w:bCs/>
          <w:spacing w:val="7"/>
          <w:sz w:val="20"/>
          <w:szCs w:val="20"/>
          <w:lang w:eastAsia="zh-CN"/>
        </w:rPr>
      </w:pPr>
    </w:p>
    <w:p w14:paraId="2CD238D2">
      <w:pPr>
        <w:rPr>
          <w:rFonts w:ascii="宋体" w:hAnsi="宋体" w:eastAsia="宋体" w:cs="宋体"/>
          <w:b/>
          <w:bCs/>
          <w:spacing w:val="7"/>
          <w:sz w:val="20"/>
          <w:szCs w:val="20"/>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after="0" w:afterLines="50"/>
        <w:jc w:val="center"/>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业绩一览表</w:t>
      </w:r>
    </w:p>
    <w:tbl>
      <w:tblPr>
        <w:tblStyle w:val="6"/>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vAlign w:val="center"/>
          </w:tcPr>
          <w:p w14:paraId="5DB9777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序号</w:t>
            </w:r>
          </w:p>
        </w:tc>
        <w:tc>
          <w:tcPr>
            <w:tcW w:w="1854" w:type="dxa"/>
            <w:tcBorders>
              <w:top w:val="single" w:color="000000" w:sz="2" w:space="0"/>
            </w:tcBorders>
            <w:shd w:val="clear" w:color="auto" w:fill="E0E0E0"/>
            <w:vAlign w:val="center"/>
          </w:tcPr>
          <w:p w14:paraId="36A33F9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项目名称</w:t>
            </w:r>
          </w:p>
        </w:tc>
        <w:tc>
          <w:tcPr>
            <w:tcW w:w="1986" w:type="dxa"/>
            <w:tcBorders>
              <w:top w:val="single" w:color="000000" w:sz="2" w:space="0"/>
            </w:tcBorders>
            <w:shd w:val="clear" w:color="auto" w:fill="E0E0E0"/>
            <w:vAlign w:val="center"/>
          </w:tcPr>
          <w:p w14:paraId="0DF3CBF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项目地址</w:t>
            </w:r>
          </w:p>
        </w:tc>
        <w:tc>
          <w:tcPr>
            <w:tcW w:w="1722" w:type="dxa"/>
            <w:tcBorders>
              <w:top w:val="single" w:color="000000" w:sz="2" w:space="0"/>
            </w:tcBorders>
            <w:shd w:val="clear" w:color="auto" w:fill="E0E0E0"/>
            <w:vAlign w:val="center"/>
          </w:tcPr>
          <w:p w14:paraId="15EC4D6E">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合同内容</w:t>
            </w:r>
          </w:p>
        </w:tc>
        <w:tc>
          <w:tcPr>
            <w:tcW w:w="1191" w:type="dxa"/>
            <w:tcBorders>
              <w:top w:val="single" w:color="000000" w:sz="2" w:space="0"/>
            </w:tcBorders>
            <w:shd w:val="clear" w:color="auto" w:fill="E0E0E0"/>
            <w:vAlign w:val="center"/>
          </w:tcPr>
          <w:p w14:paraId="302CE52B">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合同总价</w:t>
            </w:r>
          </w:p>
        </w:tc>
        <w:tc>
          <w:tcPr>
            <w:tcW w:w="1471" w:type="dxa"/>
            <w:tcBorders>
              <w:top w:val="single" w:color="000000" w:sz="2" w:space="0"/>
              <w:right w:val="single" w:color="000000" w:sz="2" w:space="0"/>
            </w:tcBorders>
            <w:shd w:val="clear" w:color="auto" w:fill="E0E0E0"/>
            <w:vAlign w:val="center"/>
          </w:tcPr>
          <w:p w14:paraId="0D1B947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rPr>
                <w:rFonts w:ascii="宋体" w:hAnsi="宋体" w:eastAsia="宋体" w:cs="宋体"/>
                <w:b/>
                <w:bCs/>
                <w:spacing w:val="7"/>
                <w:sz w:val="20"/>
                <w:szCs w:val="20"/>
                <w:lang w:eastAsia="zh-CN"/>
              </w:rPr>
            </w:pPr>
          </w:p>
        </w:tc>
        <w:tc>
          <w:tcPr>
            <w:tcW w:w="1854" w:type="dxa"/>
          </w:tcPr>
          <w:p w14:paraId="43601105">
            <w:pPr>
              <w:rPr>
                <w:rFonts w:ascii="宋体" w:hAnsi="宋体" w:eastAsia="宋体" w:cs="宋体"/>
                <w:b/>
                <w:bCs/>
                <w:spacing w:val="7"/>
                <w:sz w:val="20"/>
                <w:szCs w:val="20"/>
                <w:lang w:eastAsia="zh-CN"/>
              </w:rPr>
            </w:pPr>
          </w:p>
        </w:tc>
        <w:tc>
          <w:tcPr>
            <w:tcW w:w="1986" w:type="dxa"/>
          </w:tcPr>
          <w:p w14:paraId="6311272B">
            <w:pPr>
              <w:rPr>
                <w:rFonts w:ascii="宋体" w:hAnsi="宋体" w:eastAsia="宋体" w:cs="宋体"/>
                <w:b/>
                <w:bCs/>
                <w:spacing w:val="7"/>
                <w:sz w:val="20"/>
                <w:szCs w:val="20"/>
                <w:lang w:eastAsia="zh-CN"/>
              </w:rPr>
            </w:pPr>
          </w:p>
        </w:tc>
        <w:tc>
          <w:tcPr>
            <w:tcW w:w="1722" w:type="dxa"/>
          </w:tcPr>
          <w:p w14:paraId="3768DC7F">
            <w:pPr>
              <w:rPr>
                <w:rFonts w:ascii="宋体" w:hAnsi="宋体" w:eastAsia="宋体" w:cs="宋体"/>
                <w:b/>
                <w:bCs/>
                <w:spacing w:val="7"/>
                <w:sz w:val="20"/>
                <w:szCs w:val="20"/>
                <w:lang w:eastAsia="zh-CN"/>
              </w:rPr>
            </w:pPr>
          </w:p>
        </w:tc>
        <w:tc>
          <w:tcPr>
            <w:tcW w:w="1191" w:type="dxa"/>
          </w:tcPr>
          <w:p w14:paraId="2305DC57">
            <w:pPr>
              <w:rPr>
                <w:rFonts w:ascii="宋体" w:hAnsi="宋体" w:eastAsia="宋体" w:cs="宋体"/>
                <w:b/>
                <w:bCs/>
                <w:spacing w:val="7"/>
                <w:sz w:val="20"/>
                <w:szCs w:val="20"/>
                <w:lang w:eastAsia="zh-CN"/>
              </w:rPr>
            </w:pPr>
          </w:p>
        </w:tc>
        <w:tc>
          <w:tcPr>
            <w:tcW w:w="1471" w:type="dxa"/>
            <w:tcBorders>
              <w:right w:val="single" w:color="000000" w:sz="2" w:space="0"/>
            </w:tcBorders>
          </w:tcPr>
          <w:p w14:paraId="1DC4DC5D">
            <w:pPr>
              <w:rPr>
                <w:rFonts w:ascii="宋体" w:hAnsi="宋体" w:eastAsia="宋体" w:cs="宋体"/>
                <w:b/>
                <w:bCs/>
                <w:spacing w:val="7"/>
                <w:sz w:val="20"/>
                <w:szCs w:val="20"/>
                <w:lang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rPr>
                <w:rFonts w:ascii="宋体" w:hAnsi="宋体" w:eastAsia="宋体" w:cs="宋体"/>
                <w:b/>
                <w:bCs/>
                <w:spacing w:val="7"/>
                <w:sz w:val="20"/>
                <w:szCs w:val="20"/>
                <w:lang w:eastAsia="zh-CN"/>
              </w:rPr>
            </w:pPr>
          </w:p>
        </w:tc>
        <w:tc>
          <w:tcPr>
            <w:tcW w:w="1854" w:type="dxa"/>
          </w:tcPr>
          <w:p w14:paraId="26C3F9DC">
            <w:pPr>
              <w:rPr>
                <w:rFonts w:ascii="宋体" w:hAnsi="宋体" w:eastAsia="宋体" w:cs="宋体"/>
                <w:b/>
                <w:bCs/>
                <w:spacing w:val="7"/>
                <w:sz w:val="20"/>
                <w:szCs w:val="20"/>
                <w:lang w:eastAsia="zh-CN"/>
              </w:rPr>
            </w:pPr>
          </w:p>
        </w:tc>
        <w:tc>
          <w:tcPr>
            <w:tcW w:w="1986" w:type="dxa"/>
          </w:tcPr>
          <w:p w14:paraId="0C8FC5A6">
            <w:pPr>
              <w:rPr>
                <w:rFonts w:ascii="宋体" w:hAnsi="宋体" w:eastAsia="宋体" w:cs="宋体"/>
                <w:b/>
                <w:bCs/>
                <w:spacing w:val="7"/>
                <w:sz w:val="20"/>
                <w:szCs w:val="20"/>
                <w:lang w:eastAsia="zh-CN"/>
              </w:rPr>
            </w:pPr>
          </w:p>
        </w:tc>
        <w:tc>
          <w:tcPr>
            <w:tcW w:w="1722" w:type="dxa"/>
          </w:tcPr>
          <w:p w14:paraId="036176B2">
            <w:pPr>
              <w:rPr>
                <w:rFonts w:ascii="宋体" w:hAnsi="宋体" w:eastAsia="宋体" w:cs="宋体"/>
                <w:b/>
                <w:bCs/>
                <w:spacing w:val="7"/>
                <w:sz w:val="20"/>
                <w:szCs w:val="20"/>
                <w:lang w:eastAsia="zh-CN"/>
              </w:rPr>
            </w:pPr>
          </w:p>
        </w:tc>
        <w:tc>
          <w:tcPr>
            <w:tcW w:w="1191" w:type="dxa"/>
          </w:tcPr>
          <w:p w14:paraId="69BDA775">
            <w:pPr>
              <w:rPr>
                <w:rFonts w:ascii="宋体" w:hAnsi="宋体" w:eastAsia="宋体" w:cs="宋体"/>
                <w:b/>
                <w:bCs/>
                <w:spacing w:val="7"/>
                <w:sz w:val="20"/>
                <w:szCs w:val="20"/>
                <w:lang w:eastAsia="zh-CN"/>
              </w:rPr>
            </w:pPr>
          </w:p>
        </w:tc>
        <w:tc>
          <w:tcPr>
            <w:tcW w:w="1471" w:type="dxa"/>
            <w:tcBorders>
              <w:right w:val="single" w:color="000000" w:sz="2" w:space="0"/>
            </w:tcBorders>
          </w:tcPr>
          <w:p w14:paraId="74EE419A">
            <w:pPr>
              <w:rPr>
                <w:rFonts w:ascii="宋体" w:hAnsi="宋体" w:eastAsia="宋体" w:cs="宋体"/>
                <w:b/>
                <w:bCs/>
                <w:spacing w:val="7"/>
                <w:sz w:val="20"/>
                <w:szCs w:val="20"/>
                <w:lang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rPr>
                <w:rFonts w:ascii="宋体" w:hAnsi="宋体" w:eastAsia="宋体" w:cs="宋体"/>
                <w:b/>
                <w:bCs/>
                <w:spacing w:val="7"/>
                <w:sz w:val="20"/>
                <w:szCs w:val="20"/>
                <w:lang w:eastAsia="zh-CN"/>
              </w:rPr>
            </w:pPr>
          </w:p>
        </w:tc>
        <w:tc>
          <w:tcPr>
            <w:tcW w:w="1854" w:type="dxa"/>
            <w:tcBorders>
              <w:bottom w:val="single" w:color="000000" w:sz="2" w:space="0"/>
            </w:tcBorders>
          </w:tcPr>
          <w:p w14:paraId="40B04108">
            <w:pPr>
              <w:rPr>
                <w:rFonts w:ascii="宋体" w:hAnsi="宋体" w:eastAsia="宋体" w:cs="宋体"/>
                <w:b/>
                <w:bCs/>
                <w:spacing w:val="7"/>
                <w:sz w:val="20"/>
                <w:szCs w:val="20"/>
                <w:lang w:eastAsia="zh-CN"/>
              </w:rPr>
            </w:pPr>
          </w:p>
        </w:tc>
        <w:tc>
          <w:tcPr>
            <w:tcW w:w="1986" w:type="dxa"/>
            <w:tcBorders>
              <w:bottom w:val="single" w:color="000000" w:sz="2" w:space="0"/>
            </w:tcBorders>
          </w:tcPr>
          <w:p w14:paraId="4C40CFD8">
            <w:pPr>
              <w:rPr>
                <w:rFonts w:ascii="宋体" w:hAnsi="宋体" w:eastAsia="宋体" w:cs="宋体"/>
                <w:b/>
                <w:bCs/>
                <w:spacing w:val="7"/>
                <w:sz w:val="20"/>
                <w:szCs w:val="20"/>
                <w:lang w:eastAsia="zh-CN"/>
              </w:rPr>
            </w:pPr>
          </w:p>
        </w:tc>
        <w:tc>
          <w:tcPr>
            <w:tcW w:w="1722" w:type="dxa"/>
            <w:tcBorders>
              <w:bottom w:val="single" w:color="000000" w:sz="2" w:space="0"/>
            </w:tcBorders>
          </w:tcPr>
          <w:p w14:paraId="4F595AE5">
            <w:pPr>
              <w:rPr>
                <w:rFonts w:ascii="宋体" w:hAnsi="宋体" w:eastAsia="宋体" w:cs="宋体"/>
                <w:b/>
                <w:bCs/>
                <w:spacing w:val="7"/>
                <w:sz w:val="20"/>
                <w:szCs w:val="20"/>
                <w:lang w:eastAsia="zh-CN"/>
              </w:rPr>
            </w:pPr>
          </w:p>
        </w:tc>
        <w:tc>
          <w:tcPr>
            <w:tcW w:w="1191" w:type="dxa"/>
            <w:tcBorders>
              <w:bottom w:val="single" w:color="000000" w:sz="2" w:space="0"/>
            </w:tcBorders>
          </w:tcPr>
          <w:p w14:paraId="7692FA63">
            <w:pPr>
              <w:rPr>
                <w:rFonts w:ascii="宋体" w:hAnsi="宋体" w:eastAsia="宋体" w:cs="宋体"/>
                <w:b/>
                <w:bCs/>
                <w:spacing w:val="7"/>
                <w:sz w:val="20"/>
                <w:szCs w:val="20"/>
                <w:lang w:eastAsia="zh-CN"/>
              </w:rPr>
            </w:pPr>
          </w:p>
        </w:tc>
        <w:tc>
          <w:tcPr>
            <w:tcW w:w="1471" w:type="dxa"/>
            <w:tcBorders>
              <w:bottom w:val="single" w:color="000000" w:sz="2" w:space="0"/>
              <w:right w:val="single" w:color="000000" w:sz="2" w:space="0"/>
            </w:tcBorders>
          </w:tcPr>
          <w:p w14:paraId="48AC055B">
            <w:pPr>
              <w:rPr>
                <w:rFonts w:ascii="宋体" w:hAnsi="宋体" w:eastAsia="宋体" w:cs="宋体"/>
                <w:b/>
                <w:bCs/>
                <w:spacing w:val="7"/>
                <w:sz w:val="20"/>
                <w:szCs w:val="20"/>
                <w:lang w:eastAsia="zh-CN"/>
              </w:rPr>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必须如实填写此表格。（此表可延长）</w:t>
      </w:r>
    </w:p>
    <w:p w14:paraId="724C4D81">
      <w:pPr>
        <w:rPr>
          <w:rFonts w:ascii="宋体" w:hAnsi="宋体" w:eastAsia="宋体" w:cs="宋体"/>
          <w:b/>
          <w:bCs/>
          <w:spacing w:val="7"/>
          <w:sz w:val="20"/>
          <w:szCs w:val="20"/>
          <w:lang w:eastAsia="zh-CN"/>
        </w:rPr>
      </w:pPr>
    </w:p>
    <w:p w14:paraId="0D453BE2">
      <w:pPr>
        <w:rPr>
          <w:rFonts w:ascii="宋体" w:hAnsi="宋体" w:eastAsia="宋体" w:cs="宋体"/>
          <w:b/>
          <w:bCs/>
          <w:spacing w:val="7"/>
          <w:sz w:val="20"/>
          <w:szCs w:val="20"/>
          <w:lang w:eastAsia="zh-CN"/>
        </w:rPr>
      </w:pPr>
    </w:p>
    <w:p w14:paraId="7263ABBE">
      <w:pPr>
        <w:rPr>
          <w:rFonts w:ascii="宋体" w:hAnsi="宋体" w:eastAsia="宋体" w:cs="宋体"/>
          <w:b/>
          <w:bCs/>
          <w:spacing w:val="7"/>
          <w:sz w:val="20"/>
          <w:szCs w:val="20"/>
          <w:lang w:eastAsia="zh-CN"/>
        </w:rPr>
      </w:pPr>
    </w:p>
    <w:p w14:paraId="1E0368E6">
      <w:pPr>
        <w:rPr>
          <w:rFonts w:ascii="宋体" w:hAnsi="宋体" w:eastAsia="宋体" w:cs="宋体"/>
          <w:b/>
          <w:bCs/>
          <w:spacing w:val="7"/>
          <w:sz w:val="20"/>
          <w:szCs w:val="20"/>
          <w:lang w:eastAsia="zh-CN"/>
        </w:rPr>
      </w:pPr>
    </w:p>
    <w:p w14:paraId="4F1157A5">
      <w:pPr>
        <w:rPr>
          <w:rFonts w:ascii="宋体" w:hAnsi="宋体" w:eastAsia="宋体" w:cs="宋体"/>
          <w:b/>
          <w:bCs/>
          <w:spacing w:val="7"/>
          <w:sz w:val="20"/>
          <w:szCs w:val="20"/>
          <w:lang w:eastAsia="zh-CN"/>
        </w:rPr>
      </w:pPr>
    </w:p>
    <w:p w14:paraId="66CFC844">
      <w:pPr>
        <w:rPr>
          <w:rFonts w:ascii="宋体" w:hAnsi="宋体" w:eastAsia="宋体" w:cs="宋体"/>
          <w:b/>
          <w:bCs/>
          <w:spacing w:val="7"/>
          <w:sz w:val="20"/>
          <w:szCs w:val="20"/>
          <w:lang w:eastAsia="zh-CN"/>
        </w:rPr>
      </w:pPr>
    </w:p>
    <w:p w14:paraId="480F5979">
      <w:pPr>
        <w:rPr>
          <w:rFonts w:ascii="宋体" w:hAnsi="宋体" w:eastAsia="宋体" w:cs="宋体"/>
          <w:b/>
          <w:bCs/>
          <w:spacing w:val="7"/>
          <w:sz w:val="20"/>
          <w:szCs w:val="20"/>
          <w:lang w:eastAsia="zh-CN"/>
        </w:rPr>
      </w:pPr>
    </w:p>
    <w:p w14:paraId="799DCC83">
      <w:pPr>
        <w:rPr>
          <w:rFonts w:ascii="宋体" w:hAnsi="宋体" w:eastAsia="宋体" w:cs="宋体"/>
          <w:b/>
          <w:bCs/>
          <w:spacing w:val="7"/>
          <w:sz w:val="20"/>
          <w:szCs w:val="20"/>
          <w:lang w:eastAsia="zh-CN"/>
        </w:rPr>
      </w:pPr>
    </w:p>
    <w:p w14:paraId="35A09637">
      <w:pPr>
        <w:rPr>
          <w:rFonts w:ascii="宋体" w:hAnsi="宋体" w:eastAsia="宋体" w:cs="宋体"/>
          <w:b/>
          <w:bCs/>
          <w:spacing w:val="7"/>
          <w:sz w:val="20"/>
          <w:szCs w:val="20"/>
          <w:lang w:eastAsia="zh-CN"/>
        </w:rPr>
      </w:pPr>
    </w:p>
    <w:p w14:paraId="3FCD7951">
      <w:pPr>
        <w:rPr>
          <w:rFonts w:ascii="宋体" w:hAnsi="宋体" w:eastAsia="宋体" w:cs="宋体"/>
          <w:b/>
          <w:bCs/>
          <w:spacing w:val="7"/>
          <w:sz w:val="20"/>
          <w:szCs w:val="20"/>
          <w:lang w:eastAsia="zh-CN"/>
        </w:rPr>
      </w:pPr>
    </w:p>
    <w:p w14:paraId="05D76151">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 xml:space="preserve">名称（盖章）：                          </w:t>
      </w:r>
    </w:p>
    <w:p w14:paraId="5B5A1280">
      <w:pPr>
        <w:rPr>
          <w:rFonts w:ascii="宋体" w:hAnsi="宋体" w:eastAsia="宋体" w:cs="宋体"/>
          <w:b/>
          <w:bCs/>
          <w:spacing w:val="7"/>
          <w:sz w:val="20"/>
          <w:szCs w:val="20"/>
          <w:lang w:eastAsia="zh-CN"/>
        </w:rPr>
      </w:pPr>
    </w:p>
    <w:p w14:paraId="73AB7F11">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 xml:space="preserve">法定代表人（或法定代表人授权代表）签字：                    </w:t>
      </w:r>
    </w:p>
    <w:p w14:paraId="3DBA88F9">
      <w:pPr>
        <w:rPr>
          <w:rFonts w:ascii="宋体" w:hAnsi="宋体" w:eastAsia="宋体" w:cs="宋体"/>
          <w:b/>
          <w:bCs/>
          <w:spacing w:val="7"/>
          <w:sz w:val="20"/>
          <w:szCs w:val="20"/>
          <w:lang w:eastAsia="zh-CN"/>
        </w:rPr>
      </w:pPr>
    </w:p>
    <w:p w14:paraId="505ED41D">
      <w:pP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日期：   年   月   日</w:t>
      </w:r>
    </w:p>
    <w:p w14:paraId="7B370B04">
      <w:pPr>
        <w:rPr>
          <w:rFonts w:ascii="宋体" w:hAnsi="宋体" w:eastAsia="宋体" w:cs="宋体"/>
          <w:b/>
          <w:bCs/>
          <w:spacing w:val="7"/>
          <w:sz w:val="20"/>
          <w:szCs w:val="20"/>
          <w:lang w:eastAsia="zh-CN"/>
        </w:rPr>
        <w:sectPr>
          <w:pgSz w:w="11900" w:h="16840"/>
          <w:pgMar w:top="907" w:right="1701" w:bottom="907" w:left="1701" w:header="0" w:footer="0" w:gutter="0"/>
          <w:cols w:space="720" w:num="1"/>
        </w:sectPr>
      </w:pPr>
    </w:p>
    <w:p w14:paraId="1AD104C4">
      <w:pPr>
        <w:jc w:val="lef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四</w:t>
      </w:r>
      <w:r>
        <w:rPr>
          <w:rFonts w:ascii="宋体" w:hAnsi="宋体" w:eastAsia="宋体" w:cs="宋体"/>
          <w:b/>
          <w:bCs/>
          <w:spacing w:val="7"/>
          <w:sz w:val="20"/>
          <w:szCs w:val="20"/>
          <w:lang w:eastAsia="zh-CN"/>
        </w:rPr>
        <w:t>、采购需求偏离表</w:t>
      </w:r>
    </w:p>
    <w:p w14:paraId="386C1CA0">
      <w:pPr>
        <w:jc w:val="center"/>
        <w:rPr>
          <w:rFonts w:ascii="宋体" w:hAnsi="宋体" w:eastAsia="宋体" w:cs="宋体"/>
          <w:b/>
          <w:bCs/>
          <w:spacing w:val="7"/>
          <w:sz w:val="20"/>
          <w:szCs w:val="20"/>
          <w:lang w:eastAsia="zh-CN"/>
        </w:rPr>
      </w:pPr>
    </w:p>
    <w:p w14:paraId="62353373">
      <w:pPr>
        <w:keepNext w:val="0"/>
        <w:keepLines w:val="0"/>
        <w:pageBreakBefore w:val="0"/>
        <w:widowControl/>
        <w:kinsoku w:val="0"/>
        <w:wordWrap/>
        <w:overflowPunct/>
        <w:topLinePunct w:val="0"/>
        <w:autoSpaceDE w:val="0"/>
        <w:autoSpaceDN w:val="0"/>
        <w:bidi w:val="0"/>
        <w:adjustRightInd w:val="0"/>
        <w:snapToGrid w:val="0"/>
        <w:spacing w:after="157" w:afterLines="50" w:line="240" w:lineRule="auto"/>
        <w:jc w:val="center"/>
        <w:textAlignment w:val="baseline"/>
        <w:rPr>
          <w:rFonts w:ascii="宋体" w:hAnsi="宋体" w:eastAsia="宋体" w:cs="宋体"/>
          <w:b w:val="0"/>
          <w:bCs w:val="0"/>
          <w:spacing w:val="7"/>
          <w:sz w:val="20"/>
          <w:szCs w:val="20"/>
          <w:lang w:eastAsia="zh-CN"/>
        </w:rPr>
      </w:pPr>
      <w:r>
        <w:rPr>
          <w:rFonts w:ascii="宋体" w:hAnsi="宋体" w:eastAsia="宋体" w:cs="宋体"/>
          <w:b/>
          <w:bCs/>
          <w:spacing w:val="7"/>
          <w:sz w:val="28"/>
          <w:szCs w:val="28"/>
          <w:lang w:eastAsia="zh-CN"/>
        </w:rPr>
        <w:t>偏离表</w:t>
      </w:r>
    </w:p>
    <w:p w14:paraId="65E86C6A">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1 、请按采购需求的要求逐条响应，正负偏离参数请备注说明。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2 、其中带★的参数是必须完全响应的参数。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3 、所投</w:t>
      </w:r>
      <w:r>
        <w:rPr>
          <w:rFonts w:hint="eastAsia" w:ascii="宋体" w:hAnsi="宋体" w:eastAsia="宋体" w:cs="宋体"/>
          <w:b w:val="0"/>
          <w:bCs w:val="0"/>
          <w:spacing w:val="7"/>
          <w:sz w:val="20"/>
          <w:szCs w:val="20"/>
          <w:lang w:eastAsia="zh-CN"/>
        </w:rPr>
        <w:t>服务</w:t>
      </w:r>
      <w:r>
        <w:rPr>
          <w:rFonts w:ascii="宋体" w:hAnsi="宋体" w:eastAsia="宋体" w:cs="宋体"/>
          <w:b w:val="0"/>
          <w:bCs w:val="0"/>
          <w:spacing w:val="7"/>
          <w:sz w:val="20"/>
          <w:szCs w:val="20"/>
          <w:lang w:eastAsia="zh-CN"/>
        </w:rPr>
        <w:t>的参数满足率≥90%方视为满足需求的合格</w:t>
      </w:r>
      <w:r>
        <w:rPr>
          <w:rFonts w:hint="eastAsia" w:ascii="宋体" w:hAnsi="宋体" w:eastAsia="宋体" w:cs="宋体"/>
          <w:b w:val="0"/>
          <w:bCs w:val="0"/>
          <w:spacing w:val="7"/>
          <w:sz w:val="20"/>
          <w:szCs w:val="20"/>
          <w:lang w:eastAsia="zh-CN"/>
        </w:rPr>
        <w:t>服务</w:t>
      </w:r>
      <w:r>
        <w:rPr>
          <w:rFonts w:ascii="宋体" w:hAnsi="宋体" w:eastAsia="宋体" w:cs="宋体"/>
          <w:b w:val="0"/>
          <w:bCs w:val="0"/>
          <w:spacing w:val="7"/>
          <w:sz w:val="20"/>
          <w:szCs w:val="20"/>
          <w:lang w:eastAsia="zh-CN"/>
        </w:rPr>
        <w:t>。</w:t>
      </w:r>
    </w:p>
    <w:p w14:paraId="1BEB5AA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20"/>
          <w:szCs w:val="20"/>
          <w:lang w:eastAsia="zh-CN"/>
        </w:rPr>
      </w:pPr>
    </w:p>
    <w:tbl>
      <w:tblPr>
        <w:tblStyle w:val="6"/>
        <w:tblW w:w="9699" w:type="dxa"/>
        <w:tblInd w:w="-4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74"/>
        <w:gridCol w:w="6445"/>
        <w:gridCol w:w="1440"/>
        <w:gridCol w:w="114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24" w:hRule="atLeast"/>
        </w:trPr>
        <w:tc>
          <w:tcPr>
            <w:tcW w:w="674" w:type="dxa"/>
            <w:vAlign w:val="center"/>
          </w:tcPr>
          <w:p w14:paraId="5BDB5DDC">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序号</w:t>
            </w:r>
          </w:p>
        </w:tc>
        <w:tc>
          <w:tcPr>
            <w:tcW w:w="6445" w:type="dxa"/>
            <w:vAlign w:val="center"/>
          </w:tcPr>
          <w:p w14:paraId="3674397B">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采购需求的要求</w:t>
            </w:r>
          </w:p>
        </w:tc>
        <w:tc>
          <w:tcPr>
            <w:tcW w:w="1440" w:type="dxa"/>
            <w:vAlign w:val="center"/>
          </w:tcPr>
          <w:p w14:paraId="0CA0F39F">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完全响应</w:t>
            </w:r>
          </w:p>
          <w:p w14:paraId="7215C25B">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或</w:t>
            </w:r>
          </w:p>
          <w:p w14:paraId="53D5C9DE">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正/负偏离</w:t>
            </w:r>
          </w:p>
        </w:tc>
        <w:tc>
          <w:tcPr>
            <w:tcW w:w="1140" w:type="dxa"/>
            <w:vAlign w:val="center"/>
          </w:tcPr>
          <w:p w14:paraId="393D5586">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偏离</w:t>
            </w:r>
          </w:p>
          <w:p w14:paraId="189B2D09">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74" w:type="dxa"/>
            <w:vAlign w:val="center"/>
          </w:tcPr>
          <w:p w14:paraId="65A6A3D8">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w:t>
            </w:r>
          </w:p>
        </w:tc>
        <w:tc>
          <w:tcPr>
            <w:tcW w:w="6445" w:type="dxa"/>
          </w:tcPr>
          <w:p w14:paraId="168F03E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一、项目概况</w:t>
            </w:r>
          </w:p>
          <w:p w14:paraId="026EF82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1.项目名称：</w:t>
            </w:r>
            <w:r>
              <w:rPr>
                <w:rFonts w:hint="eastAsia" w:ascii="宋体" w:hAnsi="宋体" w:eastAsia="宋体" w:cs="宋体"/>
                <w:b w:val="0"/>
                <w:bCs w:val="0"/>
                <w:spacing w:val="7"/>
                <w:sz w:val="18"/>
                <w:szCs w:val="18"/>
                <w:lang w:eastAsia="zh-CN"/>
              </w:rPr>
              <w:t>中山市东升医院拍卖代理服务项目</w:t>
            </w:r>
          </w:p>
          <w:p w14:paraId="707CF79D">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2.项目编号：FW-CW-CW-2026039</w:t>
            </w:r>
          </w:p>
          <w:p w14:paraId="6E8A4BD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3.项目内容：委托拍卖机构为中山市东升医院坦背院区固定资产提供拍卖代理服务。</w:t>
            </w:r>
          </w:p>
          <w:p w14:paraId="4964CEA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4.服务期限：自协议签订之日起，直至固定资产拍卖全流程完成为止。</w:t>
            </w:r>
          </w:p>
          <w:p w14:paraId="0A19FCD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5.服务范围：成交供应商须依据《中华人民共和国拍卖法》，为中山市东升医院坦背院区固定资产拍卖全流程提供服务，具体包括但不限于项目策划、文件编制、信息发布、材料审核、拍卖组织、签约、移交及档案管理等。</w:t>
            </w:r>
          </w:p>
          <w:p w14:paraId="53DB9E0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6.佣金费率标准：参照《中华人民共和国拍卖法》相关规定，佣金费率不超过成交价的5%，该佣金费用由买受人承担。</w:t>
            </w:r>
          </w:p>
        </w:tc>
        <w:tc>
          <w:tcPr>
            <w:tcW w:w="1440" w:type="dxa"/>
          </w:tcPr>
          <w:p w14:paraId="5B3B314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28582A3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74" w:type="dxa"/>
            <w:vAlign w:val="center"/>
          </w:tcPr>
          <w:p w14:paraId="2D18E0F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w:t>
            </w:r>
          </w:p>
        </w:tc>
        <w:tc>
          <w:tcPr>
            <w:tcW w:w="6445" w:type="dxa"/>
          </w:tcPr>
          <w:p w14:paraId="718F246B">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二、投标人资格条件</w:t>
            </w:r>
          </w:p>
          <w:p w14:paraId="1187817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1.具备独立承担民事责任的能力：应为在中华人民共和国境内注册的法人、其他组织或自然人，并于投标（响应）时提交有效的营业执照（拍卖行业）副本复印件及拍卖经营批准证书。</w:t>
            </w:r>
          </w:p>
          <w:p w14:paraId="2EA6D1F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2.具有依法缴纳税收和社会保障资金的良好记录：需提供投标截止日前6个月内任意1个月依法缴纳税收和社会保障资金的相关材料；若依法免税或无需缴纳社会保障资金，应提供相应证明材料。</w:t>
            </w:r>
          </w:p>
          <w:p w14:paraId="6557C4B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3.拥有良好的商业信誉及健全的财务会计制度：供应商须具备良好的商业信誉和健全的财务会计制度（提供202</w:t>
            </w:r>
            <w:r>
              <w:rPr>
                <w:rFonts w:hint="eastAsia" w:ascii="宋体" w:hAnsi="宋体" w:eastAsia="宋体" w:cs="宋体"/>
                <w:b w:val="0"/>
                <w:bCs w:val="0"/>
                <w:spacing w:val="7"/>
                <w:sz w:val="18"/>
                <w:szCs w:val="18"/>
                <w:lang w:val="en-US" w:eastAsia="zh-CN"/>
              </w:rPr>
              <w:t>5年度财务状况报告或基本开户行出具的资信证明）。</w:t>
            </w:r>
          </w:p>
          <w:p w14:paraId="1B43409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4.近2年内，在经营活动中无重大违法记录：重大违法记录是指供应商因违法经营受到刑事处罚，或被责令停产停业、吊销许可证或执照、处以较大数额罚款等行政处罚（较大数额罚款标准依照财库[2022]3号文规定执行）。（需提供加盖公章的承诺函，格式自拟)</w:t>
            </w:r>
          </w:p>
        </w:tc>
        <w:tc>
          <w:tcPr>
            <w:tcW w:w="1440" w:type="dxa"/>
          </w:tcPr>
          <w:p w14:paraId="11B334C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0566467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74" w:type="dxa"/>
            <w:vAlign w:val="center"/>
          </w:tcPr>
          <w:p w14:paraId="7A7E1C2D">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3</w:t>
            </w:r>
          </w:p>
        </w:tc>
        <w:tc>
          <w:tcPr>
            <w:tcW w:w="6445" w:type="dxa"/>
          </w:tcPr>
          <w:p w14:paraId="637FEDC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三、服务时间与费用说明</w:t>
            </w:r>
          </w:p>
          <w:p w14:paraId="7BB632E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1.服务时间：自协议签订之日起，至</w:t>
            </w:r>
            <w:r>
              <w:rPr>
                <w:rFonts w:hint="eastAsia" w:ascii="宋体" w:hAnsi="宋体" w:eastAsia="宋体" w:cs="宋体"/>
                <w:b w:val="0"/>
                <w:bCs w:val="0"/>
                <w:spacing w:val="7"/>
                <w:sz w:val="18"/>
                <w:szCs w:val="18"/>
                <w:lang w:val="en-US" w:eastAsia="zh-CN"/>
              </w:rPr>
              <w:t>固定资产拍卖全流程完成为止。</w:t>
            </w:r>
          </w:p>
          <w:p w14:paraId="28F191E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费用说明：若拍卖项目成交，拍卖机构可向买受人收取不超过拍卖成交价5%的佣金；若项目流拍次数在三次以内（含三次），拍卖机构不得收取任何服务费用；若流拍超过三次，拍卖机构可向委托人据实收取拍卖信息发布的成本费用。</w:t>
            </w:r>
          </w:p>
        </w:tc>
        <w:tc>
          <w:tcPr>
            <w:tcW w:w="1440" w:type="dxa"/>
          </w:tcPr>
          <w:p w14:paraId="6483D143">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774B4E9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74" w:type="dxa"/>
            <w:vAlign w:val="center"/>
          </w:tcPr>
          <w:p w14:paraId="66BBC161">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4</w:t>
            </w:r>
          </w:p>
        </w:tc>
        <w:tc>
          <w:tcPr>
            <w:tcW w:w="6445" w:type="dxa"/>
          </w:tcPr>
          <w:p w14:paraId="747F124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四、响应速度</w:t>
            </w:r>
          </w:p>
          <w:p w14:paraId="5604154D">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在接到项目委托并收到项目资料后的5个工作日内，完成拍卖公告等文件的编制工作；在收到项目质疑投诉后的3个工作日内，完成解决方案的提供及质疑投诉的答复。（需提供加盖公章的响应承诺函，格式自拟）</w:t>
            </w:r>
          </w:p>
        </w:tc>
        <w:tc>
          <w:tcPr>
            <w:tcW w:w="1440" w:type="dxa"/>
          </w:tcPr>
          <w:p w14:paraId="193D87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091A4CD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33EBF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74" w:type="dxa"/>
            <w:vAlign w:val="center"/>
          </w:tcPr>
          <w:p w14:paraId="42C7904E">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default"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5</w:t>
            </w:r>
          </w:p>
        </w:tc>
        <w:tc>
          <w:tcPr>
            <w:tcW w:w="6445" w:type="dxa"/>
          </w:tcPr>
          <w:p w14:paraId="6AF9C68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五、报价方式</w:t>
            </w:r>
          </w:p>
          <w:p w14:paraId="1DFAD799">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本项目佣金费率参照《中华人民共和国拍卖法》相关规定执行，最高不超过成交价款的5%；若报价超出此上限范围，该报价将被视为无效。本项目佣金费用由买受人承担。</w:t>
            </w:r>
          </w:p>
        </w:tc>
        <w:tc>
          <w:tcPr>
            <w:tcW w:w="1440" w:type="dxa"/>
          </w:tcPr>
          <w:p w14:paraId="2B3C829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2533807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31" w:hRule="atLeast"/>
        </w:trPr>
        <w:tc>
          <w:tcPr>
            <w:tcW w:w="674" w:type="dxa"/>
            <w:vAlign w:val="center"/>
          </w:tcPr>
          <w:p w14:paraId="7F4016B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6</w:t>
            </w:r>
          </w:p>
        </w:tc>
        <w:tc>
          <w:tcPr>
            <w:tcW w:w="6445" w:type="dxa"/>
          </w:tcPr>
          <w:p w14:paraId="60881928">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六、评审方式</w:t>
            </w:r>
          </w:p>
          <w:p w14:paraId="24D46C07">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本项目的评审采用综合评分法，（评分标准详见附件：中山市东升医院拍卖代理服务项目评分表）。先进行资格符合性评审，再进行商务、技术及价格的详细评审(商务技术评分：90分，价格评分：10分)，如果出现总分相同情形，以平台响应报名时间更早者为优先。</w:t>
            </w:r>
          </w:p>
        </w:tc>
        <w:tc>
          <w:tcPr>
            <w:tcW w:w="1440" w:type="dxa"/>
          </w:tcPr>
          <w:p w14:paraId="400EB20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4379F7B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bl>
    <w:p w14:paraId="5EFF081B">
      <w:pPr>
        <w:rPr>
          <w:rFonts w:ascii="宋体" w:hAnsi="宋体" w:eastAsia="宋体" w:cs="宋体"/>
          <w:b/>
          <w:bCs/>
          <w:spacing w:val="7"/>
          <w:sz w:val="20"/>
          <w:szCs w:val="20"/>
          <w:lang w:eastAsia="zh-CN"/>
        </w:rPr>
      </w:pPr>
    </w:p>
    <w:p w14:paraId="3447D6D1">
      <w:pP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br w:type="page"/>
      </w:r>
    </w:p>
    <w:p w14:paraId="37C98485">
      <w:pPr>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979436C">
      <w:pPr>
        <w:spacing w:before="60"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六、服务承诺函（格式自拟），包括但不限于承诺：①近2年内，在经营活动中无重大违法记录：重大违法记录是指供应商因违法经营受到刑事处罚，或被责令停产停业、吊销许可证或执照、处以较大数额罚款等行政处罚（较大数额罚款标准依照财库[2022]3号文规定执行）。②在接到项目委托并收到项目资料后的5个工作日内，完成拍卖公告等文件的编制工作；在收到项目质疑投诉后的3个工作日内，完成解决方案的提供及质疑投诉的答复。</w:t>
      </w:r>
    </w:p>
    <w:p w14:paraId="435ADD8F">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B55C4C2">
      <w:pPr>
        <w:spacing w:before="60"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供应商</w:t>
      </w:r>
      <w:r>
        <w:rPr>
          <w:rFonts w:ascii="宋体" w:hAnsi="宋体" w:eastAsia="宋体" w:cs="宋体"/>
          <w:b/>
          <w:bCs/>
          <w:spacing w:val="7"/>
          <w:sz w:val="20"/>
          <w:szCs w:val="20"/>
          <w:lang w:eastAsia="zh-CN"/>
        </w:rPr>
        <w:t>认为需要提供的其他材料（如无、可删）</w:t>
      </w:r>
    </w:p>
    <w:p w14:paraId="4AE5DF87">
      <w:pPr>
        <w:rPr>
          <w:lang w:eastAsia="zh-CN"/>
        </w:rPr>
      </w:pPr>
    </w:p>
    <w:sectPr>
      <w:pgSz w:w="11900" w:h="16840"/>
      <w:pgMar w:top="850" w:right="1417" w:bottom="850" w:left="1474"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B6237D"/>
    <w:rsid w:val="00DF1B45"/>
    <w:rsid w:val="01E26336"/>
    <w:rsid w:val="05D250F6"/>
    <w:rsid w:val="07DE22A7"/>
    <w:rsid w:val="0A382368"/>
    <w:rsid w:val="0CAF263C"/>
    <w:rsid w:val="0E9C78E3"/>
    <w:rsid w:val="132000EC"/>
    <w:rsid w:val="13666B31"/>
    <w:rsid w:val="162B211D"/>
    <w:rsid w:val="16DD5993"/>
    <w:rsid w:val="179235EA"/>
    <w:rsid w:val="1EA21FDF"/>
    <w:rsid w:val="23487B36"/>
    <w:rsid w:val="2695736E"/>
    <w:rsid w:val="26B446CD"/>
    <w:rsid w:val="2A2F24AE"/>
    <w:rsid w:val="3F26686A"/>
    <w:rsid w:val="40C03509"/>
    <w:rsid w:val="417C3CF6"/>
    <w:rsid w:val="4FC151B1"/>
    <w:rsid w:val="50573AD2"/>
    <w:rsid w:val="51566B4C"/>
    <w:rsid w:val="556A1102"/>
    <w:rsid w:val="58514D81"/>
    <w:rsid w:val="5AFC3F78"/>
    <w:rsid w:val="5E5E5F4E"/>
    <w:rsid w:val="62B81C54"/>
    <w:rsid w:val="642E04F7"/>
    <w:rsid w:val="6A7937A6"/>
    <w:rsid w:val="6C8F21FC"/>
    <w:rsid w:val="6D724552"/>
    <w:rsid w:val="6DE63CE5"/>
    <w:rsid w:val="6ECE2EB0"/>
    <w:rsid w:val="6EFF1B2A"/>
    <w:rsid w:val="73252077"/>
    <w:rsid w:val="74730CF0"/>
    <w:rsid w:val="75074AF2"/>
    <w:rsid w:val="7DC434F9"/>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style>
  <w:style w:type="paragraph" w:styleId="3">
    <w:name w:val="Normal (Web)"/>
    <w:basedOn w:val="1"/>
    <w:qFormat/>
    <w:uiPriority w:val="0"/>
    <w:pPr>
      <w:spacing w:before="100" w:beforeAutospacing="1" w:after="100" w:afterAutospacing="1"/>
    </w:pPr>
    <w:rPr>
      <w:rFonts w:cs="Times New Roman"/>
      <w:sz w:val="24"/>
      <w:lang w:eastAsia="zh-CN"/>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style>
  <w:style w:type="paragraph" w:customStyle="1" w:styleId="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4241</Words>
  <Characters>4398</Characters>
  <Lines>55</Lines>
  <Paragraphs>15</Paragraphs>
  <TotalTime>2</TotalTime>
  <ScaleCrop>false</ScaleCrop>
  <LinksUpToDate>false</LinksUpToDate>
  <CharactersWithSpaces>4770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2026-06-09T03:17:37Z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31999C2716284DC483EBD56CEEAE96FA_11</vt:lpwstr>
  </property>
  <property fmtid="{D5CDD505-2E9C-101B-9397-08002B2CF9AE}" pid="4" name="KSOTemplateDocerSaveRecord">
    <vt:lpwstr>eyJoZGlkIjoiZjMxODI1ZDk1NTM3ZThjZDIyMDM0N2Q4Njc3ODMwMjMiLCJ1c2VySWQiOiIyNjI5MDY5MzEifQ==</vt:lpwstr>
  </property>
</Properties>
</file>