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中山市东升医院血液透析设备计量检测服务项目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spacing w:before="229" w:line="378" w:lineRule="auto"/>
        <w:ind w:left="120" w:right="113" w:firstLine="421"/>
        <w:jc w:val="both"/>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06CE8DBD">
      <w:pPr>
        <w:spacing w:before="76"/>
      </w:pPr>
    </w:p>
    <w:tbl>
      <w:tblPr>
        <w:tblStyle w:val="9"/>
        <w:tblW w:w="85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87"/>
        <w:gridCol w:w="4035"/>
        <w:gridCol w:w="1898"/>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2587"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4035"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报价金额</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元</w:t>
            </w:r>
            <w:r>
              <w:rPr>
                <w:rFonts w:hint="eastAsia" w:ascii="宋体" w:hAnsi="宋体" w:eastAsia="宋体" w:cs="宋体"/>
                <w:b/>
                <w:bCs/>
                <w:spacing w:val="-8"/>
                <w:sz w:val="24"/>
                <w:szCs w:val="24"/>
                <w:lang w:eastAsia="zh-CN"/>
              </w:rPr>
              <w:t>）</w:t>
            </w:r>
          </w:p>
        </w:tc>
        <w:tc>
          <w:tcPr>
            <w:tcW w:w="1898"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jc w:val="center"/>
        </w:trPr>
        <w:tc>
          <w:tcPr>
            <w:tcW w:w="2587"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spacing w:val="2"/>
                <w:sz w:val="24"/>
                <w:szCs w:val="24"/>
                <w:lang w:val="en-US" w:eastAsia="zh-CN"/>
              </w:rPr>
              <w:t>中山市东升医院血液透析设备计量检测服务项目</w:t>
            </w:r>
          </w:p>
        </w:tc>
        <w:tc>
          <w:tcPr>
            <w:tcW w:w="4035" w:type="dxa"/>
            <w:vAlign w:val="center"/>
          </w:tcPr>
          <w:p w14:paraId="7DDAFCE5">
            <w:pPr>
              <w:keepNext w:val="0"/>
              <w:keepLines w:val="0"/>
              <w:pageBreakBefore w:val="0"/>
              <w:widowControl/>
              <w:tabs>
                <w:tab w:val="left" w:pos="1770"/>
              </w:tabs>
              <w:kinsoku w:val="0"/>
              <w:wordWrap/>
              <w:overflowPunct/>
              <w:topLinePunct w:val="0"/>
              <w:autoSpaceDE w:val="0"/>
              <w:autoSpaceDN w:val="0"/>
              <w:bidi w:val="0"/>
              <w:adjustRightInd w:val="0"/>
              <w:snapToGrid w:val="0"/>
              <w:spacing w:before="0" w:beforeLines="50"/>
              <w:jc w:val="center"/>
              <w:textAlignment w:val="baseline"/>
              <w:outlineLvl w:val="0"/>
              <w:rPr>
                <w:rFonts w:hint="default"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单价报价：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元/台</w:t>
            </w:r>
          </w:p>
          <w:p w14:paraId="71C96119">
            <w:pPr>
              <w:keepNext w:val="0"/>
              <w:keepLines w:val="0"/>
              <w:pageBreakBefore w:val="0"/>
              <w:widowControl/>
              <w:tabs>
                <w:tab w:val="left" w:pos="1770"/>
              </w:tabs>
              <w:kinsoku w:val="0"/>
              <w:wordWrap/>
              <w:overflowPunct/>
              <w:topLinePunct w:val="0"/>
              <w:autoSpaceDE w:val="0"/>
              <w:autoSpaceDN w:val="0"/>
              <w:bidi w:val="0"/>
              <w:adjustRightInd w:val="0"/>
              <w:snapToGrid w:val="0"/>
              <w:spacing w:before="0" w:beforeLines="100"/>
              <w:jc w:val="center"/>
              <w:textAlignment w:val="baseline"/>
              <w:outlineLvl w:val="0"/>
              <w:rPr>
                <w:rFonts w:hint="default"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总价报价：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tc>
        <w:tc>
          <w:tcPr>
            <w:tcW w:w="1898" w:type="dxa"/>
            <w:vAlign w:val="center"/>
          </w:tcPr>
          <w:p w14:paraId="417A2084">
            <w:pPr>
              <w:jc w:val="center"/>
              <w:rPr>
                <w:rFonts w:hint="default" w:eastAsia="宋体"/>
                <w:lang w:val="en-US" w:eastAsia="zh-CN"/>
              </w:rPr>
            </w:pPr>
          </w:p>
        </w:tc>
      </w:tr>
    </w:tbl>
    <w:p w14:paraId="0CFDB52E">
      <w:pPr>
        <w:pStyle w:val="3"/>
        <w:spacing w:line="371" w:lineRule="auto"/>
      </w:pPr>
    </w:p>
    <w:p w14:paraId="2E5522CF">
      <w:pPr>
        <w:pStyle w:val="3"/>
        <w:spacing w:line="371" w:lineRule="auto"/>
        <w:rPr>
          <w:sz w:val="22"/>
          <w:szCs w:val="22"/>
        </w:rPr>
      </w:pPr>
    </w:p>
    <w:p w14:paraId="1EFC8127">
      <w:pPr>
        <w:pStyle w:val="3"/>
        <w:spacing w:line="246" w:lineRule="auto"/>
        <w:rPr>
          <w:rFonts w:ascii="宋体" w:hAnsi="宋体" w:eastAsia="宋体" w:cs="宋体"/>
          <w:b/>
          <w:bCs/>
          <w:spacing w:val="7"/>
          <w:sz w:val="21"/>
          <w:szCs w:val="21"/>
          <w:lang w:eastAsia="zh-CN"/>
        </w:rPr>
      </w:pPr>
      <w:r>
        <w:rPr>
          <w:rFonts w:ascii="宋体" w:hAnsi="宋体" w:eastAsia="宋体" w:cs="宋体"/>
          <w:b/>
          <w:bCs/>
          <w:spacing w:val="7"/>
          <w:sz w:val="21"/>
          <w:szCs w:val="21"/>
          <w:lang w:eastAsia="zh-CN"/>
        </w:rPr>
        <w:t>注意：</w:t>
      </w:r>
    </w:p>
    <w:p w14:paraId="1C2318B3">
      <w:pPr>
        <w:pStyle w:val="3"/>
        <w:keepNext w:val="0"/>
        <w:keepLines w:val="0"/>
        <w:pageBreakBefore w:val="0"/>
        <w:widowControl/>
        <w:kinsoku w:val="0"/>
        <w:wordWrap/>
        <w:overflowPunct/>
        <w:topLinePunct w:val="0"/>
        <w:autoSpaceDE w:val="0"/>
        <w:autoSpaceDN w:val="0"/>
        <w:bidi w:val="0"/>
        <w:adjustRightInd w:val="0"/>
        <w:snapToGrid w:val="0"/>
        <w:spacing w:before="0" w:beforeLines="50" w:line="240" w:lineRule="exact"/>
        <w:textAlignment w:val="baseline"/>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 项目预算：3600元（含税价）。单价最高限价300元/台，服务商报价不得超过预算金额。</w:t>
      </w:r>
    </w:p>
    <w:p w14:paraId="7B943DDD">
      <w:pPr>
        <w:pStyle w:val="3"/>
        <w:keepNext w:val="0"/>
        <w:keepLines w:val="0"/>
        <w:pageBreakBefore w:val="0"/>
        <w:widowControl/>
        <w:kinsoku w:val="0"/>
        <w:wordWrap/>
        <w:overflowPunct/>
        <w:topLinePunct w:val="0"/>
        <w:autoSpaceDE w:val="0"/>
        <w:autoSpaceDN w:val="0"/>
        <w:bidi w:val="0"/>
        <w:adjustRightInd w:val="0"/>
        <w:snapToGrid w:val="0"/>
        <w:spacing w:before="0" w:beforeLines="50" w:line="240" w:lineRule="exact"/>
        <w:textAlignment w:val="baseline"/>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2. 检测数量：12台血液透析设备的计量检测服务，其中血透机8台，血滤机4台。</w:t>
      </w:r>
    </w:p>
    <w:p w14:paraId="443346DB">
      <w:pPr>
        <w:spacing w:before="79" w:line="219" w:lineRule="auto"/>
        <w:ind w:left="122"/>
        <w:rPr>
          <w:rFonts w:ascii="宋体" w:hAnsi="宋体" w:eastAsia="宋体" w:cs="宋体"/>
          <w:spacing w:val="2"/>
          <w:sz w:val="24"/>
          <w:szCs w:val="24"/>
          <w:lang w:eastAsia="zh-CN"/>
        </w:rPr>
      </w:pPr>
    </w:p>
    <w:p w14:paraId="7FE1AE2A">
      <w:pPr>
        <w:spacing w:before="79" w:line="219" w:lineRule="auto"/>
        <w:ind w:left="122"/>
        <w:rPr>
          <w:rFonts w:ascii="宋体" w:hAnsi="宋体" w:eastAsia="宋体" w:cs="宋体"/>
          <w:spacing w:val="2"/>
          <w:sz w:val="24"/>
          <w:szCs w:val="24"/>
          <w:lang w:eastAsia="zh-CN"/>
        </w:rPr>
      </w:pPr>
    </w:p>
    <w:p w14:paraId="6B7B6E8C">
      <w:pPr>
        <w:spacing w:before="79" w:line="219" w:lineRule="auto"/>
        <w:ind w:left="122"/>
        <w:rPr>
          <w:rFonts w:ascii="宋体" w:hAnsi="宋体" w:eastAsia="宋体" w:cs="宋体"/>
          <w:spacing w:val="2"/>
          <w:sz w:val="24"/>
          <w:szCs w:val="24"/>
          <w:lang w:eastAsia="zh-CN"/>
        </w:rPr>
      </w:pPr>
    </w:p>
    <w:p w14:paraId="5F66F77B">
      <w:pPr>
        <w:spacing w:before="79" w:line="219" w:lineRule="auto"/>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服务商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keepNext w:val="0"/>
        <w:keepLines w:val="0"/>
        <w:pageBreakBefore w:val="0"/>
        <w:widowControl/>
        <w:kinsoku w:val="0"/>
        <w:wordWrap/>
        <w:overflowPunct/>
        <w:topLinePunct w:val="0"/>
        <w:autoSpaceDE w:val="0"/>
        <w:autoSpaceDN w:val="0"/>
        <w:bidi w:val="0"/>
        <w:adjustRightInd w:val="0"/>
        <w:snapToGrid w:val="0"/>
        <w:spacing w:before="184" w:line="324" w:lineRule="auto"/>
        <w:ind w:left="23" w:firstLine="480" w:firstLineChars="200"/>
        <w:textAlignment w:val="baseline"/>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中山市东升医院血液透析设备计量检测服务项目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服务商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4858F39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val="en-US" w:eastAsia="zh-CN"/>
        </w:rPr>
        <w:t>相关经营范围的营业执照</w:t>
      </w:r>
      <w:r>
        <w:rPr>
          <w:rFonts w:hint="eastAsia" w:ascii="宋体" w:hAnsi="宋体" w:eastAsia="宋体" w:cs="宋体"/>
          <w:b/>
          <w:bCs/>
          <w:spacing w:val="7"/>
          <w:sz w:val="20"/>
          <w:szCs w:val="20"/>
          <w:lang w:eastAsia="zh-CN"/>
        </w:rPr>
        <w:t>；</w:t>
      </w: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服务商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1DA97DB8">
      <w:pPr>
        <w:spacing w:before="41" w:line="378" w:lineRule="auto"/>
        <w:ind w:right="18"/>
        <w:rPr>
          <w:rFonts w:hint="default" w:ascii="宋体" w:hAnsi="宋体" w:eastAsia="宋体" w:cs="宋体"/>
          <w:sz w:val="20"/>
          <w:szCs w:val="20"/>
          <w:lang w:val="en-US" w:eastAsia="zh-CN"/>
        </w:rPr>
      </w:pPr>
      <w:r>
        <w:rPr>
          <w:rFonts w:hint="eastAsia" w:ascii="宋体" w:hAnsi="宋体" w:eastAsia="宋体" w:cs="宋体"/>
          <w:b/>
          <w:bCs/>
          <w:spacing w:val="6"/>
          <w:sz w:val="20"/>
          <w:szCs w:val="20"/>
          <w:lang w:val="en-US" w:eastAsia="zh-CN"/>
        </w:rPr>
        <w:t>六</w:t>
      </w:r>
      <w:r>
        <w:rPr>
          <w:rFonts w:ascii="宋体" w:hAnsi="宋体" w:eastAsia="宋体" w:cs="宋体"/>
          <w:b/>
          <w:bCs/>
          <w:spacing w:val="6"/>
          <w:sz w:val="20"/>
          <w:szCs w:val="20"/>
          <w:lang w:eastAsia="zh-CN"/>
        </w:rPr>
        <w:t>、</w:t>
      </w:r>
      <w:r>
        <w:rPr>
          <w:rFonts w:hint="eastAsia" w:ascii="宋体" w:hAnsi="宋体" w:eastAsia="宋体" w:cs="宋体"/>
          <w:b/>
          <w:bCs/>
          <w:spacing w:val="6"/>
          <w:sz w:val="20"/>
          <w:szCs w:val="20"/>
          <w:lang w:val="en-US" w:eastAsia="zh-CN"/>
        </w:rPr>
        <w:t>具备CMA或CNAS检验检测机构资质认定证书，或出具带计量溯源链的校准证书（提供有效证明材料并加盖公章）。</w:t>
      </w:r>
    </w:p>
    <w:p w14:paraId="796EEE16">
      <w:pPr>
        <w:spacing w:line="378" w:lineRule="auto"/>
        <w:rPr>
          <w:rFonts w:ascii="宋体" w:hAnsi="宋体" w:eastAsia="宋体" w:cs="宋体"/>
          <w:sz w:val="20"/>
          <w:szCs w:val="20"/>
          <w:lang w:eastAsia="zh-CN"/>
        </w:rPr>
        <w:sectPr>
          <w:pgSz w:w="11900" w:h="16840"/>
          <w:pgMar w:top="907" w:right="1417" w:bottom="907" w:left="1417" w:header="0" w:footer="0" w:gutter="0"/>
          <w:cols w:space="720" w:num="1"/>
        </w:sectPr>
      </w:pPr>
    </w:p>
    <w:p w14:paraId="1AD104C4">
      <w:pPr>
        <w:spacing w:before="137" w:line="227" w:lineRule="auto"/>
        <w:rPr>
          <w:rFonts w:hint="default" w:ascii="宋体" w:hAnsi="宋体" w:eastAsia="宋体" w:cs="宋体"/>
          <w:sz w:val="20"/>
          <w:szCs w:val="20"/>
          <w:lang w:val="en-US" w:eastAsia="zh-CN"/>
        </w:rPr>
      </w:pPr>
      <w:r>
        <w:rPr>
          <w:rFonts w:hint="eastAsia" w:ascii="宋体" w:hAnsi="宋体" w:eastAsia="宋体" w:cs="宋体"/>
          <w:b/>
          <w:bCs/>
          <w:spacing w:val="7"/>
          <w:sz w:val="20"/>
          <w:szCs w:val="20"/>
          <w:lang w:val="en-US" w:eastAsia="zh-CN"/>
        </w:rPr>
        <w:t>七</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9"/>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475"/>
        <w:gridCol w:w="1410"/>
        <w:gridCol w:w="1065"/>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475"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10"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065"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41"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475" w:type="dxa"/>
          </w:tcPr>
          <w:p w14:paraId="2AE3CBB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一、项目概况</w:t>
            </w:r>
          </w:p>
          <w:p w14:paraId="77EF0B77">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 xml:space="preserve">1. </w:t>
            </w:r>
            <w:r>
              <w:rPr>
                <w:rFonts w:hint="eastAsia" w:ascii="宋体" w:hAnsi="宋体" w:eastAsia="宋体" w:cs="宋体"/>
                <w:sz w:val="20"/>
                <w:szCs w:val="20"/>
              </w:rPr>
              <w:t>项目名称：</w:t>
            </w:r>
            <w:r>
              <w:rPr>
                <w:rFonts w:hint="eastAsia" w:ascii="宋体" w:hAnsi="宋体" w:eastAsia="宋体" w:cs="宋体"/>
                <w:sz w:val="20"/>
                <w:szCs w:val="20"/>
                <w:lang w:val="en-US" w:eastAsia="zh-CN"/>
              </w:rPr>
              <w:t>中山市东升医院血液透析设备计量检测服务项目</w:t>
            </w:r>
          </w:p>
          <w:p w14:paraId="5ABDEEE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检测数量：12台血液透析设备的计量检测服务，其中血透机8台，血滤机4台。</w:t>
            </w:r>
          </w:p>
          <w:p w14:paraId="1EF7F432">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3. 项目预算：3600元（含税价）。单价最高限价300元/台，服务商报价不得超过预算金额。</w:t>
            </w:r>
          </w:p>
        </w:tc>
        <w:tc>
          <w:tcPr>
            <w:tcW w:w="1410" w:type="dxa"/>
          </w:tcPr>
          <w:p w14:paraId="03ED26DE">
            <w:pPr>
              <w:pStyle w:val="10"/>
              <w:rPr>
                <w:rFonts w:ascii="宋体" w:hAnsi="宋体" w:eastAsia="宋体" w:cs="宋体"/>
                <w:lang w:eastAsia="zh-CN"/>
              </w:rPr>
            </w:pPr>
          </w:p>
        </w:tc>
        <w:tc>
          <w:tcPr>
            <w:tcW w:w="1065" w:type="dxa"/>
          </w:tcPr>
          <w:p w14:paraId="314D7EEC">
            <w:pPr>
              <w:pStyle w:val="10"/>
              <w:rPr>
                <w:rFonts w:ascii="宋体" w:hAnsi="宋体" w:eastAsia="宋体" w:cs="宋体"/>
                <w:lang w:eastAsia="zh-CN"/>
              </w:rPr>
            </w:pPr>
          </w:p>
        </w:tc>
        <w:tc>
          <w:tcPr>
            <w:tcW w:w="1065" w:type="dxa"/>
          </w:tcPr>
          <w:p w14:paraId="0A9D39B5">
            <w:pPr>
              <w:pStyle w:val="10"/>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475" w:type="dxa"/>
          </w:tcPr>
          <w:p w14:paraId="01ED014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检测</w:t>
            </w:r>
            <w:r>
              <w:rPr>
                <w:rFonts w:hint="eastAsia" w:ascii="宋体" w:hAnsi="宋体" w:eastAsia="宋体" w:cs="宋体"/>
                <w:sz w:val="20"/>
                <w:szCs w:val="20"/>
                <w:lang w:eastAsia="zh-CN"/>
              </w:rPr>
              <w:t>要求</w:t>
            </w:r>
          </w:p>
          <w:p w14:paraId="6C1ECE0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★中标供应商须严格按照国家市场监督管理总局发布血液透析装置校准规范完成以下全套计量参数检测与校准，所有误差超标的参数必须现场调校合格（须出具承诺函）。</w:t>
            </w:r>
          </w:p>
          <w:p w14:paraId="17E9387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校准项目包括但不限于外观及工作正常性检查、透析液电导率示值相对误差、透析液温度示值误差、静（动）脉压示值误差、透析液流量示值相对误差、抗凝泵注入流量设置值相对误差、脱水量设置值误差、血液流量设置值相对误差、校准结果表达等。</w:t>
            </w:r>
          </w:p>
          <w:p w14:paraId="68A129C6">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3. 全部校准项目完成后，对每一项误差结果与该设备技术允许误差限值进行比对；各项指标满足技术要求，则出具校准证书；存在项目超差时，在校准证书中如实标注超差项目，同时告知使用科室对设备进行调试后重新开展校准，二次检测不得另外收费，设备数量以实际通过检测核算。</w:t>
            </w:r>
          </w:p>
        </w:tc>
        <w:tc>
          <w:tcPr>
            <w:tcW w:w="1410" w:type="dxa"/>
          </w:tcPr>
          <w:p w14:paraId="69CF45F5">
            <w:pPr>
              <w:pStyle w:val="10"/>
              <w:rPr>
                <w:rFonts w:ascii="宋体" w:hAnsi="宋体" w:eastAsia="宋体" w:cs="宋体"/>
                <w:lang w:eastAsia="zh-CN"/>
              </w:rPr>
            </w:pPr>
          </w:p>
        </w:tc>
        <w:tc>
          <w:tcPr>
            <w:tcW w:w="1065" w:type="dxa"/>
          </w:tcPr>
          <w:p w14:paraId="4B1E84E1">
            <w:pPr>
              <w:pStyle w:val="10"/>
              <w:rPr>
                <w:rFonts w:ascii="宋体" w:hAnsi="宋体" w:eastAsia="宋体" w:cs="宋体"/>
                <w:lang w:eastAsia="zh-CN"/>
              </w:rPr>
            </w:pPr>
          </w:p>
        </w:tc>
        <w:tc>
          <w:tcPr>
            <w:tcW w:w="1065" w:type="dxa"/>
          </w:tcPr>
          <w:p w14:paraId="050D5957">
            <w:pPr>
              <w:pStyle w:val="10"/>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475" w:type="dxa"/>
          </w:tcPr>
          <w:p w14:paraId="349A2E8B">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三、服务内容（包括但不限于）：</w:t>
            </w:r>
          </w:p>
          <w:p w14:paraId="79972DA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★对每台透析机进行整机计量精度排查、参数比对、误差校准。（出具承诺函）</w:t>
            </w:r>
          </w:p>
          <w:p w14:paraId="5363B1F2">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对所有计量偏差项目现场调试、修正、归零达标。</w:t>
            </w:r>
          </w:p>
          <w:p w14:paraId="6464D36C">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▲清理设备监测探头、传感器、检测模块灰尘杂质，保证计量采样精准。</w:t>
            </w:r>
          </w:p>
          <w:p w14:paraId="6D721E0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核对设备系统时间、运行参数、出厂校准参数，统一标准化校准。</w:t>
            </w:r>
          </w:p>
          <w:p w14:paraId="3C26F57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▲建立一机一档，提供完整的《血液透析机计量检测记录表》，检测资料归档留存，做到可追溯。</w:t>
            </w:r>
          </w:p>
          <w:p w14:paraId="1AF4C76D">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6. ★服务完成后出具CMA或CNAS合法有效的计量校准报告、检测合格报告，可用于院级质控、卫健委检查、年度设备校验、CNRDS质控核查。（须出具承诺函）</w:t>
            </w:r>
          </w:p>
        </w:tc>
        <w:tc>
          <w:tcPr>
            <w:tcW w:w="1410" w:type="dxa"/>
          </w:tcPr>
          <w:p w14:paraId="50520806">
            <w:pPr>
              <w:pStyle w:val="10"/>
              <w:rPr>
                <w:rFonts w:ascii="宋体" w:hAnsi="宋体" w:eastAsia="宋体" w:cs="宋体"/>
                <w:lang w:eastAsia="zh-CN"/>
              </w:rPr>
            </w:pPr>
          </w:p>
        </w:tc>
        <w:tc>
          <w:tcPr>
            <w:tcW w:w="1065" w:type="dxa"/>
          </w:tcPr>
          <w:p w14:paraId="27AC7BB1">
            <w:pPr>
              <w:pStyle w:val="10"/>
              <w:rPr>
                <w:rFonts w:ascii="宋体" w:hAnsi="宋体" w:eastAsia="宋体" w:cs="宋体"/>
                <w:lang w:eastAsia="zh-CN"/>
              </w:rPr>
            </w:pPr>
          </w:p>
        </w:tc>
        <w:tc>
          <w:tcPr>
            <w:tcW w:w="1065" w:type="dxa"/>
          </w:tcPr>
          <w:p w14:paraId="714423AC">
            <w:pPr>
              <w:pStyle w:val="10"/>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475" w:type="dxa"/>
          </w:tcPr>
          <w:p w14:paraId="3DB7AFC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四、维保人员资质要求（包括但不限于）：</w:t>
            </w:r>
          </w:p>
          <w:p w14:paraId="2FDFE1E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（一）公司资质：</w:t>
            </w:r>
          </w:p>
          <w:p w14:paraId="25E1B53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★具备CMA或CNAS检验检测机构资质认定证书，或出具带计量溯源链的校准证书（提供</w:t>
            </w:r>
            <w:r>
              <w:rPr>
                <w:rFonts w:hint="eastAsia" w:ascii="宋体" w:hAnsi="宋体" w:eastAsia="宋体" w:cs="宋体"/>
                <w:sz w:val="20"/>
                <w:szCs w:val="20"/>
                <w:lang w:val="en-US" w:eastAsia="zh-CN"/>
              </w:rPr>
              <w:t>有效</w:t>
            </w:r>
            <w:bookmarkStart w:id="0" w:name="_GoBack"/>
            <w:bookmarkEnd w:id="0"/>
            <w:r>
              <w:rPr>
                <w:rFonts w:hint="default" w:ascii="宋体" w:hAnsi="宋体" w:eastAsia="宋体" w:cs="宋体"/>
                <w:sz w:val="20"/>
                <w:szCs w:val="20"/>
                <w:lang w:val="en-US" w:eastAsia="zh-CN"/>
              </w:rPr>
              <w:t>证明材料）</w:t>
            </w:r>
          </w:p>
          <w:p w14:paraId="451AE28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拥有计量标准器溯源证书，检测所用的标准器具经过法定计量院校准合格，且在有效期内。</w:t>
            </w:r>
          </w:p>
          <w:p w14:paraId="3B5B554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 熟悉血液透析设备，有医院血透机计量校准服务业绩，可提供过往服务合同案例。</w:t>
            </w:r>
          </w:p>
          <w:p w14:paraId="6506ED8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（二）上门工程师人员资质</w:t>
            </w:r>
          </w:p>
          <w:p w14:paraId="70386D6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具备医疗设备计量检测相关资质</w:t>
            </w:r>
          </w:p>
          <w:p w14:paraId="76B4B46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具备血透设备维修能力，有专项培训经历</w:t>
            </w:r>
          </w:p>
          <w:p w14:paraId="73A16B2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 证明为本公司在职人员，不能外聘临时人员</w:t>
            </w:r>
          </w:p>
          <w:p w14:paraId="58C7BC0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（三）其他要求</w:t>
            </w:r>
          </w:p>
          <w:p w14:paraId="282AD33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服务人员严格遵守医院院感制度、血液净化中心无菌管理制度，着装规范、入室消毒。</w:t>
            </w:r>
          </w:p>
          <w:p w14:paraId="618D1A3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服务全程不影响科室正常透析诊疗工作，错峰施工、整洁作业。</w:t>
            </w:r>
          </w:p>
          <w:p w14:paraId="7B106C4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 所有检测、校准、人工、耗材、报告费用全部包干，无隐形收费。</w:t>
            </w:r>
          </w:p>
        </w:tc>
        <w:tc>
          <w:tcPr>
            <w:tcW w:w="1410" w:type="dxa"/>
          </w:tcPr>
          <w:p w14:paraId="1976FE37">
            <w:pPr>
              <w:pStyle w:val="10"/>
              <w:rPr>
                <w:rFonts w:ascii="宋体" w:hAnsi="宋体" w:eastAsia="宋体" w:cs="宋体"/>
                <w:lang w:eastAsia="zh-CN"/>
              </w:rPr>
            </w:pPr>
          </w:p>
        </w:tc>
        <w:tc>
          <w:tcPr>
            <w:tcW w:w="1065" w:type="dxa"/>
          </w:tcPr>
          <w:p w14:paraId="23D2CAC8">
            <w:pPr>
              <w:pStyle w:val="10"/>
              <w:rPr>
                <w:rFonts w:ascii="宋体" w:hAnsi="宋体" w:eastAsia="宋体" w:cs="宋体"/>
                <w:lang w:eastAsia="zh-CN"/>
              </w:rPr>
            </w:pPr>
          </w:p>
        </w:tc>
        <w:tc>
          <w:tcPr>
            <w:tcW w:w="1065" w:type="dxa"/>
          </w:tcPr>
          <w:p w14:paraId="6941F157">
            <w:pPr>
              <w:pStyle w:val="10"/>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92"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475" w:type="dxa"/>
          </w:tcPr>
          <w:p w14:paraId="772137C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五、验收（包括但不限于）：</w:t>
            </w:r>
          </w:p>
          <w:p w14:paraId="6DEDB9DA">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★所有计量参数误差全部符合国家行业标准YY/T 0595-2020。（出具承诺函）</w:t>
            </w:r>
          </w:p>
          <w:p w14:paraId="2431A25C">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无超限、无偏差、无计量不合格项。</w:t>
            </w:r>
          </w:p>
          <w:p w14:paraId="7768228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每台设备均有完整检测记录、校准记录、数据对比记录。</w:t>
            </w:r>
          </w:p>
          <w:p w14:paraId="187C10AA">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出具的计量检测报告正规、可溯源、可用于上级检查及设备年检。</w:t>
            </w:r>
          </w:p>
          <w:p w14:paraId="670B566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设备校准后运行稳定、参数精准、报警灵敏、无计量偏差隐患。</w:t>
            </w:r>
          </w:p>
          <w:p w14:paraId="729FC27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 交付资料</w:t>
            </w:r>
          </w:p>
          <w:p w14:paraId="1D1066AA">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6.1 全套《血液透析机年度计量检测报告》。</w:t>
            </w:r>
          </w:p>
          <w:p w14:paraId="0B1570B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6.2 单台设备校准数据表、误差修正记录表。</w:t>
            </w:r>
          </w:p>
          <w:p w14:paraId="38E96D3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6.3 计量溯源证明、服务验收单。</w:t>
            </w:r>
          </w:p>
          <w:p w14:paraId="32F810C6">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需在7个工作日内交付全套纸质+电子版计量报告。</w:t>
            </w:r>
          </w:p>
        </w:tc>
        <w:tc>
          <w:tcPr>
            <w:tcW w:w="1410" w:type="dxa"/>
          </w:tcPr>
          <w:p w14:paraId="556D3F97">
            <w:pPr>
              <w:pStyle w:val="10"/>
              <w:rPr>
                <w:rFonts w:ascii="宋体" w:hAnsi="宋体" w:eastAsia="宋体" w:cs="宋体"/>
                <w:lang w:eastAsia="zh-CN"/>
              </w:rPr>
            </w:pPr>
          </w:p>
        </w:tc>
        <w:tc>
          <w:tcPr>
            <w:tcW w:w="1065" w:type="dxa"/>
          </w:tcPr>
          <w:p w14:paraId="59D2077F">
            <w:pPr>
              <w:pStyle w:val="10"/>
              <w:rPr>
                <w:rFonts w:ascii="宋体" w:hAnsi="宋体" w:eastAsia="宋体" w:cs="宋体"/>
                <w:lang w:eastAsia="zh-CN"/>
              </w:rPr>
            </w:pPr>
          </w:p>
        </w:tc>
        <w:tc>
          <w:tcPr>
            <w:tcW w:w="1065" w:type="dxa"/>
          </w:tcPr>
          <w:p w14:paraId="788F44CC">
            <w:pPr>
              <w:pStyle w:val="10"/>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475" w:type="dxa"/>
          </w:tcPr>
          <w:p w14:paraId="7ED77BD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六、付款方式：</w:t>
            </w:r>
          </w:p>
          <w:p w14:paraId="0171394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本合同的每笔款项以人民币转账方式支付。</w:t>
            </w:r>
          </w:p>
          <w:p w14:paraId="1FB4C1CE">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 中标供应商必须向采购人出具合法有效完整的完税发票及凭证，计量检测服务完成后，中标供应商提交相应的凭证，且采购人收到中标供应商提供的等额合法有效的正式发票之日起6个月内，采购人向中标供应商支付服务费。</w:t>
            </w:r>
          </w:p>
        </w:tc>
        <w:tc>
          <w:tcPr>
            <w:tcW w:w="1410" w:type="dxa"/>
          </w:tcPr>
          <w:p w14:paraId="309C6D61">
            <w:pPr>
              <w:pStyle w:val="10"/>
              <w:rPr>
                <w:rFonts w:ascii="宋体" w:hAnsi="宋体" w:eastAsia="宋体" w:cs="宋体"/>
                <w:lang w:eastAsia="zh-CN"/>
              </w:rPr>
            </w:pPr>
          </w:p>
        </w:tc>
        <w:tc>
          <w:tcPr>
            <w:tcW w:w="1065" w:type="dxa"/>
          </w:tcPr>
          <w:p w14:paraId="3DA9A9F7">
            <w:pPr>
              <w:pStyle w:val="10"/>
              <w:rPr>
                <w:rFonts w:ascii="宋体" w:hAnsi="宋体" w:eastAsia="宋体" w:cs="宋体"/>
                <w:lang w:eastAsia="zh-CN"/>
              </w:rPr>
            </w:pPr>
          </w:p>
        </w:tc>
        <w:tc>
          <w:tcPr>
            <w:tcW w:w="1065" w:type="dxa"/>
          </w:tcPr>
          <w:p w14:paraId="3217B854">
            <w:pPr>
              <w:pStyle w:val="10"/>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475" w:type="dxa"/>
          </w:tcPr>
          <w:p w14:paraId="4FC967A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七、违约责任与赔偿损失</w:t>
            </w:r>
          </w:p>
          <w:p w14:paraId="53F3F7C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中标供应商交付的货物、工程/提供的服务不符合招标文件、投标文件或本合同规定的，采购人有权拒收，并且中标供应商须向采购人支付本合同总价5%的违约金。</w:t>
            </w:r>
          </w:p>
          <w:p w14:paraId="7DB644D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中标供应商未能按本合同规定的交货时间交付货物的/提供服务，从逾期之日起每日按本合同总价3‰的数额向采购人支付违约金；逾期半个月以上的，采购人有权终止合同，由此造成的采购人经济损失由中标供应商承担。</w:t>
            </w:r>
          </w:p>
          <w:p w14:paraId="7A6EA1D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采购人无正当理由拒收货物/接受服务，到期拒付货物/服务款项的，采购人向中标供应商偿付本合同总的5%的违约金。采购人逾期付款，则每日按本合同总价的3‰向中标供应商偿付违约金。</w:t>
            </w:r>
          </w:p>
          <w:p w14:paraId="38AC3A4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 其它违约责任按《中华人民共和国民法典》处理。</w:t>
            </w:r>
          </w:p>
        </w:tc>
        <w:tc>
          <w:tcPr>
            <w:tcW w:w="1410" w:type="dxa"/>
          </w:tcPr>
          <w:p w14:paraId="63477C59">
            <w:pPr>
              <w:pStyle w:val="10"/>
              <w:rPr>
                <w:rFonts w:ascii="宋体" w:hAnsi="宋体" w:eastAsia="宋体" w:cs="宋体"/>
                <w:lang w:eastAsia="zh-CN"/>
              </w:rPr>
            </w:pPr>
          </w:p>
        </w:tc>
        <w:tc>
          <w:tcPr>
            <w:tcW w:w="1065" w:type="dxa"/>
          </w:tcPr>
          <w:p w14:paraId="17855BC8">
            <w:pPr>
              <w:pStyle w:val="10"/>
              <w:rPr>
                <w:rFonts w:ascii="宋体" w:hAnsi="宋体" w:eastAsia="宋体" w:cs="宋体"/>
                <w:lang w:eastAsia="zh-CN"/>
              </w:rPr>
            </w:pPr>
          </w:p>
        </w:tc>
        <w:tc>
          <w:tcPr>
            <w:tcW w:w="1065" w:type="dxa"/>
          </w:tcPr>
          <w:p w14:paraId="6A11C7ED">
            <w:pPr>
              <w:pStyle w:val="10"/>
              <w:rPr>
                <w:rFonts w:ascii="宋体" w:hAnsi="宋体" w:eastAsia="宋体" w:cs="宋体"/>
                <w:lang w:eastAsia="zh-CN"/>
              </w:rPr>
            </w:pPr>
          </w:p>
        </w:tc>
      </w:tr>
    </w:tbl>
    <w:p w14:paraId="5EFF081B">
      <w:pPr>
        <w:rPr>
          <w:lang w:eastAsia="zh-CN"/>
        </w:rPr>
      </w:pPr>
    </w:p>
    <w:p w14:paraId="3447D6D1">
      <w:pPr>
        <w:rPr>
          <w:lang w:eastAsia="zh-CN"/>
        </w:rPr>
      </w:pPr>
      <w:r>
        <w:rPr>
          <w:lang w:eastAsia="zh-CN"/>
        </w:rPr>
        <w:br w:type="page"/>
      </w:r>
    </w:p>
    <w:p w14:paraId="4138D614">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八、近三年具有医院血透机计量校准服务业绩相关证明文件，须提供合同关键页复印件（加盖公章）。</w:t>
      </w:r>
    </w:p>
    <w:p w14:paraId="2F84A468">
      <w:pPr>
        <w:spacing w:before="41" w:line="227" w:lineRule="auto"/>
        <w:jc w:val="both"/>
        <w:rPr>
          <w:rFonts w:ascii="宋体" w:hAnsi="宋体" w:eastAsia="宋体" w:cs="宋体"/>
          <w:sz w:val="20"/>
          <w:szCs w:val="20"/>
          <w:lang w:eastAsia="zh-CN"/>
        </w:rPr>
      </w:pPr>
    </w:p>
    <w:p w14:paraId="719E5710">
      <w:pPr>
        <w:pStyle w:val="3"/>
        <w:spacing w:line="260" w:lineRule="auto"/>
        <w:rPr>
          <w:lang w:eastAsia="zh-CN"/>
        </w:rPr>
      </w:pPr>
    </w:p>
    <w:p w14:paraId="7A9DD7A5">
      <w:pPr>
        <w:pStyle w:val="3"/>
        <w:spacing w:line="261" w:lineRule="auto"/>
        <w:rPr>
          <w:lang w:eastAsia="zh-CN"/>
        </w:rPr>
      </w:pPr>
    </w:p>
    <w:p w14:paraId="7330E168">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9"/>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2AC12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0A8A4F5E">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93BBA8A">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5015C2C9">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603085D7">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6CC7803C">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68329800">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18AD0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44C9CF72">
            <w:pPr>
              <w:pStyle w:val="10"/>
            </w:pPr>
          </w:p>
        </w:tc>
        <w:tc>
          <w:tcPr>
            <w:tcW w:w="1854" w:type="dxa"/>
          </w:tcPr>
          <w:p w14:paraId="7A8D1ACD">
            <w:pPr>
              <w:pStyle w:val="10"/>
            </w:pPr>
          </w:p>
        </w:tc>
        <w:tc>
          <w:tcPr>
            <w:tcW w:w="1986" w:type="dxa"/>
          </w:tcPr>
          <w:p w14:paraId="55A04390">
            <w:pPr>
              <w:pStyle w:val="10"/>
            </w:pPr>
          </w:p>
        </w:tc>
        <w:tc>
          <w:tcPr>
            <w:tcW w:w="1722" w:type="dxa"/>
          </w:tcPr>
          <w:p w14:paraId="4D2330E6">
            <w:pPr>
              <w:pStyle w:val="10"/>
            </w:pPr>
          </w:p>
        </w:tc>
        <w:tc>
          <w:tcPr>
            <w:tcW w:w="1191" w:type="dxa"/>
          </w:tcPr>
          <w:p w14:paraId="211E4F05">
            <w:pPr>
              <w:pStyle w:val="10"/>
            </w:pPr>
          </w:p>
        </w:tc>
        <w:tc>
          <w:tcPr>
            <w:tcW w:w="1471" w:type="dxa"/>
            <w:tcBorders>
              <w:right w:val="single" w:color="000000" w:sz="2" w:space="0"/>
            </w:tcBorders>
          </w:tcPr>
          <w:p w14:paraId="7FB8383C">
            <w:pPr>
              <w:pStyle w:val="10"/>
            </w:pPr>
          </w:p>
        </w:tc>
      </w:tr>
      <w:tr w14:paraId="19710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232A20F2">
            <w:pPr>
              <w:pStyle w:val="10"/>
            </w:pPr>
          </w:p>
        </w:tc>
        <w:tc>
          <w:tcPr>
            <w:tcW w:w="1854" w:type="dxa"/>
          </w:tcPr>
          <w:p w14:paraId="0E59405A">
            <w:pPr>
              <w:pStyle w:val="10"/>
            </w:pPr>
          </w:p>
        </w:tc>
        <w:tc>
          <w:tcPr>
            <w:tcW w:w="1986" w:type="dxa"/>
          </w:tcPr>
          <w:p w14:paraId="16A66335">
            <w:pPr>
              <w:pStyle w:val="10"/>
            </w:pPr>
          </w:p>
        </w:tc>
        <w:tc>
          <w:tcPr>
            <w:tcW w:w="1722" w:type="dxa"/>
          </w:tcPr>
          <w:p w14:paraId="5C956FAC">
            <w:pPr>
              <w:pStyle w:val="10"/>
            </w:pPr>
          </w:p>
        </w:tc>
        <w:tc>
          <w:tcPr>
            <w:tcW w:w="1191" w:type="dxa"/>
          </w:tcPr>
          <w:p w14:paraId="39843931">
            <w:pPr>
              <w:pStyle w:val="10"/>
            </w:pPr>
          </w:p>
        </w:tc>
        <w:tc>
          <w:tcPr>
            <w:tcW w:w="1471" w:type="dxa"/>
            <w:tcBorders>
              <w:right w:val="single" w:color="000000" w:sz="2" w:space="0"/>
            </w:tcBorders>
          </w:tcPr>
          <w:p w14:paraId="5710B68A">
            <w:pPr>
              <w:pStyle w:val="10"/>
            </w:pPr>
          </w:p>
        </w:tc>
      </w:tr>
      <w:tr w14:paraId="54E07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31389273">
            <w:pPr>
              <w:pStyle w:val="10"/>
            </w:pPr>
          </w:p>
        </w:tc>
        <w:tc>
          <w:tcPr>
            <w:tcW w:w="1854" w:type="dxa"/>
            <w:tcBorders>
              <w:bottom w:val="single" w:color="000000" w:sz="2" w:space="0"/>
            </w:tcBorders>
          </w:tcPr>
          <w:p w14:paraId="55A511EF">
            <w:pPr>
              <w:pStyle w:val="10"/>
            </w:pPr>
          </w:p>
        </w:tc>
        <w:tc>
          <w:tcPr>
            <w:tcW w:w="1986" w:type="dxa"/>
            <w:tcBorders>
              <w:bottom w:val="single" w:color="000000" w:sz="2" w:space="0"/>
            </w:tcBorders>
          </w:tcPr>
          <w:p w14:paraId="24F31CB0">
            <w:pPr>
              <w:pStyle w:val="10"/>
            </w:pPr>
          </w:p>
        </w:tc>
        <w:tc>
          <w:tcPr>
            <w:tcW w:w="1722" w:type="dxa"/>
            <w:tcBorders>
              <w:bottom w:val="single" w:color="000000" w:sz="2" w:space="0"/>
            </w:tcBorders>
          </w:tcPr>
          <w:p w14:paraId="396826E8">
            <w:pPr>
              <w:pStyle w:val="10"/>
            </w:pPr>
          </w:p>
        </w:tc>
        <w:tc>
          <w:tcPr>
            <w:tcW w:w="1191" w:type="dxa"/>
            <w:tcBorders>
              <w:bottom w:val="single" w:color="000000" w:sz="2" w:space="0"/>
            </w:tcBorders>
          </w:tcPr>
          <w:p w14:paraId="60F037C0">
            <w:pPr>
              <w:pStyle w:val="10"/>
            </w:pPr>
          </w:p>
        </w:tc>
        <w:tc>
          <w:tcPr>
            <w:tcW w:w="1471" w:type="dxa"/>
            <w:tcBorders>
              <w:bottom w:val="single" w:color="000000" w:sz="2" w:space="0"/>
              <w:right w:val="single" w:color="000000" w:sz="2" w:space="0"/>
            </w:tcBorders>
          </w:tcPr>
          <w:p w14:paraId="64D3333B">
            <w:pPr>
              <w:pStyle w:val="10"/>
            </w:pPr>
          </w:p>
        </w:tc>
      </w:tr>
    </w:tbl>
    <w:p w14:paraId="67038426">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服务商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0C77BE5D">
      <w:pPr>
        <w:pStyle w:val="3"/>
        <w:spacing w:line="270" w:lineRule="auto"/>
        <w:rPr>
          <w:lang w:eastAsia="zh-CN"/>
        </w:rPr>
      </w:pPr>
    </w:p>
    <w:p w14:paraId="56204D9E">
      <w:pPr>
        <w:pStyle w:val="3"/>
        <w:spacing w:line="270" w:lineRule="auto"/>
        <w:rPr>
          <w:lang w:eastAsia="zh-CN"/>
        </w:rPr>
      </w:pPr>
    </w:p>
    <w:p w14:paraId="4D5AED28">
      <w:pPr>
        <w:pStyle w:val="3"/>
        <w:spacing w:line="270" w:lineRule="auto"/>
        <w:rPr>
          <w:lang w:eastAsia="zh-CN"/>
        </w:rPr>
      </w:pPr>
    </w:p>
    <w:p w14:paraId="5EC8D005">
      <w:pPr>
        <w:pStyle w:val="3"/>
        <w:spacing w:line="270" w:lineRule="auto"/>
        <w:rPr>
          <w:lang w:eastAsia="zh-CN"/>
        </w:rPr>
      </w:pPr>
    </w:p>
    <w:p w14:paraId="313A5D64">
      <w:pPr>
        <w:pStyle w:val="3"/>
        <w:spacing w:line="270" w:lineRule="auto"/>
        <w:rPr>
          <w:lang w:eastAsia="zh-CN"/>
        </w:rPr>
      </w:pPr>
    </w:p>
    <w:p w14:paraId="68A22039">
      <w:pPr>
        <w:pStyle w:val="3"/>
        <w:spacing w:line="270" w:lineRule="auto"/>
        <w:rPr>
          <w:lang w:eastAsia="zh-CN"/>
        </w:rPr>
      </w:pPr>
    </w:p>
    <w:p w14:paraId="6D2959B4">
      <w:pPr>
        <w:pStyle w:val="3"/>
        <w:spacing w:line="270" w:lineRule="auto"/>
        <w:rPr>
          <w:lang w:eastAsia="zh-CN"/>
        </w:rPr>
      </w:pPr>
    </w:p>
    <w:p w14:paraId="6956FBE0">
      <w:pPr>
        <w:spacing w:before="65" w:line="227" w:lineRule="auto"/>
        <w:ind w:left="22"/>
        <w:rPr>
          <w:rFonts w:ascii="宋体" w:hAnsi="宋体" w:eastAsia="宋体" w:cs="宋体"/>
          <w:spacing w:val="9"/>
          <w:sz w:val="20"/>
          <w:szCs w:val="20"/>
          <w:lang w:eastAsia="zh-CN"/>
        </w:rPr>
      </w:pPr>
    </w:p>
    <w:p w14:paraId="45780A57">
      <w:pPr>
        <w:spacing w:before="65" w:line="227" w:lineRule="auto"/>
        <w:ind w:left="22"/>
        <w:rPr>
          <w:rFonts w:ascii="宋体" w:hAnsi="宋体" w:eastAsia="宋体" w:cs="宋体"/>
          <w:spacing w:val="9"/>
          <w:sz w:val="20"/>
          <w:szCs w:val="20"/>
          <w:lang w:eastAsia="zh-CN"/>
        </w:rPr>
      </w:pPr>
    </w:p>
    <w:p w14:paraId="4224313C">
      <w:pPr>
        <w:spacing w:before="65" w:line="227" w:lineRule="auto"/>
        <w:ind w:left="22"/>
        <w:rPr>
          <w:rFonts w:ascii="宋体" w:hAnsi="宋体" w:eastAsia="宋体" w:cs="宋体"/>
          <w:spacing w:val="9"/>
          <w:sz w:val="20"/>
          <w:szCs w:val="20"/>
          <w:lang w:eastAsia="zh-CN"/>
        </w:rPr>
      </w:pPr>
    </w:p>
    <w:p w14:paraId="17A8003A">
      <w:pPr>
        <w:spacing w:before="162" w:line="227" w:lineRule="auto"/>
        <w:ind w:left="22"/>
        <w:rPr>
          <w:rFonts w:ascii="宋体" w:hAnsi="宋体" w:eastAsia="宋体" w:cs="宋体"/>
          <w:sz w:val="22"/>
          <w:szCs w:val="22"/>
          <w:lang w:eastAsia="zh-CN"/>
        </w:rPr>
      </w:pPr>
      <w:r>
        <w:rPr>
          <w:rFonts w:hint="eastAsia" w:ascii="宋体" w:hAnsi="宋体" w:eastAsia="宋体" w:cs="宋体"/>
          <w:spacing w:val="8"/>
          <w:sz w:val="22"/>
          <w:szCs w:val="22"/>
          <w:lang w:val="en-US" w:eastAsia="zh-CN"/>
        </w:rPr>
        <w:t>服务商</w:t>
      </w:r>
      <w:r>
        <w:rPr>
          <w:rFonts w:ascii="宋体" w:hAnsi="宋体" w:eastAsia="宋体" w:cs="宋体"/>
          <w:spacing w:val="8"/>
          <w:sz w:val="22"/>
          <w:szCs w:val="22"/>
          <w:lang w:eastAsia="zh-CN"/>
        </w:rPr>
        <w:t>名称（盖章</w:t>
      </w:r>
      <w:r>
        <w:rPr>
          <w:rFonts w:ascii="宋体" w:hAnsi="宋体" w:eastAsia="宋体" w:cs="宋体"/>
          <w:spacing w:val="13"/>
          <w:sz w:val="22"/>
          <w:szCs w:val="22"/>
          <w:lang w:eastAsia="zh-CN"/>
        </w:rPr>
        <w:t>）：</w:t>
      </w:r>
      <w:r>
        <w:rPr>
          <w:rFonts w:ascii="宋体" w:hAnsi="宋体" w:eastAsia="宋体" w:cs="宋体"/>
          <w:sz w:val="22"/>
          <w:szCs w:val="22"/>
          <w:u w:val="single"/>
          <w:lang w:eastAsia="zh-CN"/>
        </w:rPr>
        <w:t xml:space="preserve">                          </w:t>
      </w:r>
    </w:p>
    <w:p w14:paraId="4784E808">
      <w:pPr>
        <w:spacing w:before="65" w:line="227" w:lineRule="auto"/>
        <w:ind w:left="22"/>
        <w:rPr>
          <w:rFonts w:ascii="宋体" w:hAnsi="宋体" w:eastAsia="宋体" w:cs="宋体"/>
          <w:spacing w:val="9"/>
          <w:sz w:val="22"/>
          <w:szCs w:val="22"/>
          <w:lang w:eastAsia="zh-CN"/>
        </w:rPr>
      </w:pPr>
    </w:p>
    <w:p w14:paraId="46574826">
      <w:pPr>
        <w:spacing w:before="65" w:line="227" w:lineRule="auto"/>
        <w:ind w:left="22"/>
        <w:rPr>
          <w:rFonts w:ascii="宋体" w:hAnsi="宋体" w:eastAsia="宋体" w:cs="宋体"/>
          <w:sz w:val="22"/>
          <w:szCs w:val="22"/>
          <w:lang w:eastAsia="zh-CN"/>
        </w:rPr>
      </w:pPr>
      <w:r>
        <w:rPr>
          <w:rFonts w:hint="eastAsia" w:ascii="宋体" w:hAnsi="宋体" w:eastAsia="宋体" w:cs="宋体"/>
          <w:spacing w:val="9"/>
          <w:sz w:val="22"/>
          <w:szCs w:val="22"/>
          <w:lang w:val="en-US" w:eastAsia="zh-CN"/>
        </w:rPr>
        <w:t>服务商</w:t>
      </w:r>
      <w:r>
        <w:rPr>
          <w:rFonts w:ascii="宋体" w:hAnsi="宋体" w:eastAsia="宋体" w:cs="宋体"/>
          <w:spacing w:val="9"/>
          <w:sz w:val="22"/>
          <w:szCs w:val="22"/>
          <w:lang w:eastAsia="zh-CN"/>
        </w:rPr>
        <w:t>法定代表人（或法定代表人授权代表）签字：</w:t>
      </w:r>
      <w:r>
        <w:rPr>
          <w:rFonts w:ascii="宋体" w:hAnsi="宋体" w:eastAsia="宋体" w:cs="宋体"/>
          <w:sz w:val="22"/>
          <w:szCs w:val="22"/>
          <w:u w:val="single"/>
          <w:lang w:eastAsia="zh-CN"/>
        </w:rPr>
        <w:t xml:space="preserve">                    </w:t>
      </w:r>
    </w:p>
    <w:p w14:paraId="2F55D949">
      <w:pPr>
        <w:spacing w:before="260" w:line="228" w:lineRule="auto"/>
        <w:ind w:left="58"/>
        <w:rPr>
          <w:rFonts w:ascii="宋体" w:hAnsi="宋体" w:eastAsia="宋体" w:cs="宋体"/>
          <w:sz w:val="22"/>
          <w:szCs w:val="22"/>
          <w:lang w:eastAsia="zh-CN"/>
        </w:rPr>
      </w:pPr>
      <w:r>
        <w:rPr>
          <w:rFonts w:ascii="宋体" w:hAnsi="宋体" w:eastAsia="宋体" w:cs="宋体"/>
          <w:spacing w:val="-6"/>
          <w:sz w:val="22"/>
          <w:szCs w:val="22"/>
          <w:lang w:eastAsia="zh-CN"/>
        </w:rPr>
        <w:t>日期：</w:t>
      </w:r>
      <w:r>
        <w:rPr>
          <w:rFonts w:ascii="宋体" w:hAnsi="宋体" w:eastAsia="宋体" w:cs="宋体"/>
          <w:spacing w:val="13"/>
          <w:sz w:val="22"/>
          <w:szCs w:val="22"/>
          <w:lang w:eastAsia="zh-CN"/>
        </w:rPr>
        <w:t xml:space="preserve">   </w:t>
      </w:r>
      <w:r>
        <w:rPr>
          <w:rFonts w:ascii="宋体" w:hAnsi="宋体" w:eastAsia="宋体" w:cs="宋体"/>
          <w:spacing w:val="-6"/>
          <w:sz w:val="22"/>
          <w:szCs w:val="22"/>
          <w:lang w:eastAsia="zh-CN"/>
        </w:rPr>
        <w:t>年</w:t>
      </w:r>
      <w:r>
        <w:rPr>
          <w:rFonts w:ascii="宋体" w:hAnsi="宋体" w:eastAsia="宋体" w:cs="宋体"/>
          <w:spacing w:val="9"/>
          <w:sz w:val="22"/>
          <w:szCs w:val="22"/>
          <w:lang w:eastAsia="zh-CN"/>
        </w:rPr>
        <w:t xml:space="preserve">   </w:t>
      </w:r>
      <w:r>
        <w:rPr>
          <w:rFonts w:ascii="宋体" w:hAnsi="宋体" w:eastAsia="宋体" w:cs="宋体"/>
          <w:spacing w:val="-6"/>
          <w:sz w:val="22"/>
          <w:szCs w:val="22"/>
          <w:lang w:eastAsia="zh-CN"/>
        </w:rPr>
        <w:t>月</w:t>
      </w:r>
      <w:r>
        <w:rPr>
          <w:rFonts w:ascii="宋体" w:hAnsi="宋体" w:eastAsia="宋体" w:cs="宋体"/>
          <w:spacing w:val="21"/>
          <w:sz w:val="22"/>
          <w:szCs w:val="22"/>
          <w:lang w:eastAsia="zh-CN"/>
        </w:rPr>
        <w:t xml:space="preserve">   </w:t>
      </w:r>
      <w:r>
        <w:rPr>
          <w:rFonts w:ascii="宋体" w:hAnsi="宋体" w:eastAsia="宋体" w:cs="宋体"/>
          <w:spacing w:val="-6"/>
          <w:sz w:val="22"/>
          <w:szCs w:val="22"/>
          <w:lang w:eastAsia="zh-CN"/>
        </w:rPr>
        <w:t>日</w:t>
      </w:r>
    </w:p>
    <w:p w14:paraId="7616860A">
      <w:pPr>
        <w:spacing w:line="378" w:lineRule="auto"/>
        <w:rPr>
          <w:rFonts w:ascii="宋体" w:hAnsi="宋体" w:eastAsia="宋体" w:cs="宋体"/>
          <w:sz w:val="22"/>
          <w:szCs w:val="22"/>
          <w:lang w:eastAsia="zh-CN"/>
        </w:rPr>
        <w:sectPr>
          <w:pgSz w:w="11900" w:h="16840"/>
          <w:pgMar w:top="907" w:right="1474" w:bottom="907" w:left="1474" w:header="0" w:footer="0" w:gutter="0"/>
          <w:cols w:space="720" w:num="1"/>
        </w:sectPr>
      </w:pPr>
    </w:p>
    <w:p w14:paraId="0B84180D">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九、拟投入人员配置清单：</w:t>
      </w:r>
    </w:p>
    <w:p w14:paraId="68CADD2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 上门工程师：须具备医疗设备计量检测相关资质且具备血透设备维修能力，有专项培训经历。</w:t>
      </w:r>
    </w:p>
    <w:p w14:paraId="7D41CDD9">
      <w:pPr>
        <w:keepNext w:val="0"/>
        <w:keepLines w:val="0"/>
        <w:pageBreakBefore w:val="0"/>
        <w:widowControl/>
        <w:kinsoku w:val="0"/>
        <w:wordWrap/>
        <w:overflowPunct/>
        <w:topLinePunct w:val="0"/>
        <w:autoSpaceDE w:val="0"/>
        <w:autoSpaceDN w:val="0"/>
        <w:bidi w:val="0"/>
        <w:adjustRightInd w:val="0"/>
        <w:snapToGrid w:val="0"/>
        <w:spacing w:before="0" w:before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服务商员工，服务商需要提供为其购买社保证明（开标当天前三个月内的任意一个月）复印件，若服务商成立时间不足1个月的应提供《社保声明函》（格式自拟）代替社保证明（成立时间以营业执照注册时间为准）。】</w:t>
      </w:r>
    </w:p>
    <w:p w14:paraId="4A274DAC">
      <w:pPr>
        <w:spacing w:before="41" w:line="227" w:lineRule="auto"/>
        <w:jc w:val="both"/>
        <w:rPr>
          <w:rFonts w:hint="eastAsia" w:ascii="宋体" w:hAnsi="宋体" w:eastAsia="宋体" w:cs="宋体"/>
          <w:b/>
          <w:bCs/>
          <w:spacing w:val="5"/>
          <w:sz w:val="20"/>
          <w:szCs w:val="20"/>
          <w:lang w:val="en-US" w:eastAsia="zh-CN"/>
        </w:rPr>
      </w:pPr>
    </w:p>
    <w:tbl>
      <w:tblPr>
        <w:tblStyle w:val="9"/>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上门工程师</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41" w:line="227" w:lineRule="auto"/>
              <w:jc w:val="cente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41" w:line="227" w:lineRule="auto"/>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41" w:line="227" w:lineRule="auto"/>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41" w:line="227" w:lineRule="auto"/>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41" w:line="227" w:lineRule="auto"/>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41" w:line="227" w:lineRule="auto"/>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41" w:line="227" w:lineRule="auto"/>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49B9EC5F">
      <w:pPr>
        <w:spacing w:before="41" w:line="227" w:lineRule="auto"/>
        <w:jc w:val="both"/>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注：服务商必须如实填写此表格。（此表可延长）</w:t>
      </w:r>
    </w:p>
    <w:p w14:paraId="2E4C1015">
      <w:pPr>
        <w:spacing w:before="41" w:line="227" w:lineRule="auto"/>
        <w:rPr>
          <w:rFonts w:ascii="宋体" w:hAnsi="宋体" w:eastAsia="宋体" w:cs="宋体"/>
          <w:b/>
          <w:bCs/>
          <w:spacing w:val="5"/>
          <w:sz w:val="20"/>
          <w:szCs w:val="20"/>
          <w:lang w:eastAsia="zh-CN"/>
        </w:rPr>
      </w:pPr>
    </w:p>
    <w:p w14:paraId="3634CD00">
      <w:pPr>
        <w:spacing w:before="41" w:line="227" w:lineRule="auto"/>
        <w:rPr>
          <w:rFonts w:ascii="宋体" w:hAnsi="宋体" w:eastAsia="宋体" w:cs="宋体"/>
          <w:b/>
          <w:bCs/>
          <w:spacing w:val="5"/>
          <w:sz w:val="20"/>
          <w:szCs w:val="20"/>
          <w:lang w:eastAsia="zh-CN"/>
        </w:rPr>
      </w:pPr>
    </w:p>
    <w:p w14:paraId="0AD97DCD">
      <w:pPr>
        <w:spacing w:before="41" w:line="227" w:lineRule="auto"/>
        <w:rPr>
          <w:rFonts w:ascii="宋体" w:hAnsi="宋体" w:eastAsia="宋体" w:cs="宋体"/>
          <w:b/>
          <w:bCs/>
          <w:spacing w:val="5"/>
          <w:sz w:val="20"/>
          <w:szCs w:val="20"/>
          <w:lang w:eastAsia="zh-CN"/>
        </w:rPr>
      </w:pPr>
    </w:p>
    <w:p w14:paraId="3FA65A36">
      <w:pPr>
        <w:spacing w:before="41" w:line="227" w:lineRule="auto"/>
        <w:rPr>
          <w:rFonts w:ascii="宋体" w:hAnsi="宋体" w:eastAsia="宋体" w:cs="宋体"/>
          <w:b/>
          <w:bCs/>
          <w:spacing w:val="5"/>
          <w:sz w:val="20"/>
          <w:szCs w:val="20"/>
          <w:lang w:eastAsia="zh-CN"/>
        </w:rPr>
      </w:pPr>
    </w:p>
    <w:p w14:paraId="3ECDEA9C">
      <w:pPr>
        <w:spacing w:before="41" w:line="227" w:lineRule="auto"/>
        <w:rPr>
          <w:rFonts w:ascii="宋体" w:hAnsi="宋体" w:eastAsia="宋体" w:cs="宋体"/>
          <w:b/>
          <w:bCs/>
          <w:spacing w:val="5"/>
          <w:sz w:val="20"/>
          <w:szCs w:val="20"/>
          <w:lang w:eastAsia="zh-CN"/>
        </w:rPr>
      </w:pPr>
    </w:p>
    <w:p w14:paraId="2977B2D9">
      <w:pPr>
        <w:spacing w:before="41" w:line="227" w:lineRule="auto"/>
        <w:rPr>
          <w:rFonts w:ascii="宋体" w:hAnsi="宋体" w:eastAsia="宋体" w:cs="宋体"/>
          <w:b/>
          <w:bCs/>
          <w:spacing w:val="5"/>
          <w:sz w:val="20"/>
          <w:szCs w:val="20"/>
          <w:lang w:eastAsia="zh-CN"/>
        </w:rPr>
      </w:pPr>
    </w:p>
    <w:p w14:paraId="2A8C505B">
      <w:pPr>
        <w:spacing w:before="41" w:line="227" w:lineRule="auto"/>
        <w:rPr>
          <w:rFonts w:ascii="宋体" w:hAnsi="宋体" w:eastAsia="宋体" w:cs="宋体"/>
          <w:b/>
          <w:bCs/>
          <w:spacing w:val="5"/>
          <w:sz w:val="20"/>
          <w:szCs w:val="20"/>
          <w:lang w:eastAsia="zh-CN"/>
        </w:rPr>
      </w:pPr>
    </w:p>
    <w:p w14:paraId="4CDED20B">
      <w:pPr>
        <w:spacing w:before="41" w:line="227" w:lineRule="auto"/>
        <w:rPr>
          <w:rFonts w:ascii="宋体" w:hAnsi="宋体" w:eastAsia="宋体" w:cs="宋体"/>
          <w:b/>
          <w:bCs/>
          <w:spacing w:val="5"/>
          <w:sz w:val="20"/>
          <w:szCs w:val="20"/>
          <w:lang w:eastAsia="zh-CN"/>
        </w:rPr>
      </w:pPr>
    </w:p>
    <w:p w14:paraId="68239BE5">
      <w:pPr>
        <w:spacing w:before="162" w:line="227" w:lineRule="auto"/>
        <w:ind w:left="22"/>
        <w:rPr>
          <w:rFonts w:ascii="宋体" w:hAnsi="宋体" w:eastAsia="宋体" w:cs="宋体"/>
          <w:sz w:val="22"/>
          <w:szCs w:val="22"/>
          <w:lang w:eastAsia="zh-CN"/>
        </w:rPr>
      </w:pPr>
      <w:r>
        <w:rPr>
          <w:rFonts w:hint="eastAsia" w:ascii="宋体" w:hAnsi="宋体" w:eastAsia="宋体" w:cs="宋体"/>
          <w:spacing w:val="8"/>
          <w:sz w:val="22"/>
          <w:szCs w:val="22"/>
          <w:lang w:val="en-US" w:eastAsia="zh-CN"/>
        </w:rPr>
        <w:t>服务商</w:t>
      </w:r>
      <w:r>
        <w:rPr>
          <w:rFonts w:ascii="宋体" w:hAnsi="宋体" w:eastAsia="宋体" w:cs="宋体"/>
          <w:spacing w:val="8"/>
          <w:sz w:val="22"/>
          <w:szCs w:val="22"/>
          <w:lang w:eastAsia="zh-CN"/>
        </w:rPr>
        <w:t>名称（盖章</w:t>
      </w:r>
      <w:r>
        <w:rPr>
          <w:rFonts w:ascii="宋体" w:hAnsi="宋体" w:eastAsia="宋体" w:cs="宋体"/>
          <w:spacing w:val="13"/>
          <w:sz w:val="22"/>
          <w:szCs w:val="22"/>
          <w:lang w:eastAsia="zh-CN"/>
        </w:rPr>
        <w:t>）：</w:t>
      </w:r>
      <w:r>
        <w:rPr>
          <w:rFonts w:ascii="宋体" w:hAnsi="宋体" w:eastAsia="宋体" w:cs="宋体"/>
          <w:sz w:val="22"/>
          <w:szCs w:val="22"/>
          <w:u w:val="single"/>
          <w:lang w:eastAsia="zh-CN"/>
        </w:rPr>
        <w:t xml:space="preserve">                          </w:t>
      </w:r>
    </w:p>
    <w:p w14:paraId="06001BA1">
      <w:pPr>
        <w:spacing w:before="65" w:line="227" w:lineRule="auto"/>
        <w:ind w:left="22"/>
        <w:rPr>
          <w:rFonts w:ascii="宋体" w:hAnsi="宋体" w:eastAsia="宋体" w:cs="宋体"/>
          <w:spacing w:val="9"/>
          <w:sz w:val="22"/>
          <w:szCs w:val="22"/>
          <w:lang w:eastAsia="zh-CN"/>
        </w:rPr>
      </w:pPr>
    </w:p>
    <w:p w14:paraId="3671E50D">
      <w:pPr>
        <w:spacing w:before="65" w:line="227" w:lineRule="auto"/>
        <w:ind w:left="22"/>
        <w:rPr>
          <w:rFonts w:ascii="宋体" w:hAnsi="宋体" w:eastAsia="宋体" w:cs="宋体"/>
          <w:sz w:val="22"/>
          <w:szCs w:val="22"/>
          <w:lang w:eastAsia="zh-CN"/>
        </w:rPr>
      </w:pPr>
      <w:r>
        <w:rPr>
          <w:rFonts w:hint="eastAsia" w:ascii="宋体" w:hAnsi="宋体" w:eastAsia="宋体" w:cs="宋体"/>
          <w:spacing w:val="9"/>
          <w:sz w:val="22"/>
          <w:szCs w:val="22"/>
          <w:lang w:val="en-US" w:eastAsia="zh-CN"/>
        </w:rPr>
        <w:t>服务商</w:t>
      </w:r>
      <w:r>
        <w:rPr>
          <w:rFonts w:ascii="宋体" w:hAnsi="宋体" w:eastAsia="宋体" w:cs="宋体"/>
          <w:spacing w:val="9"/>
          <w:sz w:val="22"/>
          <w:szCs w:val="22"/>
          <w:lang w:eastAsia="zh-CN"/>
        </w:rPr>
        <w:t>法定代表人（或法定代表人授权代表）签字：</w:t>
      </w:r>
      <w:r>
        <w:rPr>
          <w:rFonts w:ascii="宋体" w:hAnsi="宋体" w:eastAsia="宋体" w:cs="宋体"/>
          <w:sz w:val="22"/>
          <w:szCs w:val="22"/>
          <w:u w:val="single"/>
          <w:lang w:eastAsia="zh-CN"/>
        </w:rPr>
        <w:t xml:space="preserve">                    </w:t>
      </w:r>
    </w:p>
    <w:p w14:paraId="674AAC25">
      <w:pPr>
        <w:spacing w:before="41" w:line="227" w:lineRule="auto"/>
        <w:rPr>
          <w:rFonts w:ascii="宋体" w:hAnsi="宋体" w:eastAsia="宋体" w:cs="宋体"/>
          <w:spacing w:val="-6"/>
          <w:sz w:val="22"/>
          <w:szCs w:val="22"/>
          <w:lang w:eastAsia="zh-CN"/>
        </w:rPr>
      </w:pPr>
    </w:p>
    <w:p w14:paraId="7024B994">
      <w:pPr>
        <w:spacing w:before="41" w:line="227" w:lineRule="auto"/>
        <w:rPr>
          <w:rFonts w:ascii="宋体" w:hAnsi="宋体" w:eastAsia="宋体" w:cs="宋体"/>
          <w:b/>
          <w:bCs/>
          <w:spacing w:val="5"/>
          <w:sz w:val="20"/>
          <w:szCs w:val="20"/>
          <w:lang w:eastAsia="zh-CN"/>
        </w:rPr>
      </w:pPr>
      <w:r>
        <w:rPr>
          <w:rFonts w:ascii="宋体" w:hAnsi="宋体" w:eastAsia="宋体" w:cs="宋体"/>
          <w:spacing w:val="-6"/>
          <w:sz w:val="22"/>
          <w:szCs w:val="22"/>
          <w:lang w:eastAsia="zh-CN"/>
        </w:rPr>
        <w:t>日期：</w:t>
      </w:r>
      <w:r>
        <w:rPr>
          <w:rFonts w:ascii="宋体" w:hAnsi="宋体" w:eastAsia="宋体" w:cs="宋体"/>
          <w:spacing w:val="13"/>
          <w:sz w:val="22"/>
          <w:szCs w:val="22"/>
          <w:lang w:eastAsia="zh-CN"/>
        </w:rPr>
        <w:t xml:space="preserve">   </w:t>
      </w:r>
      <w:r>
        <w:rPr>
          <w:rFonts w:ascii="宋体" w:hAnsi="宋体" w:eastAsia="宋体" w:cs="宋体"/>
          <w:spacing w:val="-6"/>
          <w:sz w:val="22"/>
          <w:szCs w:val="22"/>
          <w:lang w:eastAsia="zh-CN"/>
        </w:rPr>
        <w:t>年</w:t>
      </w:r>
      <w:r>
        <w:rPr>
          <w:rFonts w:ascii="宋体" w:hAnsi="宋体" w:eastAsia="宋体" w:cs="宋体"/>
          <w:spacing w:val="9"/>
          <w:sz w:val="22"/>
          <w:szCs w:val="22"/>
          <w:lang w:eastAsia="zh-CN"/>
        </w:rPr>
        <w:t xml:space="preserve">   </w:t>
      </w:r>
      <w:r>
        <w:rPr>
          <w:rFonts w:ascii="宋体" w:hAnsi="宋体" w:eastAsia="宋体" w:cs="宋体"/>
          <w:spacing w:val="-6"/>
          <w:sz w:val="22"/>
          <w:szCs w:val="22"/>
          <w:lang w:eastAsia="zh-CN"/>
        </w:rPr>
        <w:t>月</w:t>
      </w:r>
      <w:r>
        <w:rPr>
          <w:rFonts w:ascii="宋体" w:hAnsi="宋体" w:eastAsia="宋体" w:cs="宋体"/>
          <w:spacing w:val="21"/>
          <w:sz w:val="22"/>
          <w:szCs w:val="22"/>
          <w:lang w:eastAsia="zh-CN"/>
        </w:rPr>
        <w:t xml:space="preserve">   </w:t>
      </w:r>
      <w:r>
        <w:rPr>
          <w:rFonts w:ascii="宋体" w:hAnsi="宋体" w:eastAsia="宋体" w:cs="宋体"/>
          <w:spacing w:val="-6"/>
          <w:sz w:val="22"/>
          <w:szCs w:val="22"/>
          <w:lang w:eastAsia="zh-CN"/>
        </w:rPr>
        <w:t>日</w:t>
      </w:r>
    </w:p>
    <w:p w14:paraId="0BED7EEA">
      <w:pPr>
        <w:spacing w:before="41" w:line="227" w:lineRule="auto"/>
        <w:rPr>
          <w:rFonts w:ascii="宋体" w:hAnsi="宋体" w:eastAsia="宋体" w:cs="宋体"/>
          <w:b/>
          <w:bCs/>
          <w:spacing w:val="5"/>
          <w:sz w:val="20"/>
          <w:szCs w:val="20"/>
          <w:lang w:eastAsia="zh-CN"/>
        </w:rPr>
      </w:pPr>
    </w:p>
    <w:p w14:paraId="291C24FB">
      <w:pPr>
        <w:spacing w:before="41" w:line="227" w:lineRule="auto"/>
        <w:rPr>
          <w:rFonts w:ascii="宋体" w:hAnsi="宋体" w:eastAsia="宋体" w:cs="宋体"/>
          <w:b/>
          <w:bCs/>
          <w:spacing w:val="5"/>
          <w:sz w:val="20"/>
          <w:szCs w:val="20"/>
          <w:lang w:eastAsia="zh-CN"/>
        </w:rPr>
      </w:pPr>
    </w:p>
    <w:p w14:paraId="59718550">
      <w:pPr>
        <w:spacing w:before="41" w:line="227" w:lineRule="auto"/>
        <w:rPr>
          <w:rFonts w:hint="default" w:ascii="宋体" w:hAnsi="宋体" w:eastAsia="宋体" w:cs="宋体"/>
          <w:b/>
          <w:bCs/>
          <w:spacing w:val="7"/>
          <w:sz w:val="20"/>
          <w:szCs w:val="20"/>
          <w:lang w:val="en-US" w:eastAsia="zh-CN"/>
        </w:rPr>
      </w:pPr>
      <w:r>
        <w:rPr>
          <w:rFonts w:ascii="宋体" w:hAnsi="宋体" w:eastAsia="宋体" w:cs="宋体"/>
          <w:b/>
          <w:bCs/>
          <w:spacing w:val="5"/>
          <w:sz w:val="20"/>
          <w:szCs w:val="20"/>
          <w:lang w:eastAsia="zh-CN"/>
        </w:rPr>
        <w:br w:type="page"/>
      </w:r>
    </w:p>
    <w:p w14:paraId="37C98485">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承诺函</w:t>
      </w:r>
      <w:r>
        <w:rPr>
          <w:rFonts w:ascii="宋体" w:hAnsi="宋体" w:eastAsia="宋体" w:cs="宋体"/>
          <w:b/>
          <w:bCs/>
          <w:spacing w:val="7"/>
          <w:sz w:val="20"/>
          <w:szCs w:val="20"/>
          <w:lang w:eastAsia="zh-CN"/>
        </w:rPr>
        <w:t>（格式自拟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内容包括但不限于：</w:t>
      </w:r>
    </w:p>
    <w:p w14:paraId="5503DA8E">
      <w:pPr>
        <w:keepNext w:val="0"/>
        <w:keepLines w:val="0"/>
        <w:pageBreakBefore w:val="0"/>
        <w:widowControl/>
        <w:kinsoku w:val="0"/>
        <w:wordWrap/>
        <w:overflowPunct/>
        <w:topLinePunct w:val="0"/>
        <w:autoSpaceDE w:val="0"/>
        <w:autoSpaceDN w:val="0"/>
        <w:bidi w:val="0"/>
        <w:adjustRightInd w:val="0"/>
        <w:snapToGrid w:val="0"/>
        <w:spacing w:before="63" w:beforeLines="20" w:line="228" w:lineRule="auto"/>
        <w:textAlignment w:val="baseline"/>
        <w:rPr>
          <w:rFonts w:hint="eastAsia"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t>①</w:t>
      </w:r>
      <w:r>
        <w:rPr>
          <w:rFonts w:hint="eastAsia" w:ascii="宋体" w:hAnsi="宋体" w:eastAsia="宋体" w:cs="宋体"/>
          <w:b/>
          <w:bCs/>
          <w:spacing w:val="7"/>
          <w:sz w:val="20"/>
          <w:szCs w:val="20"/>
          <w:lang w:val="en-US" w:eastAsia="zh-CN"/>
        </w:rPr>
        <w:t xml:space="preserve"> 中标供应商须严格按照国家市场监督管理总局发布血液透析装置校准规范完成以下全套计量参数检测与校准，所有误差超标的参数必须现场调校合格；</w:t>
      </w:r>
    </w:p>
    <w:p w14:paraId="724D05F4">
      <w:pPr>
        <w:keepNext w:val="0"/>
        <w:keepLines w:val="0"/>
        <w:pageBreakBefore w:val="0"/>
        <w:widowControl/>
        <w:kinsoku w:val="0"/>
        <w:wordWrap/>
        <w:overflowPunct/>
        <w:topLinePunct w:val="0"/>
        <w:autoSpaceDE w:val="0"/>
        <w:autoSpaceDN w:val="0"/>
        <w:bidi w:val="0"/>
        <w:adjustRightInd w:val="0"/>
        <w:snapToGrid w:val="0"/>
        <w:spacing w:before="63" w:beforeLines="20" w:line="228" w:lineRule="auto"/>
        <w:textAlignment w:val="baseline"/>
        <w:rPr>
          <w:rFonts w:hint="eastAsia"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t>②</w:t>
      </w:r>
      <w:r>
        <w:rPr>
          <w:rFonts w:hint="eastAsia" w:ascii="宋体" w:hAnsi="宋体" w:eastAsia="宋体" w:cs="宋体"/>
          <w:b/>
          <w:bCs/>
          <w:spacing w:val="7"/>
          <w:sz w:val="20"/>
          <w:szCs w:val="20"/>
          <w:lang w:val="en-US" w:eastAsia="zh-CN"/>
        </w:rPr>
        <w:t xml:space="preserve"> 对每台透析机进行整机计量精度排查、参数比对、误差校准；</w:t>
      </w:r>
    </w:p>
    <w:p w14:paraId="6062AF1A">
      <w:pPr>
        <w:keepNext w:val="0"/>
        <w:keepLines w:val="0"/>
        <w:pageBreakBefore w:val="0"/>
        <w:widowControl/>
        <w:kinsoku w:val="0"/>
        <w:wordWrap/>
        <w:overflowPunct/>
        <w:topLinePunct w:val="0"/>
        <w:autoSpaceDE w:val="0"/>
        <w:autoSpaceDN w:val="0"/>
        <w:bidi w:val="0"/>
        <w:adjustRightInd w:val="0"/>
        <w:snapToGrid w:val="0"/>
        <w:spacing w:before="63" w:beforeLines="20" w:line="228" w:lineRule="auto"/>
        <w:textAlignment w:val="baseline"/>
        <w:rPr>
          <w:rFonts w:hint="eastAsia"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t>③</w:t>
      </w:r>
      <w:r>
        <w:rPr>
          <w:rFonts w:hint="eastAsia" w:ascii="宋体" w:hAnsi="宋体" w:eastAsia="宋体" w:cs="宋体"/>
          <w:b/>
          <w:bCs/>
          <w:spacing w:val="7"/>
          <w:sz w:val="20"/>
          <w:szCs w:val="20"/>
          <w:lang w:val="en-US" w:eastAsia="zh-CN"/>
        </w:rPr>
        <w:t xml:space="preserve"> 服务完成后出具CMA或CNAS合法有效的计量校准报告、检测合格报告，可用于院级质控、卫健委检查、年度设备校验、CNRDS质控核查；</w:t>
      </w:r>
    </w:p>
    <w:p w14:paraId="0ED036F7">
      <w:pPr>
        <w:keepNext w:val="0"/>
        <w:keepLines w:val="0"/>
        <w:pageBreakBefore w:val="0"/>
        <w:widowControl/>
        <w:kinsoku w:val="0"/>
        <w:wordWrap/>
        <w:overflowPunct/>
        <w:topLinePunct w:val="0"/>
        <w:autoSpaceDE w:val="0"/>
        <w:autoSpaceDN w:val="0"/>
        <w:bidi w:val="0"/>
        <w:adjustRightInd w:val="0"/>
        <w:snapToGrid w:val="0"/>
        <w:spacing w:before="63" w:beforeLines="20" w:line="228" w:lineRule="auto"/>
        <w:textAlignment w:val="baseline"/>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t>④</w:t>
      </w:r>
      <w:r>
        <w:rPr>
          <w:rFonts w:hint="eastAsia" w:ascii="宋体" w:hAnsi="宋体" w:eastAsia="宋体" w:cs="宋体"/>
          <w:b/>
          <w:bCs/>
          <w:spacing w:val="7"/>
          <w:sz w:val="20"/>
          <w:szCs w:val="20"/>
          <w:lang w:val="en-US" w:eastAsia="zh-CN"/>
        </w:rPr>
        <w:t xml:space="preserve"> 所有计量参数误差全部符合国家行业标准YY/T 0595-2020。</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1B55C4C2">
      <w:pPr>
        <w:rPr>
          <w:rFonts w:hint="default" w:ascii="宋体" w:hAnsi="宋体" w:eastAsia="宋体" w:cs="宋体"/>
          <w:sz w:val="20"/>
          <w:szCs w:val="20"/>
          <w:lang w:val="en-US" w:eastAsia="zh-CN"/>
        </w:rPr>
      </w:pPr>
      <w:r>
        <w:rPr>
          <w:rFonts w:hint="eastAsia" w:ascii="宋体" w:hAnsi="宋体" w:eastAsia="宋体" w:cs="宋体"/>
          <w:b/>
          <w:bCs/>
          <w:spacing w:val="7"/>
          <w:sz w:val="20"/>
          <w:szCs w:val="20"/>
          <w:lang w:val="en-US" w:eastAsia="zh-CN"/>
        </w:rPr>
        <w:t>十一</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检测服务方案（格式自拟，加盖公章）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B14368"/>
    <w:rsid w:val="00DF1B45"/>
    <w:rsid w:val="01E26336"/>
    <w:rsid w:val="03E25113"/>
    <w:rsid w:val="04EC1D69"/>
    <w:rsid w:val="04F55503"/>
    <w:rsid w:val="05D250F6"/>
    <w:rsid w:val="06593602"/>
    <w:rsid w:val="07134C7D"/>
    <w:rsid w:val="07DE22A7"/>
    <w:rsid w:val="0A1B60BD"/>
    <w:rsid w:val="0A382368"/>
    <w:rsid w:val="0E881903"/>
    <w:rsid w:val="0E9C78E3"/>
    <w:rsid w:val="10063231"/>
    <w:rsid w:val="121A714F"/>
    <w:rsid w:val="126C008B"/>
    <w:rsid w:val="13666B31"/>
    <w:rsid w:val="16DD5993"/>
    <w:rsid w:val="17342F98"/>
    <w:rsid w:val="18C80C4B"/>
    <w:rsid w:val="1A2A55D2"/>
    <w:rsid w:val="1E9D0594"/>
    <w:rsid w:val="1EA21FDF"/>
    <w:rsid w:val="1EDF5020"/>
    <w:rsid w:val="20607AD1"/>
    <w:rsid w:val="20BE2A44"/>
    <w:rsid w:val="22732647"/>
    <w:rsid w:val="23487B36"/>
    <w:rsid w:val="2695736E"/>
    <w:rsid w:val="26B446CD"/>
    <w:rsid w:val="295E287B"/>
    <w:rsid w:val="2E4E00D9"/>
    <w:rsid w:val="303651EF"/>
    <w:rsid w:val="32CF6B39"/>
    <w:rsid w:val="34FB4D56"/>
    <w:rsid w:val="35A042B7"/>
    <w:rsid w:val="36073C0B"/>
    <w:rsid w:val="38A61FE4"/>
    <w:rsid w:val="3B082DE1"/>
    <w:rsid w:val="3EA37D2A"/>
    <w:rsid w:val="3EB26D88"/>
    <w:rsid w:val="3F301AC1"/>
    <w:rsid w:val="3F314B61"/>
    <w:rsid w:val="3F376A9D"/>
    <w:rsid w:val="40070C31"/>
    <w:rsid w:val="40671DCB"/>
    <w:rsid w:val="40C03509"/>
    <w:rsid w:val="410906FA"/>
    <w:rsid w:val="48681F60"/>
    <w:rsid w:val="4A4831FA"/>
    <w:rsid w:val="4AD416BE"/>
    <w:rsid w:val="4AEA4ACB"/>
    <w:rsid w:val="4C030C69"/>
    <w:rsid w:val="50573AD2"/>
    <w:rsid w:val="5178029F"/>
    <w:rsid w:val="556A1102"/>
    <w:rsid w:val="5774562F"/>
    <w:rsid w:val="583062A5"/>
    <w:rsid w:val="58514D81"/>
    <w:rsid w:val="5D861D83"/>
    <w:rsid w:val="5E5E5F4E"/>
    <w:rsid w:val="60F13F5B"/>
    <w:rsid w:val="635B2744"/>
    <w:rsid w:val="6582439F"/>
    <w:rsid w:val="692B7560"/>
    <w:rsid w:val="6C452F22"/>
    <w:rsid w:val="6E273416"/>
    <w:rsid w:val="71197574"/>
    <w:rsid w:val="71ED4D1B"/>
    <w:rsid w:val="72E46FD9"/>
    <w:rsid w:val="73252077"/>
    <w:rsid w:val="7372318C"/>
    <w:rsid w:val="75E87F4B"/>
    <w:rsid w:val="7686462A"/>
    <w:rsid w:val="782E64D9"/>
    <w:rsid w:val="790F76AC"/>
    <w:rsid w:val="7A657D9C"/>
    <w:rsid w:val="7CBE4AD3"/>
    <w:rsid w:val="7DE524A4"/>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1"/>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character" w:styleId="8">
    <w:name w:val="Strong"/>
    <w:basedOn w:val="7"/>
    <w:qFormat/>
    <w:uiPriority w:val="0"/>
    <w:rPr>
      <w:b/>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style>
  <w:style w:type="character" w:customStyle="1" w:styleId="11">
    <w:name w:val="正文文本缩进 2 Char"/>
    <w:link w:val="4"/>
    <w:autoRedefine/>
    <w:qFormat/>
    <w:uiPriority w:val="0"/>
    <w:rPr>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14</Pages>
  <Words>4439</Words>
  <Characters>4603</Characters>
  <Lines>55</Lines>
  <Paragraphs>15</Paragraphs>
  <TotalTime>1</TotalTime>
  <ScaleCrop>false</ScaleCrop>
  <LinksUpToDate>false</LinksUpToDate>
  <CharactersWithSpaces>5071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cp:lastPrinted>2026-06-12T04:04:00Z</cp:lastPrinted>
  <dcterms:modified xsi:type="dcterms:W3CDTF">2026-09-14T10:10:03Z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615208E863F54028A28B808C60B4BF72_13</vt:lpwstr>
  </property>
  <property fmtid="{D5CDD505-2E9C-101B-9397-08002B2CF9AE}" pid="4" name="KSOTemplateDocerSaveRecord">
    <vt:lpwstr>eyJoZGlkIjoiZjMxODI1ZDk1NTM3ZThjZDIyMDM0N2Q4Njc3ODMwMjMiLCJ1c2VySWQiOiIyNjI5MDY5MzEifQ==</vt:lpwstr>
  </property>
</Properties>
</file>