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000000" w:themeColor="text1"/>
          <w:kern w:val="28"/>
          <w:sz w:val="44"/>
          <w:szCs w:val="36"/>
          <w:highlight w:val="none"/>
          <w14:textFill>
            <w14:solidFill>
              <w14:schemeClr w14:val="tx1"/>
            </w14:solidFill>
          </w14:textFill>
        </w:rPr>
      </w:pPr>
      <w:r>
        <w:rPr>
          <w:rFonts w:hint="eastAsia" w:ascii="宋体" w:hAnsi="宋体"/>
          <w:b/>
          <w:color w:val="000000" w:themeColor="text1"/>
          <w:kern w:val="28"/>
          <w:sz w:val="44"/>
          <w:szCs w:val="36"/>
          <w:highlight w:val="none"/>
          <w14:textFill>
            <w14:solidFill>
              <w14:schemeClr w14:val="tx1"/>
            </w14:solidFill>
          </w14:textFill>
        </w:rPr>
        <w:t>采购</w:t>
      </w:r>
      <w:r>
        <w:rPr>
          <w:rFonts w:ascii="宋体" w:hAnsi="宋体"/>
          <w:b/>
          <w:color w:val="000000" w:themeColor="text1"/>
          <w:kern w:val="28"/>
          <w:sz w:val="44"/>
          <w:szCs w:val="36"/>
          <w:highlight w:val="none"/>
          <w14:textFill>
            <w14:solidFill>
              <w14:schemeClr w14:val="tx1"/>
            </w14:solidFill>
          </w14:textFill>
        </w:rPr>
        <w:t>需求书</w:t>
      </w:r>
    </w:p>
    <w:p w14:paraId="23DFADCC">
      <w:pPr>
        <w:numPr>
          <w:ilvl w:val="0"/>
          <w:numId w:val="0"/>
        </w:num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一、</w:t>
      </w:r>
      <w:r>
        <w:rPr>
          <w:rFonts w:hint="eastAsia" w:ascii="仿宋" w:hAnsi="仿宋" w:eastAsia="仿宋" w:cs="仿宋"/>
          <w:b/>
          <w:color w:val="000000" w:themeColor="text1"/>
          <w:sz w:val="24"/>
          <w:highlight w:val="none"/>
          <w14:textFill>
            <w14:solidFill>
              <w14:schemeClr w14:val="tx1"/>
            </w14:solidFill>
          </w14:textFill>
        </w:rPr>
        <w:t>总则：</w:t>
      </w:r>
    </w:p>
    <w:p w14:paraId="58FD94F0">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4C65F35">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color w:val="000000" w:themeColor="text1"/>
          <w:sz w:val="24"/>
          <w:highlight w:val="none"/>
          <w:lang w:eastAsia="zh-CN"/>
          <w14:textFill>
            <w14:solidFill>
              <w14:schemeClr w14:val="tx1"/>
            </w14:solidFill>
          </w14:textFill>
        </w:rPr>
        <w:t>采购需求</w:t>
      </w:r>
      <w:r>
        <w:rPr>
          <w:rFonts w:hint="eastAsia" w:ascii="仿宋" w:hAnsi="仿宋" w:eastAsia="仿宋" w:cs="仿宋"/>
          <w:color w:val="000000" w:themeColor="text1"/>
          <w:sz w:val="24"/>
          <w:highlight w:val="none"/>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3EB731D9">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p w14:paraId="5991DCE9">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.本文的“质保期”是指中标标的物经约定的验收机构完成验收之日起算，截止中标人承诺的期限。</w:t>
      </w:r>
    </w:p>
    <w:p w14:paraId="2B9D2695">
      <w:pPr>
        <w:numPr>
          <w:ilvl w:val="0"/>
          <w:numId w:val="0"/>
        </w:num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二、</w:t>
      </w:r>
      <w:r>
        <w:rPr>
          <w:rFonts w:hint="eastAsia" w:ascii="仿宋" w:hAnsi="仿宋" w:eastAsia="仿宋" w:cs="仿宋"/>
          <w:b/>
          <w:color w:val="000000" w:themeColor="text1"/>
          <w:sz w:val="24"/>
          <w:highlight w:val="none"/>
          <w14:textFill>
            <w14:solidFill>
              <w14:schemeClr w14:val="tx1"/>
            </w14:solidFill>
          </w14:textFill>
        </w:rPr>
        <w:t>基本需求</w:t>
      </w:r>
    </w:p>
    <w:tbl>
      <w:tblPr>
        <w:tblStyle w:val="11"/>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需求科室/部门</w:t>
            </w:r>
          </w:p>
        </w:tc>
        <w:tc>
          <w:tcPr>
            <w:tcW w:w="2508" w:type="dxa"/>
          </w:tcPr>
          <w:p w14:paraId="67829918">
            <w:pPr>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jc w:val="center"/>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动态心电记录器</w:t>
            </w:r>
          </w:p>
        </w:tc>
        <w:tc>
          <w:tcPr>
            <w:tcW w:w="2268" w:type="dxa"/>
          </w:tcPr>
          <w:p w14:paraId="29F1C941">
            <w:pPr>
              <w:spacing w:line="440" w:lineRule="exact"/>
              <w:jc w:val="center"/>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超声科</w:t>
            </w:r>
          </w:p>
        </w:tc>
        <w:tc>
          <w:tcPr>
            <w:tcW w:w="2508" w:type="dxa"/>
          </w:tcPr>
          <w:p w14:paraId="5937043E">
            <w:pPr>
              <w:spacing w:line="440" w:lineRule="exact"/>
              <w:jc w:val="center"/>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p>
        </w:tc>
      </w:tr>
    </w:tbl>
    <w:p w14:paraId="26B12F7A">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核心产品：</w:t>
      </w:r>
      <w:r>
        <w:rPr>
          <w:rFonts w:hint="eastAsia" w:ascii="仿宋" w:hAnsi="仿宋" w:eastAsia="仿宋" w:cs="仿宋"/>
          <w:color w:val="000000" w:themeColor="text1"/>
          <w:sz w:val="24"/>
          <w:highlight w:val="none"/>
          <w:lang w:val="en-US" w:eastAsia="zh-CN"/>
          <w14:textFill>
            <w14:solidFill>
              <w14:schemeClr w14:val="tx1"/>
            </w14:solidFill>
          </w14:textFill>
        </w:rPr>
        <w:t>动态心电记录器+配套原装导联线</w:t>
      </w:r>
    </w:p>
    <w:p w14:paraId="765E1167">
      <w:pPr>
        <w:spacing w:line="360" w:lineRule="auto"/>
        <w:jc w:val="left"/>
        <w:rPr>
          <w:rFonts w:hint="default" w:ascii="仿宋" w:hAnsi="仿宋" w:eastAsia="仿宋" w:cs="仿宋_GB2312"/>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用途：</w:t>
      </w:r>
      <w:r>
        <w:rPr>
          <w:rFonts w:hint="eastAsia" w:ascii="仿宋" w:hAnsi="仿宋" w:eastAsia="仿宋" w:cs="仿宋"/>
          <w:color w:val="000000" w:themeColor="text1"/>
          <w:sz w:val="24"/>
          <w:highlight w:val="none"/>
          <w:lang w:val="en-US" w:eastAsia="zh-CN"/>
          <w14:textFill>
            <w14:solidFill>
              <w14:schemeClr w14:val="tx1"/>
            </w14:solidFill>
          </w14:textFill>
        </w:rPr>
        <w:t>用于测量、采集、观察和存储动态心电图，供临床诊断</w:t>
      </w:r>
      <w:r>
        <w:rPr>
          <w:rFonts w:hint="eastAsia" w:ascii="仿宋" w:hAnsi="仿宋" w:eastAsia="仿宋" w:cs="仿宋_GB2312"/>
          <w:color w:val="000000" w:themeColor="text1"/>
          <w:sz w:val="28"/>
          <w:szCs w:val="28"/>
          <w:highlight w:val="none"/>
          <w:lang w:val="en-US" w:eastAsia="zh-CN"/>
          <w14:textFill>
            <w14:solidFill>
              <w14:schemeClr w14:val="tx1"/>
            </w14:solidFill>
          </w14:textFill>
        </w:rPr>
        <w:t>。</w:t>
      </w:r>
    </w:p>
    <w:p w14:paraId="24A16ACA">
      <w:pPr>
        <w:spacing w:line="440" w:lineRule="exact"/>
        <w:rPr>
          <w:rFonts w:ascii="仿宋" w:hAnsi="仿宋" w:eastAsia="仿宋" w:cs="仿宋"/>
          <w:b/>
          <w:color w:val="000000" w:themeColor="text1"/>
          <w:sz w:val="24"/>
          <w:highlight w:val="none"/>
          <w14:textFill>
            <w14:solidFill>
              <w14:schemeClr w14:val="tx1"/>
            </w14:solidFill>
          </w14:textFill>
        </w:rPr>
      </w:pPr>
    </w:p>
    <w:p w14:paraId="426AD8A4">
      <w:pPr>
        <w:numPr>
          <w:ilvl w:val="0"/>
          <w:numId w:val="0"/>
        </w:num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三、</w:t>
      </w:r>
      <w:r>
        <w:rPr>
          <w:rFonts w:hint="eastAsia" w:ascii="仿宋" w:hAnsi="仿宋" w:eastAsia="仿宋" w:cs="仿宋"/>
          <w:b/>
          <w:color w:val="000000" w:themeColor="text1"/>
          <w:sz w:val="24"/>
          <w:highlight w:val="none"/>
          <w14:textFill>
            <w14:solidFill>
              <w14:schemeClr w14:val="tx1"/>
            </w14:solidFill>
          </w14:textFill>
        </w:rPr>
        <w:t>技术参数：</w:t>
      </w:r>
    </w:p>
    <w:p w14:paraId="37369D84">
      <w:pPr>
        <w:widowControl w:val="0"/>
        <w:numPr>
          <w:ilvl w:val="0"/>
          <w:numId w:val="0"/>
        </w:numPr>
        <w:adjustRightInd/>
        <w:snapToGrid/>
        <w:spacing w:after="0" w:line="360" w:lineRule="auto"/>
        <w:jc w:val="both"/>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动态心电图系统（动态心电</w:t>
      </w:r>
      <w:r>
        <w:rPr>
          <w:rFonts w:hint="eastAsia" w:ascii="仿宋" w:hAnsi="仿宋" w:eastAsia="仿宋" w:cs="仿宋"/>
          <w:b/>
          <w:bCs/>
          <w:color w:val="000000" w:themeColor="text1"/>
          <w:sz w:val="24"/>
          <w:szCs w:val="24"/>
          <w:highlight w:val="none"/>
          <w14:textFill>
            <w14:solidFill>
              <w14:schemeClr w14:val="tx1"/>
            </w14:solidFill>
          </w14:textFill>
        </w:rPr>
        <w:t>记录器</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p w14:paraId="151ADF7B">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具备ISO9001/</w:t>
      </w:r>
      <w:r>
        <w:rPr>
          <w:rFonts w:hint="eastAsia" w:ascii="仿宋" w:hAnsi="仿宋" w:eastAsia="仿宋" w:cs="仿宋"/>
          <w:b w:val="0"/>
          <w:bCs w:val="0"/>
          <w:color w:val="000000" w:themeColor="text1"/>
          <w:sz w:val="24"/>
          <w:szCs w:val="24"/>
          <w:highlight w:val="none"/>
          <w14:textFill>
            <w14:solidFill>
              <w14:schemeClr w14:val="tx1"/>
            </w14:solidFill>
          </w14:textFill>
        </w:rPr>
        <w:t>ISO13485</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双</w:t>
      </w:r>
      <w:r>
        <w:rPr>
          <w:rFonts w:hint="eastAsia" w:ascii="仿宋" w:hAnsi="仿宋" w:eastAsia="仿宋" w:cs="仿宋"/>
          <w:b w:val="0"/>
          <w:bCs w:val="0"/>
          <w:color w:val="000000" w:themeColor="text1"/>
          <w:sz w:val="24"/>
          <w:szCs w:val="24"/>
          <w:highlight w:val="none"/>
          <w14:textFill>
            <w14:solidFill>
              <w14:schemeClr w14:val="tx1"/>
            </w14:solidFill>
          </w14:textFill>
        </w:rPr>
        <w:t>质量体系认证</w:t>
      </w:r>
    </w:p>
    <w:p w14:paraId="784E258A">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2.</w:t>
      </w:r>
      <w:r>
        <w:rPr>
          <w:rFonts w:hint="eastAsia" w:ascii="仿宋" w:hAnsi="仿宋" w:eastAsia="仿宋" w:cs="仿宋"/>
          <w:b w:val="0"/>
          <w:bCs w:val="0"/>
          <w:color w:val="000000" w:themeColor="text1"/>
          <w:sz w:val="24"/>
          <w:szCs w:val="24"/>
          <w:highlight w:val="none"/>
          <w14:textFill>
            <w14:solidFill>
              <w14:schemeClr w14:val="tx1"/>
            </w14:solidFill>
          </w14:textFill>
        </w:rPr>
        <w:t>记录器采用固化式闪存，</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防</w:t>
      </w:r>
      <w:r>
        <w:rPr>
          <w:rFonts w:hint="eastAsia" w:ascii="仿宋" w:hAnsi="仿宋" w:eastAsia="仿宋" w:cs="仿宋"/>
          <w:b w:val="0"/>
          <w:bCs w:val="0"/>
          <w:color w:val="000000" w:themeColor="text1"/>
          <w:sz w:val="24"/>
          <w:szCs w:val="24"/>
          <w:highlight w:val="none"/>
          <w14:textFill>
            <w14:solidFill>
              <w14:schemeClr w14:val="tx1"/>
            </w14:solidFill>
          </w14:textFill>
        </w:rPr>
        <w:t>病毒</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侵入设计</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提供产品技术白皮书说明或可防病毒设计的相关知识产权证书验证</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p>
    <w:p w14:paraId="5D5C7DB5">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3.</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14:textFill>
            <w14:solidFill>
              <w14:schemeClr w14:val="tx1"/>
            </w14:solidFill>
          </w14:textFill>
        </w:rPr>
        <w:t>心电采集4096</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HZ</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提供产品技术白皮书说明或产品说明书证明</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192F71ED">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4.</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▲支持独立起搏通道，起搏采样率10000HZ及以上</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提供产品技术白皮书说明或产品说明书证明</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18EC2DFD">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5.</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支持12/18通道</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05F8B74A">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6.</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支持24小时以上的连续记录</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59ADF760">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7.</w:t>
      </w:r>
      <w:r>
        <w:rPr>
          <w:rFonts w:hint="eastAsia" w:ascii="仿宋" w:hAnsi="仿宋" w:eastAsia="仿宋" w:cs="仿宋"/>
          <w:b w:val="0"/>
          <w:bCs w:val="0"/>
          <w:color w:val="000000" w:themeColor="text1"/>
          <w:sz w:val="24"/>
          <w:szCs w:val="24"/>
          <w:highlight w:val="none"/>
          <w14:textFill>
            <w14:solidFill>
              <w14:schemeClr w14:val="tx1"/>
            </w14:solidFill>
          </w14:textFill>
        </w:rPr>
        <w:t>使用1节7号电池供电。</w:t>
      </w:r>
    </w:p>
    <w:p w14:paraId="08E568D7">
      <w:pPr>
        <w:widowControl w:val="0"/>
        <w:numPr>
          <w:ilvl w:val="0"/>
          <w:numId w:val="0"/>
        </w:numPr>
        <w:adjustRightInd/>
        <w:snapToGrid/>
        <w:spacing w:after="0" w:line="360" w:lineRule="auto"/>
        <w:jc w:val="both"/>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p w14:paraId="711FEF5B">
      <w:pP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p w14:paraId="37832C02">
      <w:pPr>
        <w:numPr>
          <w:ilvl w:val="0"/>
          <w:numId w:val="0"/>
        </w:numPr>
        <w:spacing w:line="360" w:lineRule="auto"/>
        <w:ind w:left="0" w:leftChars="0" w:firstLine="0" w:firstLineChars="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（2）</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动态心电图系统（动态心电图软件）</w:t>
      </w:r>
    </w:p>
    <w:p w14:paraId="76263045">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▲可显示、编辑、打印心电图，</w:t>
      </w:r>
      <w:bookmarkStart w:id="0" w:name="_GoBack"/>
      <w:bookmarkEnd w:id="0"/>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包括12导联（提供注册证验证）。</w:t>
      </w:r>
    </w:p>
    <w:p w14:paraId="70FD7EC6">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2.</w:t>
      </w:r>
      <w:r>
        <w:rPr>
          <w:rFonts w:hint="eastAsia" w:ascii="仿宋" w:hAnsi="仿宋" w:eastAsia="仿宋" w:cs="仿宋"/>
          <w:b w:val="0"/>
          <w:bCs w:val="0"/>
          <w:color w:val="000000" w:themeColor="text1"/>
          <w:sz w:val="24"/>
          <w:szCs w:val="24"/>
          <w:highlight w:val="none"/>
          <w14:textFill>
            <w14:solidFill>
              <w14:schemeClr w14:val="tx1"/>
            </w14:solidFill>
          </w14:textFill>
        </w:rPr>
        <w:t>支持首页自定义报告抬头，医院可自行设计各自抬头。</w:t>
      </w:r>
    </w:p>
    <w:p w14:paraId="45F34C08">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3.</w:t>
      </w:r>
      <w:r>
        <w:rPr>
          <w:rFonts w:hint="eastAsia" w:ascii="仿宋" w:hAnsi="仿宋" w:eastAsia="仿宋" w:cs="仿宋"/>
          <w:b w:val="0"/>
          <w:bCs w:val="0"/>
          <w:color w:val="000000" w:themeColor="text1"/>
          <w:sz w:val="24"/>
          <w:szCs w:val="24"/>
          <w:highlight w:val="none"/>
          <w14:textFill>
            <w14:solidFill>
              <w14:schemeClr w14:val="tx1"/>
            </w14:solidFill>
          </w14:textFill>
        </w:rPr>
        <w:t>时间散点图无极缩放功能及逆向分析功能（</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提供产品技术白皮书说明或产品说明书证明</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53EE6149">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4.</w:t>
      </w:r>
      <w:r>
        <w:rPr>
          <w:rFonts w:hint="eastAsia" w:ascii="仿宋" w:hAnsi="仿宋" w:eastAsia="仿宋" w:cs="仿宋"/>
          <w:b w:val="0"/>
          <w:bCs w:val="0"/>
          <w:color w:val="000000" w:themeColor="text1"/>
          <w:sz w:val="24"/>
          <w:szCs w:val="24"/>
          <w:highlight w:val="none"/>
          <w14:textFill>
            <w14:solidFill>
              <w14:schemeClr w14:val="tx1"/>
            </w14:solidFill>
          </w14:textFill>
        </w:rPr>
        <w:t>室性逸搏分析功能：将室性异常搏动做出联律间期柱状图，根据时间关系加以区分。</w:t>
      </w:r>
    </w:p>
    <w:p w14:paraId="6FAE7363">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5.</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▲具备</w:t>
      </w:r>
      <w:r>
        <w:rPr>
          <w:rFonts w:hint="eastAsia" w:ascii="仿宋" w:hAnsi="仿宋" w:eastAsia="仿宋" w:cs="仿宋"/>
          <w:b w:val="0"/>
          <w:bCs w:val="0"/>
          <w:color w:val="000000" w:themeColor="text1"/>
          <w:sz w:val="24"/>
          <w:szCs w:val="24"/>
          <w:highlight w:val="none"/>
          <w14:textFill>
            <w14:solidFill>
              <w14:schemeClr w14:val="tx1"/>
            </w14:solidFill>
          </w14:textFill>
        </w:rPr>
        <w:t>12导联ST段三维趋势图，使观察心肌缺血发生部位更加直观（提供</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注册证验证或产品技术白皮书说明或产品说明书证明</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5A39E55C">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具有起搏器功能的自动搜查与识别功能</w:t>
      </w:r>
    </w:p>
    <w:p w14:paraId="15CA1C49">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7.</w:t>
      </w:r>
      <w:r>
        <w:rPr>
          <w:rFonts w:hint="eastAsia" w:ascii="仿宋" w:hAnsi="仿宋" w:eastAsia="仿宋" w:cs="仿宋"/>
          <w:b w:val="0"/>
          <w:bCs w:val="0"/>
          <w:color w:val="000000" w:themeColor="text1"/>
          <w:sz w:val="24"/>
          <w:szCs w:val="24"/>
          <w:highlight w:val="none"/>
          <w14:textFill>
            <w14:solidFill>
              <w14:schemeClr w14:val="tx1"/>
            </w14:solidFill>
          </w14:textFill>
        </w:rPr>
        <w:t>高性能的起搏器分析功能，适合VVI、AAI、DDD</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14:textFill>
            <w14:solidFill>
              <w14:schemeClr w14:val="tx1"/>
            </w14:solidFill>
          </w14:textFill>
        </w:rPr>
        <w:t>心脏起搏器的常见工作模式代码</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14:textFill>
            <w14:solidFill>
              <w14:schemeClr w14:val="tx1"/>
            </w14:solidFill>
          </w14:textFill>
        </w:rPr>
        <w:t>等多种类型起搏器。自动分析起搏失败、感知失败，房性起搏、房室顺序起搏、室性起搏、室性融合波等。</w:t>
      </w:r>
    </w:p>
    <w:p w14:paraId="3573C195">
      <w:pPr>
        <w:numPr>
          <w:ilvl w:val="0"/>
          <w:numId w:val="0"/>
        </w:numPr>
        <w:spacing w:line="360" w:lineRule="auto"/>
        <w:ind w:left="0" w:leftChars="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t>8.</w:t>
      </w:r>
      <w:r>
        <w:rPr>
          <w:rFonts w:hint="eastAsia" w:ascii="仿宋" w:hAnsi="仿宋" w:eastAsia="仿宋" w:cs="仿宋"/>
          <w:b w:val="0"/>
          <w:bCs w:val="0"/>
          <w:color w:val="000000" w:themeColor="text1"/>
          <w:sz w:val="24"/>
          <w:szCs w:val="24"/>
          <w:highlight w:val="none"/>
          <w14:textFill>
            <w14:solidFill>
              <w14:schemeClr w14:val="tx1"/>
            </w14:solidFill>
          </w14:textFill>
        </w:rPr>
        <w:t>具备新生儿波形的人工智能识别算法。</w:t>
      </w:r>
    </w:p>
    <w:p w14:paraId="144BBB4C">
      <w:pPr>
        <w:numPr>
          <w:ilvl w:val="0"/>
          <w:numId w:val="0"/>
        </w:numPr>
        <w:spacing w:line="360" w:lineRule="auto"/>
        <w:ind w:left="0" w:leftChars="0"/>
        <w:rPr>
          <w:rFonts w:hint="eastAsia" w:ascii="仿宋" w:hAnsi="仿宋" w:eastAsia="仿宋" w:cs="仿宋"/>
          <w:b/>
          <w:color w:val="000000" w:themeColor="text1"/>
          <w:sz w:val="24"/>
          <w:highlight w:val="none"/>
          <w:lang w:val="en-US" w:eastAsia="zh-CN"/>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9.</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▲软件</w:t>
      </w:r>
      <w:r>
        <w:rPr>
          <w:rFonts w:hint="eastAsia" w:ascii="仿宋" w:hAnsi="仿宋" w:eastAsia="仿宋" w:cs="仿宋"/>
          <w:b w:val="0"/>
          <w:bCs w:val="0"/>
          <w:color w:val="000000" w:themeColor="text1"/>
          <w:sz w:val="24"/>
          <w:szCs w:val="24"/>
          <w:highlight w:val="none"/>
          <w14:textFill>
            <w14:solidFill>
              <w14:schemeClr w14:val="tx1"/>
            </w14:solidFill>
          </w14:textFill>
        </w:rPr>
        <w:t>具备</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5种导联连接示意图</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（提供注册证验证或产品技术白皮书说明或产品说明书证明）。</w:t>
      </w:r>
    </w:p>
    <w:p w14:paraId="255CD2F5">
      <w:pPr>
        <w:numPr>
          <w:ilvl w:val="0"/>
          <w:numId w:val="0"/>
        </w:numPr>
        <w:spacing w:line="440" w:lineRule="exact"/>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 w:val="0"/>
          <w:bCs/>
          <w:color w:val="000000" w:themeColor="text1"/>
          <w:sz w:val="24"/>
          <w:highlight w:val="none"/>
          <w:lang w:val="en-US" w:eastAsia="zh-CN"/>
          <w14:textFill>
            <w14:solidFill>
              <w14:schemeClr w14:val="tx1"/>
            </w14:solidFill>
          </w14:textFill>
        </w:rPr>
        <w:t>能与院内心电网络系统对接并上传电子报告，</w:t>
      </w:r>
      <w:r>
        <w:rPr>
          <w:rFonts w:hint="eastAsia" w:ascii="仿宋" w:hAnsi="仿宋" w:eastAsia="仿宋" w:cs="仿宋"/>
          <w:b w:val="0"/>
          <w:bCs/>
          <w:color w:val="000000" w:themeColor="text1"/>
          <w:kern w:val="2"/>
          <w:sz w:val="24"/>
          <w:szCs w:val="24"/>
          <w:highlight w:val="none"/>
          <w:lang w:val="en-US" w:eastAsia="zh-CN" w:bidi="ar-SA"/>
          <w14:textFill>
            <w14:solidFill>
              <w14:schemeClr w14:val="tx1"/>
            </w14:solidFill>
          </w14:textFill>
        </w:rPr>
        <w:t>接口费由中标公司承担。</w:t>
      </w:r>
      <w:r>
        <w:rPr>
          <w:rFonts w:hint="eastAsia" w:ascii="仿宋" w:hAnsi="仿宋" w:eastAsia="仿宋" w:cs="仿宋"/>
          <w:b w:val="0"/>
          <w:bCs/>
          <w:color w:val="000000" w:themeColor="text1"/>
          <w:sz w:val="24"/>
          <w:highlight w:val="none"/>
          <w:lang w:val="en-US" w:eastAsia="zh-CN"/>
          <w14:textFill>
            <w14:solidFill>
              <w14:schemeClr w14:val="tx1"/>
            </w14:solidFill>
          </w14:textFill>
        </w:rPr>
        <w:t>中标人应负责完成设备与医院信息系统的全部接口开发、调试及验收工作。包含但不限于： 接口开发费用、系统联调测试费用、 临床数据迁移（如需）、首次对接失败的二次开发费用，上述费用均包含在投标总价中，采购人不再另行支付。</w:t>
      </w:r>
    </w:p>
    <w:p w14:paraId="2A6BFBF5">
      <w:pPr>
        <w:numPr>
          <w:ilvl w:val="0"/>
          <w:numId w:val="0"/>
        </w:numPr>
        <w:spacing w:line="440" w:lineRule="exact"/>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t>11.</w:t>
      </w:r>
      <w:r>
        <w:rPr>
          <w:rFonts w:hint="eastAsia" w:ascii="仿宋" w:hAnsi="仿宋" w:eastAsia="仿宋" w:cs="仿宋"/>
          <w:b w:val="0"/>
          <w:bCs/>
          <w:color w:val="000000" w:themeColor="text1"/>
          <w:sz w:val="24"/>
          <w:highlight w:val="none"/>
          <w:lang w:val="en-US" w:eastAsia="zh-CN"/>
          <w14:textFill>
            <w14:solidFill>
              <w14:schemeClr w14:val="tx1"/>
            </w14:solidFill>
          </w14:textFill>
        </w:rPr>
        <w:t>设备使用年限≥10年</w:t>
      </w:r>
    </w:p>
    <w:p w14:paraId="56B62EA6">
      <w:pPr>
        <w:numPr>
          <w:ilvl w:val="0"/>
          <w:numId w:val="0"/>
        </w:numPr>
        <w:spacing w:line="44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12.配套使用耗材为通用耗材，在广东省药品和医用耗材招采管理系统能挂网交易：一次性心电电极片。</w:t>
      </w:r>
    </w:p>
    <w:p w14:paraId="2D9C1BC3">
      <w:pPr>
        <w:numPr>
          <w:ilvl w:val="0"/>
          <w:numId w:val="0"/>
        </w:numPr>
        <w:spacing w:line="440" w:lineRule="exact"/>
        <w:rPr>
          <w:rFonts w:hint="eastAsia" w:ascii="仿宋" w:hAnsi="仿宋" w:eastAsia="仿宋" w:cs="仿宋"/>
          <w:b/>
          <w:color w:val="000000" w:themeColor="text1"/>
          <w:sz w:val="24"/>
          <w:highlight w:val="none"/>
          <w14:textFill>
            <w14:solidFill>
              <w14:schemeClr w14:val="tx1"/>
            </w14:solidFill>
          </w14:textFill>
        </w:rPr>
      </w:pPr>
    </w:p>
    <w:p w14:paraId="5B198E0B">
      <w:pPr>
        <w:numPr>
          <w:ilvl w:val="0"/>
          <w:numId w:val="0"/>
        </w:num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四、</w:t>
      </w:r>
      <w:r>
        <w:rPr>
          <w:rFonts w:hint="eastAsia" w:ascii="仿宋" w:hAnsi="仿宋" w:eastAsia="仿宋" w:cs="仿宋"/>
          <w:b/>
          <w:color w:val="000000" w:themeColor="text1"/>
          <w:sz w:val="24"/>
          <w:highlight w:val="none"/>
          <w14:textFill>
            <w14:solidFill>
              <w14:schemeClr w14:val="tx1"/>
            </w14:solidFill>
          </w14:textFill>
        </w:rPr>
        <w:t>每套设备配置要求</w:t>
      </w:r>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color w:val="000000" w:themeColor="text1"/>
          <w:sz w:val="24"/>
          <w:highlight w:val="none"/>
          <w14:textFill>
            <w14:solidFill>
              <w14:schemeClr w14:val="tx1"/>
            </w14:solidFill>
          </w14:textFill>
        </w:rPr>
        <w:t>标准套至少包含以下内容</w:t>
      </w:r>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color w:val="000000" w:themeColor="text1"/>
          <w:sz w:val="24"/>
          <w:highlight w:val="none"/>
          <w14:textFill>
            <w14:solidFill>
              <w14:schemeClr w14:val="tx1"/>
            </w14:solidFill>
          </w14:textFill>
        </w:rPr>
        <w:t>：</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141"/>
        <w:gridCol w:w="3483"/>
        <w:gridCol w:w="969"/>
        <w:gridCol w:w="920"/>
      </w:tblGrid>
      <w:tr w14:paraId="212F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A392757">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序号</w:t>
            </w:r>
          </w:p>
        </w:tc>
        <w:tc>
          <w:tcPr>
            <w:tcW w:w="2141" w:type="dxa"/>
          </w:tcPr>
          <w:p w14:paraId="728B52FA">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名称</w:t>
            </w:r>
          </w:p>
        </w:tc>
        <w:tc>
          <w:tcPr>
            <w:tcW w:w="3483" w:type="dxa"/>
          </w:tcPr>
          <w:p w14:paraId="42C03E36">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要求</w:t>
            </w:r>
          </w:p>
        </w:tc>
        <w:tc>
          <w:tcPr>
            <w:tcW w:w="969" w:type="dxa"/>
          </w:tcPr>
          <w:p w14:paraId="48670CB3">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数量</w:t>
            </w:r>
          </w:p>
        </w:tc>
        <w:tc>
          <w:tcPr>
            <w:tcW w:w="920" w:type="dxa"/>
          </w:tcPr>
          <w:p w14:paraId="0D9EF68E">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单位</w:t>
            </w:r>
          </w:p>
        </w:tc>
      </w:tr>
      <w:tr w14:paraId="7E45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6CBA77B">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1</w:t>
            </w:r>
          </w:p>
        </w:tc>
        <w:tc>
          <w:tcPr>
            <w:tcW w:w="2141" w:type="dxa"/>
          </w:tcPr>
          <w:p w14:paraId="42ECF333">
            <w:pPr>
              <w:spacing w:line="440" w:lineRule="exact"/>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动态心电记录器</w:t>
            </w:r>
          </w:p>
        </w:tc>
        <w:tc>
          <w:tcPr>
            <w:tcW w:w="3483" w:type="dxa"/>
          </w:tcPr>
          <w:p w14:paraId="54E0F7C1">
            <w:pPr>
              <w:spacing w:line="440" w:lineRule="exact"/>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符合招标参数要求，原装新机</w:t>
            </w:r>
          </w:p>
        </w:tc>
        <w:tc>
          <w:tcPr>
            <w:tcW w:w="969" w:type="dxa"/>
          </w:tcPr>
          <w:p w14:paraId="73DFF0D8">
            <w:pPr>
              <w:spacing w:line="440" w:lineRule="exact"/>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1</w:t>
            </w:r>
          </w:p>
        </w:tc>
        <w:tc>
          <w:tcPr>
            <w:tcW w:w="920" w:type="dxa"/>
          </w:tcPr>
          <w:p w14:paraId="76FEFD8C">
            <w:pPr>
              <w:spacing w:line="440" w:lineRule="exact"/>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个</w:t>
            </w:r>
          </w:p>
        </w:tc>
      </w:tr>
      <w:tr w14:paraId="5343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6006D29">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2</w:t>
            </w:r>
          </w:p>
        </w:tc>
        <w:tc>
          <w:tcPr>
            <w:tcW w:w="2141" w:type="dxa"/>
          </w:tcPr>
          <w:p w14:paraId="31B63238">
            <w:pPr>
              <w:spacing w:line="440" w:lineRule="exact"/>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配套背包</w:t>
            </w:r>
          </w:p>
        </w:tc>
        <w:tc>
          <w:tcPr>
            <w:tcW w:w="3483" w:type="dxa"/>
          </w:tcPr>
          <w:p w14:paraId="4B81501E">
            <w:pPr>
              <w:spacing w:line="440" w:lineRule="exact"/>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背包式/腰带式均可</w:t>
            </w:r>
          </w:p>
        </w:tc>
        <w:tc>
          <w:tcPr>
            <w:tcW w:w="969" w:type="dxa"/>
          </w:tcPr>
          <w:p w14:paraId="358E2F02">
            <w:pPr>
              <w:spacing w:line="440" w:lineRule="exact"/>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1</w:t>
            </w:r>
          </w:p>
        </w:tc>
        <w:tc>
          <w:tcPr>
            <w:tcW w:w="920" w:type="dxa"/>
          </w:tcPr>
          <w:p w14:paraId="6F4FDCA0">
            <w:pPr>
              <w:spacing w:line="440" w:lineRule="exact"/>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个</w:t>
            </w:r>
          </w:p>
        </w:tc>
      </w:tr>
      <w:tr w14:paraId="121E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6A4A414">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3</w:t>
            </w:r>
          </w:p>
        </w:tc>
        <w:tc>
          <w:tcPr>
            <w:tcW w:w="2141" w:type="dxa"/>
          </w:tcPr>
          <w:p w14:paraId="05C551DB">
            <w:pPr>
              <w:spacing w:line="440" w:lineRule="exact"/>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导联线</w:t>
            </w:r>
          </w:p>
        </w:tc>
        <w:tc>
          <w:tcPr>
            <w:tcW w:w="3483" w:type="dxa"/>
          </w:tcPr>
          <w:p w14:paraId="313DC650">
            <w:pPr>
              <w:spacing w:line="440" w:lineRule="exact"/>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原装12导联</w:t>
            </w:r>
          </w:p>
        </w:tc>
        <w:tc>
          <w:tcPr>
            <w:tcW w:w="969" w:type="dxa"/>
          </w:tcPr>
          <w:p w14:paraId="7F33DB8D">
            <w:pPr>
              <w:spacing w:line="440" w:lineRule="exact"/>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2</w:t>
            </w:r>
          </w:p>
        </w:tc>
        <w:tc>
          <w:tcPr>
            <w:tcW w:w="920" w:type="dxa"/>
          </w:tcPr>
          <w:p w14:paraId="76CE4BBF">
            <w:pPr>
              <w:spacing w:line="440" w:lineRule="exact"/>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条</w:t>
            </w:r>
          </w:p>
        </w:tc>
      </w:tr>
      <w:tr w14:paraId="138F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5454ECA">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4</w:t>
            </w:r>
          </w:p>
        </w:tc>
        <w:tc>
          <w:tcPr>
            <w:tcW w:w="2141" w:type="dxa"/>
            <w:vAlign w:val="center"/>
          </w:tcPr>
          <w:p w14:paraId="48023CE1">
            <w:pPr>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说明书</w:t>
            </w:r>
          </w:p>
        </w:tc>
        <w:tc>
          <w:tcPr>
            <w:tcW w:w="3483" w:type="dxa"/>
            <w:vAlign w:val="center"/>
          </w:tcPr>
          <w:p w14:paraId="6510BE39">
            <w:pPr>
              <w:jc w:val="center"/>
              <w:rPr>
                <w:rFonts w:ascii="仿宋" w:hAnsi="仿宋" w:eastAsia="仿宋" w:cs="仿宋"/>
                <w:b w:val="0"/>
                <w:bCs w:val="0"/>
                <w:color w:val="000000" w:themeColor="text1"/>
                <w:sz w:val="24"/>
                <w:highlight w:val="none"/>
                <w14:textFill>
                  <w14:solidFill>
                    <w14:schemeClr w14:val="tx1"/>
                  </w14:solidFill>
                </w14:textFill>
              </w:rPr>
            </w:pPr>
          </w:p>
        </w:tc>
        <w:tc>
          <w:tcPr>
            <w:tcW w:w="969" w:type="dxa"/>
            <w:vAlign w:val="center"/>
          </w:tcPr>
          <w:p w14:paraId="79422489">
            <w:pPr>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1</w:t>
            </w:r>
          </w:p>
        </w:tc>
        <w:tc>
          <w:tcPr>
            <w:tcW w:w="920" w:type="dxa"/>
            <w:vAlign w:val="center"/>
          </w:tcPr>
          <w:p w14:paraId="69088D6D">
            <w:pPr>
              <w:jc w:val="center"/>
              <w:rPr>
                <w:rFonts w:hint="default"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本</w:t>
            </w:r>
          </w:p>
        </w:tc>
      </w:tr>
      <w:tr w14:paraId="6D8D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48845BD4">
            <w:pPr>
              <w:spacing w:line="440" w:lineRule="exact"/>
              <w:jc w:val="center"/>
              <w:rPr>
                <w:rFonts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5</w:t>
            </w:r>
          </w:p>
        </w:tc>
        <w:tc>
          <w:tcPr>
            <w:tcW w:w="2141" w:type="dxa"/>
            <w:vAlign w:val="center"/>
          </w:tcPr>
          <w:p w14:paraId="7C40CED3">
            <w:pPr>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保修卡</w:t>
            </w:r>
          </w:p>
        </w:tc>
        <w:tc>
          <w:tcPr>
            <w:tcW w:w="3483" w:type="dxa"/>
            <w:vAlign w:val="center"/>
          </w:tcPr>
          <w:p w14:paraId="3074865A">
            <w:pPr>
              <w:widowControl/>
              <w:jc w:val="center"/>
              <w:textAlignment w:val="center"/>
              <w:rPr>
                <w:rFonts w:ascii="仿宋" w:hAnsi="仿宋" w:eastAsia="仿宋" w:cs="仿宋"/>
                <w:b w:val="0"/>
                <w:bCs w:val="0"/>
                <w:color w:val="000000" w:themeColor="text1"/>
                <w:sz w:val="24"/>
                <w:highlight w:val="none"/>
                <w14:textFill>
                  <w14:solidFill>
                    <w14:schemeClr w14:val="tx1"/>
                  </w14:solidFill>
                </w14:textFill>
              </w:rPr>
            </w:pPr>
          </w:p>
        </w:tc>
        <w:tc>
          <w:tcPr>
            <w:tcW w:w="969" w:type="dxa"/>
            <w:vAlign w:val="center"/>
          </w:tcPr>
          <w:p w14:paraId="1B42B28A">
            <w:pPr>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1</w:t>
            </w:r>
          </w:p>
        </w:tc>
        <w:tc>
          <w:tcPr>
            <w:tcW w:w="920" w:type="dxa"/>
            <w:vAlign w:val="center"/>
          </w:tcPr>
          <w:p w14:paraId="5455067C">
            <w:pPr>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张</w:t>
            </w:r>
          </w:p>
        </w:tc>
      </w:tr>
      <w:tr w14:paraId="795A4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0B70E97">
            <w:pPr>
              <w:spacing w:line="440" w:lineRule="exact"/>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6</w:t>
            </w:r>
          </w:p>
        </w:tc>
        <w:tc>
          <w:tcPr>
            <w:tcW w:w="2141" w:type="dxa"/>
            <w:vAlign w:val="center"/>
          </w:tcPr>
          <w:p w14:paraId="76C2CDDC">
            <w:pPr>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合格证</w:t>
            </w:r>
          </w:p>
        </w:tc>
        <w:tc>
          <w:tcPr>
            <w:tcW w:w="3483" w:type="dxa"/>
            <w:vAlign w:val="center"/>
          </w:tcPr>
          <w:p w14:paraId="408052FD">
            <w:pPr>
              <w:jc w:val="center"/>
              <w:rPr>
                <w:rFonts w:ascii="仿宋" w:hAnsi="仿宋" w:eastAsia="仿宋" w:cs="仿宋"/>
                <w:b w:val="0"/>
                <w:bCs w:val="0"/>
                <w:color w:val="000000" w:themeColor="text1"/>
                <w:sz w:val="24"/>
                <w:highlight w:val="none"/>
                <w14:textFill>
                  <w14:solidFill>
                    <w14:schemeClr w14:val="tx1"/>
                  </w14:solidFill>
                </w14:textFill>
              </w:rPr>
            </w:pPr>
          </w:p>
        </w:tc>
        <w:tc>
          <w:tcPr>
            <w:tcW w:w="969" w:type="dxa"/>
            <w:vAlign w:val="center"/>
          </w:tcPr>
          <w:p w14:paraId="591A7588">
            <w:pPr>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1</w:t>
            </w:r>
          </w:p>
        </w:tc>
        <w:tc>
          <w:tcPr>
            <w:tcW w:w="920" w:type="dxa"/>
            <w:vAlign w:val="center"/>
          </w:tcPr>
          <w:p w14:paraId="714CC57A">
            <w:pPr>
              <w:jc w:val="center"/>
              <w:rPr>
                <w:rFonts w:hint="eastAsia" w:ascii="仿宋" w:hAnsi="仿宋" w:eastAsia="仿宋" w:cs="仿宋"/>
                <w:b w:val="0"/>
                <w:bCs w:val="0"/>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本</w:t>
            </w:r>
          </w:p>
        </w:tc>
      </w:tr>
    </w:tbl>
    <w:p w14:paraId="5B545655">
      <w:pPr>
        <w:spacing w:line="440" w:lineRule="exact"/>
        <w:rPr>
          <w:rFonts w:ascii="仿宋" w:hAnsi="仿宋" w:eastAsia="仿宋" w:cs="仿宋"/>
          <w:b/>
          <w:color w:val="000000" w:themeColor="text1"/>
          <w:sz w:val="24"/>
          <w:highlight w:val="none"/>
          <w14:textFill>
            <w14:solidFill>
              <w14:schemeClr w14:val="tx1"/>
            </w14:solidFill>
          </w14:textFill>
        </w:rPr>
      </w:pPr>
    </w:p>
    <w:p w14:paraId="11AD96EA">
      <w:pPr>
        <w:numPr>
          <w:ilvl w:val="0"/>
          <w:numId w:val="0"/>
        </w:num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五、</w:t>
      </w:r>
      <w:r>
        <w:rPr>
          <w:rFonts w:hint="eastAsia" w:ascii="仿宋" w:hAnsi="仿宋" w:eastAsia="仿宋" w:cs="仿宋"/>
          <w:b/>
          <w:color w:val="000000" w:themeColor="text1"/>
          <w:sz w:val="24"/>
          <w:highlight w:val="none"/>
          <w14:textFill>
            <w14:solidFill>
              <w14:schemeClr w14:val="tx1"/>
            </w14:solidFill>
          </w14:textFill>
        </w:rPr>
        <w:t>商务要求：</w:t>
      </w:r>
    </w:p>
    <w:p w14:paraId="751AF881">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1.交货及安装、验收要求</w:t>
      </w:r>
    </w:p>
    <w:p w14:paraId="775C65E0">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1.1交货地点：采购人指定地点。</w:t>
      </w:r>
    </w:p>
    <w:p w14:paraId="1C8A2698">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1.2交货期：中标供应商应当在中标通知书发出之日起30日内按</w:t>
      </w:r>
      <w:r>
        <w:rPr>
          <w:rFonts w:hint="eastAsia" w:ascii="仿宋" w:hAnsi="仿宋" w:eastAsia="仿宋" w:cs="仿宋"/>
          <w:color w:val="000000" w:themeColor="text1"/>
          <w:sz w:val="24"/>
          <w:highlight w:val="none"/>
          <w:lang w:eastAsia="zh-CN"/>
          <w14:textFill>
            <w14:solidFill>
              <w14:schemeClr w14:val="tx1"/>
            </w14:solidFill>
          </w14:textFill>
        </w:rPr>
        <w:t>采购需求</w:t>
      </w:r>
      <w:r>
        <w:rPr>
          <w:rFonts w:hint="eastAsia" w:ascii="仿宋" w:hAnsi="仿宋" w:eastAsia="仿宋" w:cs="仿宋"/>
          <w:color w:val="000000" w:themeColor="text1"/>
          <w:sz w:val="24"/>
          <w:highlight w:val="none"/>
          <w14:textFill>
            <w14:solidFill>
              <w14:schemeClr w14:val="tx1"/>
            </w14:solidFill>
          </w14:textFill>
        </w:rPr>
        <w:t>及中标人的投标文件确定的事项与采购人签订合同，签订合同后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30</w:t>
      </w:r>
      <w:r>
        <w:rPr>
          <w:rFonts w:hint="eastAsia" w:ascii="仿宋" w:hAnsi="仿宋" w:eastAsia="仿宋" w:cs="仿宋"/>
          <w:color w:val="000000" w:themeColor="text1"/>
          <w:sz w:val="24"/>
          <w:highlight w:val="none"/>
          <w14:textFill>
            <w14:solidFill>
              <w14:schemeClr w14:val="tx1"/>
            </w14:solidFill>
          </w14:textFill>
        </w:rPr>
        <w:t>日内完成设备的安装调试。</w:t>
      </w:r>
    </w:p>
    <w:p w14:paraId="6A9098FD">
      <w:pPr>
        <w:spacing w:line="440" w:lineRule="exac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1.3中标供应商须保证中标后所提供的设备为原装、全新合格的产品</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且原装进口产品生产日期与交货日期差值≤6个月；国产产品生产日期与交货日期差值≤3个月。</w:t>
      </w:r>
    </w:p>
    <w:p w14:paraId="33B42858">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1.5验收方式：按《小榄镇</w:t>
      </w:r>
      <w:r>
        <w:rPr>
          <w:rFonts w:hint="eastAsia" w:ascii="仿宋" w:hAnsi="仿宋" w:eastAsia="仿宋" w:cs="仿宋"/>
          <w:color w:val="000000" w:themeColor="text1"/>
          <w:sz w:val="24"/>
          <w:highlight w:val="none"/>
          <w:lang w:eastAsia="zh-CN"/>
          <w14:textFill>
            <w14:solidFill>
              <w14:schemeClr w14:val="tx1"/>
            </w14:solidFill>
          </w14:textFill>
        </w:rPr>
        <w:t>公立</w:t>
      </w:r>
      <w:r>
        <w:rPr>
          <w:rFonts w:hint="eastAsia" w:ascii="仿宋" w:hAnsi="仿宋" w:eastAsia="仿宋" w:cs="仿宋"/>
          <w:color w:val="000000" w:themeColor="text1"/>
          <w:sz w:val="24"/>
          <w:highlight w:val="none"/>
          <w14:textFill>
            <w14:solidFill>
              <w14:schemeClr w14:val="tx1"/>
            </w14:solidFill>
          </w14:textFill>
        </w:rPr>
        <w:t>医院</w:t>
      </w:r>
      <w:r>
        <w:rPr>
          <w:rFonts w:hint="eastAsia" w:ascii="仿宋" w:hAnsi="仿宋" w:eastAsia="仿宋" w:cs="仿宋"/>
          <w:color w:val="000000" w:themeColor="text1"/>
          <w:sz w:val="24"/>
          <w:highlight w:val="none"/>
          <w:lang w:eastAsia="zh-CN"/>
          <w14:textFill>
            <w14:solidFill>
              <w14:schemeClr w14:val="tx1"/>
            </w14:solidFill>
          </w14:textFill>
        </w:rPr>
        <w:t>政府</w:t>
      </w:r>
      <w:r>
        <w:rPr>
          <w:rFonts w:hint="eastAsia" w:ascii="仿宋" w:hAnsi="仿宋" w:eastAsia="仿宋" w:cs="仿宋"/>
          <w:color w:val="000000" w:themeColor="text1"/>
          <w:sz w:val="24"/>
          <w:highlight w:val="none"/>
          <w14:textFill>
            <w14:solidFill>
              <w14:schemeClr w14:val="tx1"/>
            </w14:solidFill>
          </w14:textFill>
        </w:rPr>
        <w:t>采购和验收</w:t>
      </w:r>
      <w:r>
        <w:rPr>
          <w:rFonts w:hint="eastAsia" w:ascii="仿宋" w:hAnsi="仿宋" w:eastAsia="仿宋" w:cs="仿宋"/>
          <w:color w:val="000000" w:themeColor="text1"/>
          <w:sz w:val="24"/>
          <w:highlight w:val="none"/>
          <w:lang w:eastAsia="zh-CN"/>
          <w14:textFill>
            <w14:solidFill>
              <w14:schemeClr w14:val="tx1"/>
            </w14:solidFill>
          </w14:textFill>
        </w:rPr>
        <w:t>办法</w:t>
      </w:r>
      <w:r>
        <w:rPr>
          <w:rFonts w:hint="eastAsia" w:ascii="仿宋" w:hAnsi="仿宋" w:eastAsia="仿宋" w:cs="仿宋"/>
          <w:color w:val="000000" w:themeColor="text1"/>
          <w:sz w:val="24"/>
          <w:highlight w:val="none"/>
          <w14:textFill>
            <w14:solidFill>
              <w14:schemeClr w14:val="tx1"/>
            </w14:solidFill>
          </w14:textFill>
        </w:rPr>
        <w:t>》。</w:t>
      </w:r>
    </w:p>
    <w:p w14:paraId="37607C9E">
      <w:pPr>
        <w:spacing w:line="440" w:lineRule="exac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★1.6</w:t>
      </w:r>
      <w:r>
        <w:rPr>
          <w:rFonts w:hint="eastAsia" w:ascii="仿宋" w:hAnsi="仿宋" w:eastAsia="仿宋" w:cs="仿宋"/>
          <w:color w:val="000000" w:themeColor="text1"/>
          <w:sz w:val="24"/>
          <w:highlight w:val="none"/>
          <w:lang w:val="en-US"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供应商须在</w:t>
      </w:r>
      <w:r>
        <w:rPr>
          <w:rFonts w:hint="eastAsia" w:ascii="仿宋" w:hAnsi="仿宋" w:eastAsia="仿宋" w:cs="仿宋"/>
          <w:color w:val="000000" w:themeColor="text1"/>
          <w:sz w:val="24"/>
          <w:highlight w:val="none"/>
          <w:lang w:val="en-US" w:eastAsia="zh-CN"/>
          <w14:textFill>
            <w14:solidFill>
              <w14:schemeClr w14:val="tx1"/>
            </w14:solidFill>
          </w14:textFill>
        </w:rPr>
        <w:t>投标</w:t>
      </w:r>
      <w:r>
        <w:rPr>
          <w:rFonts w:hint="eastAsia" w:ascii="仿宋" w:hAnsi="仿宋" w:eastAsia="仿宋" w:cs="仿宋"/>
          <w:color w:val="000000" w:themeColor="text1"/>
          <w:sz w:val="24"/>
          <w:highlight w:val="none"/>
          <w14:textFill>
            <w14:solidFill>
              <w14:schemeClr w14:val="tx1"/>
            </w14:solidFill>
          </w14:textFill>
        </w:rPr>
        <w:t>文件提供</w:t>
      </w:r>
      <w:r>
        <w:rPr>
          <w:rFonts w:hint="eastAsia" w:ascii="仿宋" w:hAnsi="仿宋" w:eastAsia="仿宋" w:cs="仿宋"/>
          <w:color w:val="000000" w:themeColor="text1"/>
          <w:sz w:val="24"/>
          <w:highlight w:val="none"/>
          <w:lang w:val="en-US" w:eastAsia="zh-CN"/>
          <w14:textFill>
            <w14:solidFill>
              <w14:schemeClr w14:val="tx1"/>
            </w14:solidFill>
          </w14:textFill>
        </w:rPr>
        <w:t>该项目完整的授权书。</w:t>
      </w:r>
    </w:p>
    <w:p w14:paraId="71BBED5E">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2.售后服务要求</w:t>
      </w:r>
    </w:p>
    <w:p w14:paraId="2B351F45">
      <w:pPr>
        <w:tabs>
          <w:tab w:val="left" w:pos="420"/>
        </w:tabs>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2.1中标供应商必须在中国境内有售后服务机构，并附有售后服务能力说明。</w:t>
      </w:r>
    </w:p>
    <w:p w14:paraId="70FB5255">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★2.2中标供应商须提供设备原厂质保（设备原厂质量保修范围和保修期）至少</w:t>
      </w:r>
      <w:r>
        <w:rPr>
          <w:rFonts w:hint="eastAsia" w:ascii="仿宋" w:hAnsi="仿宋" w:eastAsia="仿宋" w:cs="仿宋"/>
          <w:b/>
          <w:bCs/>
          <w:color w:val="000000" w:themeColor="text1"/>
          <w:sz w:val="24"/>
          <w:highlight w:val="none"/>
          <w14:textFill>
            <w14:solidFill>
              <w14:schemeClr w14:val="tx1"/>
            </w14:solidFill>
          </w14:textFill>
        </w:rPr>
        <w:t>为</w:t>
      </w:r>
      <w:r>
        <w:rPr>
          <w:rFonts w:hint="eastAsia" w:ascii="仿宋" w:hAnsi="仿宋" w:eastAsia="仿宋" w:cs="仿宋"/>
          <w:b/>
          <w:bCs/>
          <w:color w:val="000000" w:themeColor="text1"/>
          <w:sz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highlight w:val="none"/>
          <w:u w:val="single"/>
          <w:lang w:val="en-US" w:eastAsia="zh-CN"/>
          <w14:textFill>
            <w14:solidFill>
              <w14:schemeClr w14:val="tx1"/>
            </w14:solidFill>
          </w14:textFill>
        </w:rPr>
        <w:t>3</w:t>
      </w:r>
      <w:r>
        <w:rPr>
          <w:rFonts w:hint="eastAsia" w:ascii="仿宋" w:hAnsi="仿宋" w:eastAsia="仿宋" w:cs="仿宋"/>
          <w:b/>
          <w:bCs/>
          <w:color w:val="000000" w:themeColor="text1"/>
          <w:sz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年。</w:t>
      </w:r>
    </w:p>
    <w:p w14:paraId="34C701EB">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2.3在售后期内，中标供应商在接到用户的维修通知，响应时间为半小时内，工程师到达现场时间为4小时内，排除故障时限为到达现场后8小时内。</w:t>
      </w:r>
    </w:p>
    <w:p w14:paraId="64958E8F">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p w14:paraId="5ED331B0">
      <w:pPr>
        <w:spacing w:line="440" w:lineRule="exact"/>
        <w:rPr>
          <w:rFonts w:ascii="仿宋" w:hAnsi="仿宋" w:eastAsia="仿宋" w:cs="仿宋"/>
          <w:b/>
          <w:color w:val="000000" w:themeColor="text1"/>
          <w:sz w:val="24"/>
          <w:highlight w:val="none"/>
          <w14:textFill>
            <w14:solidFill>
              <w14:schemeClr w14:val="tx1"/>
            </w14:solidFill>
          </w14:textFill>
        </w:rPr>
      </w:pPr>
    </w:p>
    <w:p w14:paraId="5BC1A48F">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3.付款方式</w:t>
      </w:r>
    </w:p>
    <w:p w14:paraId="2B3E1177">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（1）合同；</w:t>
      </w:r>
    </w:p>
    <w:p w14:paraId="0C995C91">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（2）验收调试合格报告（加盖采购人公章）；</w:t>
      </w:r>
    </w:p>
    <w:p w14:paraId="1BE3E546">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（3）中标供应商开具的正式发票（加盖发票专用章）。</w:t>
      </w:r>
    </w:p>
    <w:p w14:paraId="4C1E8C7A">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5%；合同总金额的5%</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作为第二期款项，</w:t>
      </w: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质保期满</w:t>
      </w:r>
      <w:r>
        <w:rPr>
          <w:rFonts w:hint="eastAsia" w:ascii="仿宋" w:hAnsi="仿宋" w:eastAsia="仿宋" w:cs="仿宋"/>
          <w:color w:val="000000" w:themeColor="text1"/>
          <w:sz w:val="24"/>
          <w:highlight w:val="none"/>
          <w14:textFill>
            <w14:solidFill>
              <w14:schemeClr w14:val="tx1"/>
            </w14:solidFill>
          </w14:textFill>
        </w:rPr>
        <w:t>后一次性无息</w:t>
      </w:r>
      <w:r>
        <w:rPr>
          <w:rFonts w:hint="eastAsia" w:ascii="仿宋" w:hAnsi="仿宋" w:eastAsia="仿宋" w:cs="仿宋"/>
          <w:color w:val="000000" w:themeColor="text1"/>
          <w:sz w:val="24"/>
          <w:highlight w:val="none"/>
          <w:lang w:val="en-US" w:eastAsia="zh-CN"/>
          <w14:textFill>
            <w14:solidFill>
              <w14:schemeClr w14:val="tx1"/>
            </w14:solidFill>
          </w14:textFill>
        </w:rPr>
        <w:t>支付</w:t>
      </w:r>
      <w:r>
        <w:rPr>
          <w:rFonts w:hint="eastAsia" w:ascii="仿宋" w:hAnsi="仿宋" w:eastAsia="仿宋" w:cs="仿宋"/>
          <w:color w:val="000000" w:themeColor="text1"/>
          <w:sz w:val="24"/>
          <w:highlight w:val="none"/>
          <w14:textFill>
            <w14:solidFill>
              <w14:schemeClr w14:val="tx1"/>
            </w14:solidFill>
          </w14:textFill>
        </w:rPr>
        <w:t>。</w:t>
      </w:r>
    </w:p>
    <w:p w14:paraId="7EDF3ECE">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p>
    <w:p w14:paraId="6D067A65">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p>
    <w:p w14:paraId="0A92B183">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p>
    <w:p w14:paraId="63987177">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p>
    <w:p w14:paraId="1A0FC714">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0D6B98E2">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0D31FB7F">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6729E627">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79331301">
      <w:pPr>
        <w:spacing w:line="440" w:lineRule="exact"/>
        <w:jc w:val="center"/>
        <w:rPr>
          <w:rFonts w:hint="eastAsia" w:ascii="仿宋" w:hAnsi="仿宋" w:eastAsia="仿宋" w:cs="仿宋"/>
          <w:b/>
          <w:bCs/>
          <w:color w:val="000000" w:themeColor="text1"/>
          <w:sz w:val="24"/>
          <w:highlight w:val="none"/>
          <w14:textFill>
            <w14:solidFill>
              <w14:schemeClr w14:val="tx1"/>
            </w14:solidFill>
          </w14:textFill>
        </w:rPr>
      </w:pPr>
    </w:p>
    <w:p w14:paraId="05C0B4D3">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5C71D3A0">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430CD401">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77E8FF6E">
      <w:pPr>
        <w:rPr>
          <w:rFonts w:ascii="仿宋" w:hAnsi="仿宋" w:eastAsia="仿宋" w:cs="仿宋"/>
          <w:color w:val="000000" w:themeColor="text1"/>
          <w:sz w:val="24"/>
          <w:highlight w:val="none"/>
          <w:lang w:val="zh-CN"/>
          <w14:textFill>
            <w14:solidFill>
              <w14:schemeClr w14:val="tx1"/>
            </w14:solidFill>
          </w14:textFill>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6"/>
        </w:pPr>
        <w:r>
          <w:rPr>
            <w:rFonts w:hint="eastAsia"/>
            <w:lang w:val="en-US" w:eastAsia="zh-CN"/>
          </w:rPr>
          <w:t>需求科室</w:t>
        </w:r>
        <w:r>
          <w:rPr>
            <w:rFonts w:hint="eastAsia"/>
          </w:rPr>
          <w:t>：                                审核</w:t>
        </w:r>
        <w:r>
          <w:rPr>
            <w:rFonts w:hint="eastAsia"/>
            <w:lang w:val="en-US" w:eastAsia="zh-CN"/>
          </w:rPr>
          <w:t>科室</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6"/>
        </w:pPr>
      </w:p>
    </w:sdtContent>
  </w:sdt>
  <w:p w14:paraId="38E17460"/>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27725AF"/>
    <w:rsid w:val="032F672A"/>
    <w:rsid w:val="04312391"/>
    <w:rsid w:val="05A475BD"/>
    <w:rsid w:val="078057A6"/>
    <w:rsid w:val="0A3363AE"/>
    <w:rsid w:val="0C201A7D"/>
    <w:rsid w:val="11544D89"/>
    <w:rsid w:val="11561DF0"/>
    <w:rsid w:val="11993DA4"/>
    <w:rsid w:val="126775F5"/>
    <w:rsid w:val="140524A5"/>
    <w:rsid w:val="16795038"/>
    <w:rsid w:val="1768688F"/>
    <w:rsid w:val="17A84A31"/>
    <w:rsid w:val="18AC198D"/>
    <w:rsid w:val="1A362D0A"/>
    <w:rsid w:val="1A9A1AE2"/>
    <w:rsid w:val="1CD7087F"/>
    <w:rsid w:val="1CD777BF"/>
    <w:rsid w:val="1DB403E5"/>
    <w:rsid w:val="1E8B3C3C"/>
    <w:rsid w:val="1EDF6DFF"/>
    <w:rsid w:val="1F0C2891"/>
    <w:rsid w:val="1FF004A0"/>
    <w:rsid w:val="20EB402C"/>
    <w:rsid w:val="21122A7A"/>
    <w:rsid w:val="211B3FAC"/>
    <w:rsid w:val="21F75571"/>
    <w:rsid w:val="244D54FE"/>
    <w:rsid w:val="24E10366"/>
    <w:rsid w:val="25EB7322"/>
    <w:rsid w:val="26AC3567"/>
    <w:rsid w:val="27094723"/>
    <w:rsid w:val="29420D6D"/>
    <w:rsid w:val="29FC1D70"/>
    <w:rsid w:val="2A710EAE"/>
    <w:rsid w:val="2B9A59A4"/>
    <w:rsid w:val="2CAB1A01"/>
    <w:rsid w:val="2D887C39"/>
    <w:rsid w:val="2D993838"/>
    <w:rsid w:val="2E110DC4"/>
    <w:rsid w:val="32BF4C35"/>
    <w:rsid w:val="33712CFE"/>
    <w:rsid w:val="33895773"/>
    <w:rsid w:val="33D22489"/>
    <w:rsid w:val="35A83E4D"/>
    <w:rsid w:val="361954A6"/>
    <w:rsid w:val="36612446"/>
    <w:rsid w:val="380701DC"/>
    <w:rsid w:val="38AA5FDD"/>
    <w:rsid w:val="3A685AA2"/>
    <w:rsid w:val="3C740147"/>
    <w:rsid w:val="3D7446F9"/>
    <w:rsid w:val="3E061814"/>
    <w:rsid w:val="3E9B4363"/>
    <w:rsid w:val="3EEE625E"/>
    <w:rsid w:val="443A5766"/>
    <w:rsid w:val="44746547"/>
    <w:rsid w:val="447717BC"/>
    <w:rsid w:val="4678153D"/>
    <w:rsid w:val="4BF76F64"/>
    <w:rsid w:val="4E50224A"/>
    <w:rsid w:val="4EBD0A92"/>
    <w:rsid w:val="4F2F41E4"/>
    <w:rsid w:val="50D03982"/>
    <w:rsid w:val="530618F6"/>
    <w:rsid w:val="543842E0"/>
    <w:rsid w:val="55412DD6"/>
    <w:rsid w:val="55713B00"/>
    <w:rsid w:val="579F1125"/>
    <w:rsid w:val="57B15DE5"/>
    <w:rsid w:val="58B3555A"/>
    <w:rsid w:val="595317A4"/>
    <w:rsid w:val="5A3921D0"/>
    <w:rsid w:val="5AF12D69"/>
    <w:rsid w:val="5DC71851"/>
    <w:rsid w:val="5E487E99"/>
    <w:rsid w:val="63253C81"/>
    <w:rsid w:val="656A70AF"/>
    <w:rsid w:val="66AA15BF"/>
    <w:rsid w:val="69340CF8"/>
    <w:rsid w:val="6A462E5B"/>
    <w:rsid w:val="6BD2675F"/>
    <w:rsid w:val="6C171CF3"/>
    <w:rsid w:val="6DDF526D"/>
    <w:rsid w:val="6F2A17D8"/>
    <w:rsid w:val="73C94C76"/>
    <w:rsid w:val="74324DD9"/>
    <w:rsid w:val="744B3E55"/>
    <w:rsid w:val="760449EF"/>
    <w:rsid w:val="77613082"/>
    <w:rsid w:val="7A605725"/>
    <w:rsid w:val="7B1D35CC"/>
    <w:rsid w:val="7BDA70B6"/>
    <w:rsid w:val="7C115C9E"/>
    <w:rsid w:val="7E2C2E60"/>
    <w:rsid w:val="7E9C3419"/>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4</Pages>
  <Words>2039</Words>
  <Characters>2121</Characters>
  <Lines>2</Lines>
  <Paragraphs>6</Paragraphs>
  <TotalTime>272</TotalTime>
  <ScaleCrop>false</ScaleCrop>
  <LinksUpToDate>false</LinksUpToDate>
  <CharactersWithSpaces>2129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Lam</cp:lastModifiedBy>
  <cp:lastPrinted>2021-08-11T08:36:00Z</cp:lastPrinted>
  <dcterms:modified xsi:type="dcterms:W3CDTF">2025-06-30T07:12:05Z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C6A1CBD350B1417882A4B56BE030A111_13</vt:lpwstr>
  </property>
  <property fmtid="{D5CDD505-2E9C-101B-9397-08002B2CF9AE}" pid="4" name="KSOTemplateDocerSaveRecord">
    <vt:lpwstr>eyJoZGlkIjoiMmRhYTY3OGVhYWZmZmExY2IyMTMyNWE4MjA4ZWM1YmUifQ==</vt:lpwstr>
  </property>
</Properties>
</file>