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bCs w:val="0"/>
          <w:color w:val="auto"/>
          <w:sz w:val="24"/>
          <w:highlight w:val="none"/>
        </w:rPr>
      </w:pPr>
      <w:r>
        <w:rPr>
          <w:rFonts w:hint="eastAsia" w:ascii="仿宋" w:hAnsi="仿宋" w:eastAsia="仿宋" w:cs="仿宋"/>
          <w:b/>
          <w:bCs w:val="0"/>
          <w:color w:val="auto"/>
          <w:sz w:val="24"/>
          <w:highlight w:val="none"/>
        </w:rPr>
        <w:t>基本需求</w:t>
      </w:r>
    </w:p>
    <w:tbl>
      <w:tblPr>
        <w:tblStyle w:val="11"/>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49"/>
        <w:gridCol w:w="2601"/>
        <w:gridCol w:w="1492"/>
        <w:gridCol w:w="1778"/>
      </w:tblGrid>
      <w:tr w14:paraId="7C27D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649" w:type="dxa"/>
          </w:tcPr>
          <w:p w14:paraId="314784E3">
            <w:pPr>
              <w:spacing w:line="440" w:lineRule="exact"/>
              <w:ind w:right="-40" w:rightChars="-19"/>
              <w:jc w:val="center"/>
              <w:rPr>
                <w:rFonts w:ascii="仿宋" w:hAnsi="仿宋" w:eastAsia="仿宋" w:cs="仿宋"/>
                <w:b/>
                <w:bCs w:val="0"/>
                <w:color w:val="auto"/>
                <w:sz w:val="24"/>
                <w:highlight w:val="none"/>
              </w:rPr>
            </w:pPr>
            <w:r>
              <w:rPr>
                <w:rFonts w:hint="eastAsia" w:ascii="仿宋" w:hAnsi="仿宋" w:eastAsia="仿宋" w:cs="仿宋"/>
                <w:b/>
                <w:bCs w:val="0"/>
                <w:color w:val="auto"/>
                <w:sz w:val="24"/>
                <w:highlight w:val="none"/>
              </w:rPr>
              <w:t>项目名称</w:t>
            </w:r>
          </w:p>
        </w:tc>
        <w:tc>
          <w:tcPr>
            <w:tcW w:w="2601" w:type="dxa"/>
          </w:tcPr>
          <w:p w14:paraId="71C21804">
            <w:pPr>
              <w:spacing w:line="440" w:lineRule="exact"/>
              <w:jc w:val="center"/>
              <w:rPr>
                <w:rFonts w:ascii="仿宋" w:hAnsi="仿宋" w:eastAsia="仿宋" w:cs="仿宋"/>
                <w:b/>
                <w:bCs w:val="0"/>
                <w:color w:val="auto"/>
                <w:sz w:val="24"/>
                <w:highlight w:val="none"/>
              </w:rPr>
            </w:pPr>
            <w:r>
              <w:rPr>
                <w:rFonts w:hint="eastAsia" w:ascii="仿宋" w:hAnsi="仿宋" w:eastAsia="仿宋" w:cs="仿宋"/>
                <w:b/>
                <w:bCs w:val="0"/>
                <w:color w:val="auto"/>
                <w:sz w:val="24"/>
                <w:highlight w:val="none"/>
                <w:lang w:val="en-US" w:eastAsia="zh-CN"/>
              </w:rPr>
              <w:t>使用</w:t>
            </w:r>
            <w:r>
              <w:rPr>
                <w:rFonts w:hint="eastAsia" w:ascii="仿宋" w:hAnsi="仿宋" w:eastAsia="仿宋" w:cs="仿宋"/>
                <w:b/>
                <w:bCs w:val="0"/>
                <w:color w:val="auto"/>
                <w:sz w:val="24"/>
                <w:highlight w:val="none"/>
              </w:rPr>
              <w:t>科室/部门</w:t>
            </w:r>
          </w:p>
        </w:tc>
        <w:tc>
          <w:tcPr>
            <w:tcW w:w="1492" w:type="dxa"/>
          </w:tcPr>
          <w:p w14:paraId="36E68069">
            <w:pPr>
              <w:spacing w:line="440" w:lineRule="exact"/>
              <w:jc w:val="center"/>
              <w:rPr>
                <w:rFonts w:ascii="仿宋" w:hAnsi="仿宋" w:eastAsia="仿宋" w:cs="仿宋"/>
                <w:b/>
                <w:bCs w:val="0"/>
                <w:color w:val="auto"/>
                <w:sz w:val="24"/>
                <w:highlight w:val="none"/>
              </w:rPr>
            </w:pPr>
            <w:r>
              <w:rPr>
                <w:rFonts w:hint="eastAsia" w:ascii="仿宋" w:hAnsi="仿宋" w:eastAsia="仿宋" w:cs="仿宋"/>
                <w:b/>
                <w:bCs w:val="0"/>
                <w:color w:val="auto"/>
                <w:sz w:val="24"/>
                <w:highlight w:val="none"/>
              </w:rPr>
              <w:t>数量（套）</w:t>
            </w:r>
          </w:p>
        </w:tc>
        <w:tc>
          <w:tcPr>
            <w:tcW w:w="1778" w:type="dxa"/>
          </w:tcPr>
          <w:p w14:paraId="7EBAFDB8">
            <w:pPr>
              <w:spacing w:line="440" w:lineRule="exact"/>
              <w:jc w:val="center"/>
              <w:rPr>
                <w:rFonts w:hint="default"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最高限价（元）</w:t>
            </w:r>
          </w:p>
        </w:tc>
      </w:tr>
      <w:tr w14:paraId="6A837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649" w:type="dxa"/>
            <w:vAlign w:val="center"/>
          </w:tcPr>
          <w:p w14:paraId="5D1938DE">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体外冲击波治疗仪</w:t>
            </w:r>
          </w:p>
        </w:tc>
        <w:tc>
          <w:tcPr>
            <w:tcW w:w="2601" w:type="dxa"/>
            <w:vAlign w:val="center"/>
          </w:tcPr>
          <w:p w14:paraId="0B59F363">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康复科</w:t>
            </w:r>
          </w:p>
        </w:tc>
        <w:tc>
          <w:tcPr>
            <w:tcW w:w="1492" w:type="dxa"/>
            <w:vAlign w:val="center"/>
          </w:tcPr>
          <w:p w14:paraId="28662431">
            <w:pPr>
              <w:spacing w:line="44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1778" w:type="dxa"/>
            <w:vAlign w:val="center"/>
          </w:tcPr>
          <w:p w14:paraId="400E51F0">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42500</w:t>
            </w:r>
          </w:p>
        </w:tc>
      </w:tr>
    </w:tbl>
    <w:p w14:paraId="6FFC7BA1">
      <w:pPr>
        <w:numPr>
          <w:ilvl w:val="0"/>
          <w:numId w:val="0"/>
        </w:numPr>
        <w:spacing w:line="440" w:lineRule="exact"/>
        <w:rPr>
          <w:rFonts w:hint="eastAsia" w:ascii="仿宋" w:hAnsi="仿宋" w:eastAsia="仿宋" w:cs="仿宋"/>
          <w:b/>
          <w:color w:val="auto"/>
          <w:sz w:val="24"/>
          <w:highlight w:val="none"/>
        </w:rPr>
      </w:pPr>
    </w:p>
    <w:p w14:paraId="3F41A7D6">
      <w:pPr>
        <w:numPr>
          <w:ilvl w:val="0"/>
          <w:numId w:val="1"/>
        </w:num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26D258B3">
      <w:pPr>
        <w:keepNext w:val="0"/>
        <w:keepLines w:val="0"/>
        <w:pageBreakBefore w:val="0"/>
        <w:widowControl w:val="0"/>
        <w:numPr>
          <w:ilvl w:val="-1"/>
          <w:numId w:val="0"/>
        </w:numP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szCs w:val="24"/>
          <w:lang w:val="en-US" w:eastAsia="zh-CN"/>
        </w:rPr>
        <w:t>1、治疗压力：</w:t>
      </w:r>
      <w:r>
        <w:rPr>
          <w:rFonts w:hint="eastAsia" w:ascii="仿宋" w:hAnsi="仿宋" w:eastAsia="仿宋" w:cs="仿宋"/>
          <w:color w:val="auto"/>
          <w:sz w:val="24"/>
          <w:szCs w:val="24"/>
          <w:highlight w:val="none"/>
          <w:lang w:val="en-US" w:eastAsia="zh-CN"/>
        </w:rPr>
        <w:t>1bar~5.0bar</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级差：0.1bar</w:t>
      </w:r>
      <w:r>
        <w:rPr>
          <w:rFonts w:hint="eastAsia" w:ascii="仿宋" w:hAnsi="仿宋" w:eastAsia="仿宋" w:cs="仿宋"/>
          <w:color w:val="auto"/>
          <w:sz w:val="24"/>
          <w:szCs w:val="24"/>
          <w:lang w:val="en-US" w:eastAsia="zh-CN"/>
        </w:rPr>
        <w:t>误差±10%；</w:t>
      </w:r>
      <w:r>
        <w:rPr>
          <w:rFonts w:hint="eastAsia" w:ascii="仿宋" w:hAnsi="仿宋" w:eastAsia="仿宋" w:cs="仿宋"/>
          <w:color w:val="auto"/>
          <w:sz w:val="24"/>
          <w:szCs w:val="24"/>
          <w:highlight w:val="none"/>
          <w:lang w:val="en-US" w:eastAsia="zh-CN"/>
        </w:rPr>
        <w:t>治疗时压力连续可调。</w:t>
      </w:r>
    </w:p>
    <w:p w14:paraId="0ECD83A9">
      <w:pPr>
        <w:keepNext w:val="0"/>
        <w:keepLines w:val="0"/>
        <w:pageBreakBefore w:val="0"/>
        <w:widowControl w:val="0"/>
        <w:numPr>
          <w:ilvl w:val="-1"/>
          <w:numId w:val="0"/>
        </w:numP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2、空气压缩机最大输出压力：空气压缩最大压力不少于6bar。</w:t>
      </w:r>
    </w:p>
    <w:p w14:paraId="633CF736">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3、冲击频率：</w:t>
      </w:r>
      <w:r>
        <w:rPr>
          <w:rFonts w:hint="eastAsia" w:ascii="仿宋" w:hAnsi="仿宋" w:eastAsia="仿宋" w:cs="仿宋"/>
          <w:color w:val="auto"/>
          <w:sz w:val="24"/>
          <w:szCs w:val="24"/>
          <w:lang w:val="en-US" w:eastAsia="zh-CN"/>
        </w:rPr>
        <w:t>1Hz～22Hz范围内可视可调，级差1Hz，误差±10%</w:t>
      </w:r>
    </w:p>
    <w:p w14:paraId="3916D08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冲击次数：1次～9900次</w:t>
      </w:r>
      <w:r>
        <w:rPr>
          <w:rFonts w:hint="eastAsia" w:ascii="仿宋" w:hAnsi="仿宋" w:eastAsia="仿宋" w:cs="仿宋"/>
          <w:color w:val="auto"/>
          <w:sz w:val="24"/>
          <w:szCs w:val="24"/>
          <w:highlight w:val="none"/>
          <w:lang w:val="en-US" w:eastAsia="zh-CN"/>
        </w:rPr>
        <w:t>范围内</w:t>
      </w:r>
      <w:r>
        <w:rPr>
          <w:rFonts w:hint="eastAsia" w:ascii="仿宋" w:hAnsi="仿宋" w:eastAsia="仿宋" w:cs="仿宋"/>
          <w:color w:val="auto"/>
          <w:sz w:val="24"/>
          <w:szCs w:val="24"/>
          <w:lang w:val="en-US" w:eastAsia="zh-CN"/>
        </w:rPr>
        <w:t>可视</w:t>
      </w:r>
      <w:r>
        <w:rPr>
          <w:rFonts w:hint="eastAsia" w:ascii="仿宋" w:hAnsi="仿宋" w:eastAsia="仿宋" w:cs="仿宋"/>
          <w:color w:val="auto"/>
          <w:sz w:val="24"/>
          <w:szCs w:val="24"/>
          <w:highlight w:val="none"/>
          <w:lang w:val="en-US" w:eastAsia="zh-CN"/>
        </w:rPr>
        <w:t>可调，</w:t>
      </w:r>
      <w:r>
        <w:rPr>
          <w:rFonts w:hint="eastAsia" w:ascii="仿宋" w:hAnsi="仿宋" w:eastAsia="仿宋" w:cs="仿宋"/>
          <w:color w:val="auto"/>
          <w:sz w:val="24"/>
          <w:szCs w:val="24"/>
          <w:lang w:val="en-US" w:eastAsia="zh-CN"/>
        </w:rPr>
        <w:t>误差±5%</w:t>
      </w:r>
    </w:p>
    <w:p w14:paraId="5551EAC1">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5、计数功能：具有计数及显示装置，可记录并显示冲击次数。</w:t>
      </w:r>
    </w:p>
    <w:p w14:paraId="584CAF27">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6、手柄通道数：主机不少于1通道，可支持1个手柄独立调节参数。</w:t>
      </w:r>
    </w:p>
    <w:p w14:paraId="5C8CCB93">
      <w:p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7、输入功率：500VA-750VA</w:t>
      </w:r>
      <w:r>
        <w:rPr>
          <w:rFonts w:hint="eastAsia" w:ascii="仿宋" w:hAnsi="仿宋" w:eastAsia="仿宋" w:cs="仿宋"/>
          <w:sz w:val="24"/>
          <w:szCs w:val="24"/>
          <w:highlight w:val="none"/>
          <w:lang w:val="en-US" w:eastAsia="zh-CN"/>
        </w:rPr>
        <w:t>。</w:t>
      </w:r>
    </w:p>
    <w:p w14:paraId="3FA0E581">
      <w:p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8、管路的气密性：仪器管路5bar的压力下，其压力下降值不少于1bar，</w:t>
      </w:r>
      <w:r>
        <w:rPr>
          <w:rFonts w:hint="eastAsia" w:ascii="仿宋" w:hAnsi="仿宋" w:eastAsia="仿宋" w:cs="仿宋"/>
          <w:color w:val="auto"/>
          <w:sz w:val="24"/>
          <w:szCs w:val="24"/>
          <w:lang w:val="en-US" w:eastAsia="zh-CN"/>
        </w:rPr>
        <w:t>误差±10%。</w:t>
      </w:r>
    </w:p>
    <w:p w14:paraId="25E8BB4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治疗头</w:t>
      </w:r>
      <w:r>
        <w:rPr>
          <w:rFonts w:hint="eastAsia" w:ascii="仿宋" w:hAnsi="仿宋" w:eastAsia="仿宋" w:cs="仿宋"/>
          <w:color w:val="auto"/>
          <w:sz w:val="24"/>
          <w:szCs w:val="24"/>
          <w:lang w:val="en-US" w:eastAsia="zh-CN"/>
        </w:rPr>
        <w:t>不少于5个。</w:t>
      </w:r>
    </w:p>
    <w:p w14:paraId="71E8E73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szCs w:val="24"/>
          <w:lang w:val="en-US" w:eastAsia="zh-CN"/>
        </w:rPr>
        <w:t>10、包括但不限于有治疗开始、治疗结束等提示功能。</w:t>
      </w:r>
    </w:p>
    <w:p w14:paraId="32D264C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11、整机方便移动。</w:t>
      </w:r>
    </w:p>
    <w:p w14:paraId="7D19C57B">
      <w:pPr>
        <w:numPr>
          <w:ilvl w:val="0"/>
          <w:numId w:val="0"/>
        </w:numPr>
        <w:spacing w:line="240" w:lineRule="auto"/>
        <w:rPr>
          <w:rFonts w:ascii="仿宋" w:hAnsi="仿宋" w:eastAsia="仿宋" w:cs="仿宋"/>
          <w:b/>
          <w:color w:val="auto"/>
          <w:sz w:val="24"/>
          <w:highlight w:val="none"/>
        </w:rPr>
      </w:pPr>
      <w:r>
        <w:rPr>
          <w:rFonts w:hint="eastAsia" w:ascii="仿宋" w:hAnsi="仿宋" w:eastAsia="仿宋" w:cs="仿宋"/>
          <w:color w:val="auto"/>
          <w:sz w:val="24"/>
          <w:szCs w:val="24"/>
          <w:lang w:val="en-US" w:eastAsia="zh-CN"/>
        </w:rPr>
        <w:t>12、具有对压缩空气除水并自动排放功能。</w:t>
      </w:r>
    </w:p>
    <w:p w14:paraId="43B41578">
      <w:pPr>
        <w:numPr>
          <w:ilvl w:val="0"/>
          <w:numId w:val="0"/>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四、</w:t>
      </w:r>
      <w:r>
        <w:rPr>
          <w:rFonts w:hint="eastAsia" w:ascii="仿宋" w:hAnsi="仿宋" w:eastAsia="仿宋" w:cs="仿宋"/>
          <w:b/>
          <w:color w:val="auto"/>
          <w:sz w:val="24"/>
          <w:highlight w:val="none"/>
        </w:rPr>
        <w:t>每套</w:t>
      </w:r>
      <w:r>
        <w:rPr>
          <w:rFonts w:hint="eastAsia" w:ascii="仿宋" w:hAnsi="仿宋" w:eastAsia="仿宋" w:cs="仿宋"/>
          <w:b/>
          <w:color w:val="auto"/>
          <w:sz w:val="24"/>
          <w:highlight w:val="none"/>
          <w:lang w:val="en-US" w:eastAsia="zh-CN"/>
        </w:rPr>
        <w:t>设备</w:t>
      </w:r>
      <w:r>
        <w:rPr>
          <w:rFonts w:hint="eastAsia" w:ascii="仿宋" w:hAnsi="仿宋" w:eastAsia="仿宋" w:cs="仿宋"/>
          <w:b/>
          <w:color w:val="auto"/>
          <w:sz w:val="24"/>
          <w:highlight w:val="none"/>
        </w:rPr>
        <w:t>配置要求</w:t>
      </w:r>
      <w:r>
        <w:rPr>
          <w:rFonts w:hint="eastAsia" w:ascii="仿宋" w:hAnsi="仿宋" w:eastAsia="仿宋" w:cs="仿宋"/>
          <w:b/>
          <w:sz w:val="24"/>
          <w:lang w:eastAsia="zh-CN"/>
        </w:rPr>
        <w:t>（</w:t>
      </w:r>
      <w:r>
        <w:rPr>
          <w:rFonts w:hint="eastAsia" w:ascii="仿宋" w:hAnsi="仿宋" w:eastAsia="仿宋" w:cs="仿宋"/>
          <w:b/>
          <w:sz w:val="24"/>
          <w:lang w:val="en-US" w:eastAsia="zh-CN"/>
        </w:rPr>
        <w:t>包括但不限于</w:t>
      </w:r>
      <w:r>
        <w:rPr>
          <w:rFonts w:hint="eastAsia" w:ascii="仿宋" w:hAnsi="仿宋" w:eastAsia="仿宋" w:cs="仿宋"/>
          <w:b/>
          <w:sz w:val="24"/>
          <w:lang w:eastAsia="zh-CN"/>
        </w:rPr>
        <w:t>）</w:t>
      </w:r>
      <w:r>
        <w:rPr>
          <w:rFonts w:hint="eastAsia" w:ascii="仿宋" w:hAnsi="仿宋" w:eastAsia="仿宋" w:cs="仿宋"/>
          <w:b/>
          <w:color w:val="auto"/>
          <w:sz w:val="24"/>
          <w:highlight w:val="none"/>
        </w:rPr>
        <w:t>：</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227"/>
        <w:gridCol w:w="2803"/>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44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2227" w:type="dxa"/>
          </w:tcPr>
          <w:p w14:paraId="2CA505E4">
            <w:pPr>
              <w:spacing w:line="44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名称</w:t>
            </w:r>
          </w:p>
        </w:tc>
        <w:tc>
          <w:tcPr>
            <w:tcW w:w="2803" w:type="dxa"/>
          </w:tcPr>
          <w:p w14:paraId="2D5BB4C2">
            <w:pPr>
              <w:spacing w:line="44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要求</w:t>
            </w:r>
          </w:p>
        </w:tc>
        <w:tc>
          <w:tcPr>
            <w:tcW w:w="969" w:type="dxa"/>
          </w:tcPr>
          <w:p w14:paraId="18F0D697">
            <w:pPr>
              <w:spacing w:line="44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数量</w:t>
            </w:r>
          </w:p>
        </w:tc>
        <w:tc>
          <w:tcPr>
            <w:tcW w:w="920" w:type="dxa"/>
          </w:tcPr>
          <w:p w14:paraId="2810EB05">
            <w:pPr>
              <w:spacing w:line="44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1</w:t>
            </w:r>
          </w:p>
        </w:tc>
        <w:tc>
          <w:tcPr>
            <w:tcW w:w="2227" w:type="dxa"/>
            <w:shd w:val="clear" w:color="auto" w:fill="auto"/>
            <w:vAlign w:val="top"/>
          </w:tcPr>
          <w:p w14:paraId="4DEA2AA0">
            <w:pPr>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sz w:val="24"/>
              </w:rPr>
              <w:t>主机</w:t>
            </w:r>
          </w:p>
        </w:tc>
        <w:tc>
          <w:tcPr>
            <w:tcW w:w="2803" w:type="dxa"/>
          </w:tcPr>
          <w:p w14:paraId="0C3A4790">
            <w:pPr>
              <w:spacing w:line="440" w:lineRule="exact"/>
              <w:jc w:val="center"/>
              <w:rPr>
                <w:rFonts w:ascii="仿宋" w:hAnsi="仿宋" w:eastAsia="仿宋" w:cs="仿宋"/>
                <w:b w:val="0"/>
                <w:bCs w:val="0"/>
                <w:color w:val="auto"/>
                <w:sz w:val="24"/>
                <w:highlight w:val="none"/>
              </w:rPr>
            </w:pPr>
          </w:p>
        </w:tc>
        <w:tc>
          <w:tcPr>
            <w:tcW w:w="969" w:type="dxa"/>
          </w:tcPr>
          <w:p w14:paraId="765B493F">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w:t>
            </w:r>
          </w:p>
        </w:tc>
        <w:tc>
          <w:tcPr>
            <w:tcW w:w="920" w:type="dxa"/>
          </w:tcPr>
          <w:p w14:paraId="5F66FD1C">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台</w:t>
            </w:r>
          </w:p>
        </w:tc>
      </w:tr>
      <w:tr w14:paraId="5C6A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96A1CF7">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2</w:t>
            </w:r>
          </w:p>
        </w:tc>
        <w:tc>
          <w:tcPr>
            <w:tcW w:w="2227" w:type="dxa"/>
            <w:shd w:val="clear" w:color="auto" w:fill="auto"/>
            <w:vAlign w:val="top"/>
          </w:tcPr>
          <w:p w14:paraId="74A078E8">
            <w:pPr>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sz w:val="24"/>
                <w:lang w:val="en-US" w:eastAsia="zh-CN"/>
              </w:rPr>
              <w:t>电源线</w:t>
            </w:r>
          </w:p>
        </w:tc>
        <w:tc>
          <w:tcPr>
            <w:tcW w:w="2803" w:type="dxa"/>
          </w:tcPr>
          <w:p w14:paraId="360D66E5">
            <w:pPr>
              <w:spacing w:line="440" w:lineRule="exact"/>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u w:val="none"/>
                <w:lang w:val="en-US" w:eastAsia="zh-CN"/>
              </w:rPr>
              <w:t>不</w:t>
            </w:r>
            <w:bookmarkStart w:id="0" w:name="_GoBack"/>
            <w:bookmarkEnd w:id="0"/>
            <w:r>
              <w:rPr>
                <w:rFonts w:hint="eastAsia" w:ascii="仿宋" w:hAnsi="仿宋" w:eastAsia="仿宋" w:cs="仿宋"/>
                <w:b w:val="0"/>
                <w:bCs w:val="0"/>
                <w:color w:val="auto"/>
                <w:sz w:val="24"/>
                <w:u w:val="none"/>
                <w:lang w:val="en-US" w:eastAsia="zh-CN"/>
              </w:rPr>
              <w:t>少于</w:t>
            </w:r>
            <w:r>
              <w:rPr>
                <w:rFonts w:hint="eastAsia" w:ascii="仿宋" w:hAnsi="仿宋" w:eastAsia="仿宋" w:cs="仿宋"/>
                <w:b w:val="0"/>
                <w:bCs w:val="0"/>
                <w:sz w:val="24"/>
              </w:rPr>
              <w:t>1.5m</w:t>
            </w:r>
          </w:p>
        </w:tc>
        <w:tc>
          <w:tcPr>
            <w:tcW w:w="969" w:type="dxa"/>
          </w:tcPr>
          <w:p w14:paraId="28EB4838">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w:t>
            </w:r>
          </w:p>
        </w:tc>
        <w:tc>
          <w:tcPr>
            <w:tcW w:w="920" w:type="dxa"/>
          </w:tcPr>
          <w:p w14:paraId="0837DC8A">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条</w:t>
            </w:r>
          </w:p>
        </w:tc>
      </w:tr>
      <w:tr w14:paraId="1F5A5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705FF586">
            <w:pPr>
              <w:spacing w:line="440" w:lineRule="exact"/>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w:t>
            </w:r>
          </w:p>
        </w:tc>
        <w:tc>
          <w:tcPr>
            <w:tcW w:w="2227" w:type="dxa"/>
            <w:shd w:val="clear" w:color="auto" w:fill="auto"/>
            <w:vAlign w:val="top"/>
          </w:tcPr>
          <w:p w14:paraId="47473ECA">
            <w:pPr>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sz w:val="24"/>
                <w:lang w:val="en-US" w:eastAsia="zh-CN"/>
              </w:rPr>
              <w:t xml:space="preserve">治疗手柄  </w:t>
            </w:r>
          </w:p>
        </w:tc>
        <w:tc>
          <w:tcPr>
            <w:tcW w:w="2803" w:type="dxa"/>
          </w:tcPr>
          <w:p w14:paraId="272A4F89">
            <w:pPr>
              <w:spacing w:line="440" w:lineRule="exact"/>
              <w:rPr>
                <w:rFonts w:ascii="仿宋" w:hAnsi="仿宋" w:eastAsia="仿宋" w:cs="仿宋"/>
                <w:b w:val="0"/>
                <w:bCs w:val="0"/>
                <w:color w:val="auto"/>
                <w:sz w:val="24"/>
                <w:highlight w:val="none"/>
              </w:rPr>
            </w:pPr>
          </w:p>
        </w:tc>
        <w:tc>
          <w:tcPr>
            <w:tcW w:w="969" w:type="dxa"/>
          </w:tcPr>
          <w:p w14:paraId="32920318">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w:t>
            </w:r>
          </w:p>
        </w:tc>
        <w:tc>
          <w:tcPr>
            <w:tcW w:w="920" w:type="dxa"/>
          </w:tcPr>
          <w:p w14:paraId="5C6D4CB5">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个</w:t>
            </w:r>
          </w:p>
        </w:tc>
      </w:tr>
      <w:tr w14:paraId="4B48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7D09DA6D">
            <w:pPr>
              <w:spacing w:line="440" w:lineRule="exact"/>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w:t>
            </w:r>
          </w:p>
        </w:tc>
        <w:tc>
          <w:tcPr>
            <w:tcW w:w="2227" w:type="dxa"/>
            <w:shd w:val="clear" w:color="auto" w:fill="auto"/>
            <w:vAlign w:val="top"/>
          </w:tcPr>
          <w:p w14:paraId="0BB2CDE2">
            <w:pPr>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sz w:val="24"/>
              </w:rPr>
              <w:t>使用说明书</w:t>
            </w:r>
          </w:p>
        </w:tc>
        <w:tc>
          <w:tcPr>
            <w:tcW w:w="2803" w:type="dxa"/>
          </w:tcPr>
          <w:p w14:paraId="797B5D43">
            <w:pPr>
              <w:spacing w:line="440" w:lineRule="exact"/>
              <w:jc w:val="center"/>
              <w:rPr>
                <w:rFonts w:ascii="仿宋" w:hAnsi="仿宋" w:eastAsia="仿宋" w:cs="仿宋"/>
                <w:b w:val="0"/>
                <w:bCs w:val="0"/>
                <w:color w:val="auto"/>
                <w:sz w:val="24"/>
                <w:highlight w:val="none"/>
              </w:rPr>
            </w:pPr>
          </w:p>
        </w:tc>
        <w:tc>
          <w:tcPr>
            <w:tcW w:w="969" w:type="dxa"/>
          </w:tcPr>
          <w:p w14:paraId="5F649BD5">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w:t>
            </w:r>
          </w:p>
        </w:tc>
        <w:tc>
          <w:tcPr>
            <w:tcW w:w="920" w:type="dxa"/>
          </w:tcPr>
          <w:p w14:paraId="5615804C">
            <w:pPr>
              <w:spacing w:line="440" w:lineRule="exact"/>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份</w:t>
            </w:r>
          </w:p>
        </w:tc>
      </w:tr>
    </w:tbl>
    <w:p w14:paraId="41F10B64">
      <w:pPr>
        <w:spacing w:line="440" w:lineRule="exact"/>
        <w:rPr>
          <w:rFonts w:ascii="仿宋" w:hAnsi="仿宋" w:eastAsia="仿宋" w:cs="仿宋"/>
          <w:b/>
          <w:color w:val="auto"/>
          <w:sz w:val="24"/>
          <w:highlight w:val="none"/>
        </w:rPr>
      </w:pPr>
    </w:p>
    <w:p w14:paraId="40B9EDCD">
      <w:pPr>
        <w:numPr>
          <w:ilvl w:val="0"/>
          <w:numId w:val="0"/>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7</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r>
        <w:rPr>
          <w:rFonts w:hint="eastAsia" w:ascii="仿宋" w:hAnsi="仿宋" w:eastAsia="仿宋" w:cs="仿宋"/>
          <w:color w:val="auto"/>
          <w:sz w:val="24"/>
          <w:highlight w:val="none"/>
          <w:lang w:val="en-US" w:eastAsia="zh-CN"/>
        </w:rPr>
        <w:t>及</w:t>
      </w:r>
      <w:r>
        <w:rPr>
          <w:rFonts w:hint="eastAsia" w:ascii="仿宋" w:hAnsi="仿宋" w:eastAsia="仿宋" w:cs="仿宋"/>
          <w:color w:val="auto"/>
          <w:kern w:val="0"/>
          <w:sz w:val="24"/>
          <w:szCs w:val="24"/>
        </w:rPr>
        <w:t>《中山市</w:t>
      </w:r>
      <w:r>
        <w:rPr>
          <w:rFonts w:hint="eastAsia" w:ascii="仿宋" w:hAnsi="仿宋" w:eastAsia="仿宋" w:cs="仿宋"/>
          <w:color w:val="auto"/>
          <w:kern w:val="0"/>
          <w:sz w:val="24"/>
          <w:szCs w:val="24"/>
          <w:lang w:val="en-US" w:eastAsia="zh-CN"/>
        </w:rPr>
        <w:t>东升</w:t>
      </w:r>
      <w:r>
        <w:rPr>
          <w:rFonts w:hint="eastAsia" w:ascii="仿宋" w:hAnsi="仿宋" w:eastAsia="仿宋" w:cs="仿宋"/>
          <w:color w:val="auto"/>
          <w:kern w:val="0"/>
          <w:sz w:val="24"/>
          <w:szCs w:val="24"/>
        </w:rPr>
        <w:t>医院医疗设备验收管理制度》</w:t>
      </w:r>
      <w:r>
        <w:rPr>
          <w:rFonts w:hint="eastAsia" w:ascii="仿宋" w:hAnsi="仿宋" w:eastAsia="仿宋" w:cs="仿宋"/>
          <w:color w:val="auto"/>
          <w:sz w:val="24"/>
          <w:highlight w:val="none"/>
        </w:rPr>
        <w:t>。</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rPr>
        <w:t>的每笔款项以人民币转账方式支付</w:t>
      </w:r>
      <w:r>
        <w:rPr>
          <w:rFonts w:hint="eastAsia" w:ascii="仿宋" w:hAnsi="仿宋" w:eastAsia="仿宋" w:cs="仿宋"/>
          <w:color w:val="auto"/>
          <w:sz w:val="24"/>
          <w:highlight w:val="none"/>
          <w:lang w:eastAsia="zh-CN"/>
        </w:rPr>
        <w:t>。</w:t>
      </w:r>
    </w:p>
    <w:p w14:paraId="4B2979D7">
      <w:pPr>
        <w:spacing w:line="440" w:lineRule="exact"/>
        <w:rPr>
          <w:rFonts w:hint="eastAsia" w:ascii="仿宋" w:hAnsi="仿宋" w:eastAsia="仿宋" w:cs="仿宋"/>
          <w:sz w:val="24"/>
        </w:rPr>
      </w:pPr>
      <w:r>
        <w:rPr>
          <w:rFonts w:hint="eastAsia" w:ascii="仿宋" w:hAnsi="仿宋" w:eastAsia="仿宋" w:cs="仿宋"/>
          <w:color w:val="auto"/>
          <w:sz w:val="24"/>
          <w:highlight w:val="none"/>
        </w:rPr>
        <w:t>3.2</w:t>
      </w:r>
      <w:r>
        <w:rPr>
          <w:rFonts w:hint="eastAsia" w:ascii="仿宋" w:hAnsi="仿宋" w:eastAsia="仿宋" w:cs="仿宋"/>
          <w:sz w:val="24"/>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55A146F8">
      <w:pPr>
        <w:spacing w:line="440" w:lineRule="exact"/>
        <w:rPr>
          <w:rFonts w:hint="eastAsia" w:ascii="仿宋" w:hAnsi="仿宋" w:eastAsia="仿宋" w:cs="仿宋"/>
          <w:sz w:val="24"/>
        </w:rPr>
      </w:pPr>
      <w:r>
        <w:rPr>
          <w:rFonts w:hint="eastAsia" w:ascii="仿宋" w:hAnsi="仿宋" w:eastAsia="仿宋" w:cs="仿宋"/>
          <w:sz w:val="24"/>
        </w:rPr>
        <w:t>1期：支付比例80% , 验收合格后，中标供应商应以实际装机数量对应出具的发票按比例支付，六个月内货款支付至总额的80%；</w:t>
      </w:r>
    </w:p>
    <w:p w14:paraId="698F0552">
      <w:pPr>
        <w:spacing w:line="440" w:lineRule="exact"/>
        <w:rPr>
          <w:rFonts w:ascii="仿宋" w:hAnsi="仿宋" w:eastAsia="仿宋" w:cs="仿宋"/>
          <w:sz w:val="24"/>
        </w:rPr>
      </w:pPr>
      <w:r>
        <w:rPr>
          <w:rFonts w:hint="eastAsia" w:ascii="仿宋" w:hAnsi="仿宋" w:eastAsia="仿宋" w:cs="仿宋"/>
          <w:sz w:val="24"/>
        </w:rPr>
        <w:t>2期：剩余15 %在设备正常使用满1年后不计利息一次性支付，合同总金额的5%的款项在设备验收且使用过程无问题</w:t>
      </w:r>
      <w:r>
        <w:rPr>
          <w:rFonts w:hint="eastAsia" w:ascii="仿宋" w:hAnsi="仿宋" w:eastAsia="仿宋" w:cs="仿宋"/>
          <w:sz w:val="24"/>
          <w:lang w:eastAsia="zh-CN"/>
        </w:rPr>
        <w:t>、</w:t>
      </w:r>
      <w:r>
        <w:rPr>
          <w:rFonts w:hint="eastAsia" w:ascii="仿宋" w:hAnsi="仿宋" w:eastAsia="仿宋" w:cs="仿宋"/>
          <w:sz w:val="24"/>
          <w:lang w:val="en-US" w:eastAsia="zh-CN"/>
        </w:rPr>
        <w:t>质保期满后</w:t>
      </w:r>
      <w:r>
        <w:rPr>
          <w:rFonts w:hint="eastAsia" w:ascii="仿宋" w:hAnsi="仿宋" w:eastAsia="仿宋" w:cs="仿宋"/>
          <w:sz w:val="24"/>
        </w:rPr>
        <w:t>一次性无息支付。</w:t>
      </w:r>
    </w:p>
    <w:p w14:paraId="42DA0642">
      <w:pPr>
        <w:spacing w:line="440" w:lineRule="exact"/>
        <w:rPr>
          <w:rFonts w:ascii="仿宋" w:hAnsi="仿宋" w:eastAsia="仿宋" w:cs="仿宋"/>
          <w:color w:val="auto"/>
          <w:sz w:val="24"/>
          <w:highlight w:val="none"/>
        </w:rPr>
      </w:pPr>
    </w:p>
    <w:p w14:paraId="290A347B">
      <w:pPr>
        <w:spacing w:line="44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4.违约责任与赔偿损失</w:t>
      </w:r>
    </w:p>
    <w:p w14:paraId="60EE2D30">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 中标供应商交付的货物、工程/提供的服务不符合招标文件、投标文件或本合同规定的，院方有权拒收，并且中标供应商须向院方支付本合同总价5%的违约金。</w:t>
      </w:r>
    </w:p>
    <w:p w14:paraId="53F4B132">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4706827C">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 院方无正当理由拒收货物/接受服务，到期拒付货物/服务款项的，院方向中标供应商偿付本合同总的5%的违约金。院方逾期付款，则每日按本合同总价的3‰向中标供应商偿付违约金。</w:t>
      </w:r>
    </w:p>
    <w:p w14:paraId="286E5979">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 其它违约责任按《中华人民共和国民法典》处理。</w:t>
      </w:r>
    </w:p>
    <w:p w14:paraId="0B3A84DC">
      <w:pPr>
        <w:spacing w:line="440" w:lineRule="exact"/>
        <w:rPr>
          <w:rFonts w:hint="default" w:ascii="仿宋" w:hAnsi="仿宋" w:eastAsia="仿宋" w:cs="仿宋"/>
          <w:color w:val="auto"/>
          <w:sz w:val="24"/>
          <w:highlight w:val="none"/>
          <w:lang w:val="en-US" w:eastAsia="zh-CN"/>
        </w:rPr>
      </w:pPr>
    </w:p>
    <w:p w14:paraId="4377B4E2">
      <w:pPr>
        <w:rPr>
          <w:color w:val="auto"/>
          <w:highlight w:val="none"/>
          <w:lang w:val="zh-CN"/>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F20BE63">
        <w:pPr>
          <w:pStyle w:val="6"/>
          <w:rPr>
            <w:rFonts w:hint="default"/>
            <w:lang w:val="en-US"/>
          </w:rPr>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43F38746">
        <w:pPr>
          <w:pStyle w:val="6"/>
        </w:pPr>
      </w:p>
    </w:sdtContent>
  </w:sdt>
  <w:p w14:paraId="602963D8"/>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04394A12"/>
    <w:rsid w:val="043A19AB"/>
    <w:rsid w:val="079A0F38"/>
    <w:rsid w:val="07B703A7"/>
    <w:rsid w:val="08DB7D8B"/>
    <w:rsid w:val="0AB1211B"/>
    <w:rsid w:val="0EFD1D23"/>
    <w:rsid w:val="126775F5"/>
    <w:rsid w:val="14026CA1"/>
    <w:rsid w:val="140524A5"/>
    <w:rsid w:val="17A84A31"/>
    <w:rsid w:val="17B2003E"/>
    <w:rsid w:val="18AC198D"/>
    <w:rsid w:val="1A362D0A"/>
    <w:rsid w:val="1A9A1AE2"/>
    <w:rsid w:val="1C850B82"/>
    <w:rsid w:val="1DB403E5"/>
    <w:rsid w:val="1E8B3C3C"/>
    <w:rsid w:val="1F0C2891"/>
    <w:rsid w:val="1F8B4BAE"/>
    <w:rsid w:val="1FF004A0"/>
    <w:rsid w:val="21025128"/>
    <w:rsid w:val="21F75571"/>
    <w:rsid w:val="248F5BDB"/>
    <w:rsid w:val="26AC3567"/>
    <w:rsid w:val="27094723"/>
    <w:rsid w:val="2A710EAE"/>
    <w:rsid w:val="2B9A59A4"/>
    <w:rsid w:val="2B9F7B41"/>
    <w:rsid w:val="2CAB1A01"/>
    <w:rsid w:val="2D887C39"/>
    <w:rsid w:val="2D993838"/>
    <w:rsid w:val="2E110DC4"/>
    <w:rsid w:val="2EA70528"/>
    <w:rsid w:val="2FF54D81"/>
    <w:rsid w:val="31AC6C06"/>
    <w:rsid w:val="323C0B50"/>
    <w:rsid w:val="333062AD"/>
    <w:rsid w:val="33712CFE"/>
    <w:rsid w:val="33895773"/>
    <w:rsid w:val="33F90432"/>
    <w:rsid w:val="351234CC"/>
    <w:rsid w:val="35EF058A"/>
    <w:rsid w:val="361954A6"/>
    <w:rsid w:val="37705AF4"/>
    <w:rsid w:val="38C94F69"/>
    <w:rsid w:val="3C740147"/>
    <w:rsid w:val="3CF45D24"/>
    <w:rsid w:val="3E9B4363"/>
    <w:rsid w:val="3ECA1709"/>
    <w:rsid w:val="3EEE625E"/>
    <w:rsid w:val="43ED40EE"/>
    <w:rsid w:val="443A5766"/>
    <w:rsid w:val="44746547"/>
    <w:rsid w:val="4734568A"/>
    <w:rsid w:val="48515DC8"/>
    <w:rsid w:val="49EB4B28"/>
    <w:rsid w:val="4BF76F64"/>
    <w:rsid w:val="4EA70F40"/>
    <w:rsid w:val="4EB55C65"/>
    <w:rsid w:val="4EBD0A92"/>
    <w:rsid w:val="4EDA0125"/>
    <w:rsid w:val="4F9A3A01"/>
    <w:rsid w:val="50526B81"/>
    <w:rsid w:val="50EC2B32"/>
    <w:rsid w:val="553840DB"/>
    <w:rsid w:val="577A6F00"/>
    <w:rsid w:val="579F1125"/>
    <w:rsid w:val="580469B3"/>
    <w:rsid w:val="58B3555A"/>
    <w:rsid w:val="58B91A08"/>
    <w:rsid w:val="5A3921D0"/>
    <w:rsid w:val="5B4D1492"/>
    <w:rsid w:val="5C100F49"/>
    <w:rsid w:val="5C675762"/>
    <w:rsid w:val="5DC71851"/>
    <w:rsid w:val="5E871CB1"/>
    <w:rsid w:val="656A70AF"/>
    <w:rsid w:val="66AA15BF"/>
    <w:rsid w:val="69340CF8"/>
    <w:rsid w:val="69474AA0"/>
    <w:rsid w:val="6BD2675F"/>
    <w:rsid w:val="6C171CF3"/>
    <w:rsid w:val="6CF77F00"/>
    <w:rsid w:val="6DDF526D"/>
    <w:rsid w:val="6EA1250E"/>
    <w:rsid w:val="6F2A17D8"/>
    <w:rsid w:val="72514A93"/>
    <w:rsid w:val="73B96BFA"/>
    <w:rsid w:val="744B3E55"/>
    <w:rsid w:val="74EB7879"/>
    <w:rsid w:val="7786597B"/>
    <w:rsid w:val="77DD540E"/>
    <w:rsid w:val="7931434A"/>
    <w:rsid w:val="7BDA70B6"/>
    <w:rsid w:val="7C115C9E"/>
    <w:rsid w:val="7C8810B1"/>
    <w:rsid w:val="7DFD38EA"/>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3</Pages>
  <Words>1836</Words>
  <Characters>1942</Characters>
  <Lines>10</Lines>
  <Paragraphs>2</Paragraphs>
  <TotalTime>1</TotalTime>
  <ScaleCrop>false</ScaleCrop>
  <LinksUpToDate>false</LinksUpToDate>
  <CharactersWithSpaces>1959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Lily</cp:lastModifiedBy>
  <cp:lastPrinted>2021-08-11T08:36:00Z</cp:lastPrinted>
  <dcterms:modified xsi:type="dcterms:W3CDTF">2026-07-28T07:39:21Z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9A83A41A2A3C418681D8F67FEC76A886_13</vt:lpwstr>
  </property>
  <property fmtid="{D5CDD505-2E9C-101B-9397-08002B2CF9AE}" pid="4" name="KSOTemplateDocerSaveRecord">
    <vt:lpwstr>eyJoZGlkIjoiZjMxODI1ZDk1NTM3ZThjZDIyMDM0N2Q4Njc3ODMwMjMiLCJ1c2VySWQiOiIyNjI5MDY5MzEifQ==</vt:lpwstr>
  </property>
</Properties>
</file>