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98A41A">
      <w:pPr>
        <w:keepNext w:val="0"/>
        <w:keepLines w:val="0"/>
        <w:pageBreakBefore w:val="0"/>
        <w:widowControl w:val="0"/>
        <w:kinsoku/>
        <w:wordWrap/>
        <w:overflowPunct/>
        <w:topLinePunct w:val="0"/>
        <w:bidi w:val="0"/>
        <w:spacing w:line="400" w:lineRule="exact"/>
        <w:jc w:val="center"/>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rPr>
        <w:t>中山市东升医院</w:t>
      </w:r>
      <w:r>
        <w:rPr>
          <w:rFonts w:hint="eastAsia" w:ascii="宋体" w:hAnsi="宋体" w:eastAsia="宋体" w:cs="宋体"/>
          <w:b/>
          <w:bCs/>
          <w:sz w:val="32"/>
          <w:szCs w:val="32"/>
          <w:highlight w:val="none"/>
          <w:lang w:val="en-US" w:eastAsia="zh-CN"/>
        </w:rPr>
        <w:t>综合</w:t>
      </w:r>
      <w:r>
        <w:rPr>
          <w:rFonts w:hint="eastAsia" w:ascii="宋体" w:hAnsi="宋体" w:eastAsia="宋体" w:cs="宋体"/>
          <w:b/>
          <w:bCs/>
          <w:sz w:val="32"/>
          <w:szCs w:val="32"/>
          <w:highlight w:val="none"/>
        </w:rPr>
        <w:t>能源托管技术咨询服务</w:t>
      </w:r>
      <w:r>
        <w:rPr>
          <w:rFonts w:hint="eastAsia" w:ascii="宋体" w:hAnsi="宋体" w:eastAsia="宋体" w:cs="宋体"/>
          <w:b/>
          <w:bCs/>
          <w:sz w:val="32"/>
          <w:szCs w:val="32"/>
          <w:highlight w:val="none"/>
          <w:lang w:val="en-US" w:eastAsia="zh-CN"/>
        </w:rPr>
        <w:t>项目</w:t>
      </w:r>
    </w:p>
    <w:p w14:paraId="037BD5E2">
      <w:pPr>
        <w:pStyle w:val="6"/>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宋体" w:hAnsi="宋体" w:eastAsia="宋体" w:cs="宋体"/>
          <w:b/>
          <w:bCs/>
          <w:color w:val="auto"/>
          <w:kern w:val="0"/>
          <w:sz w:val="32"/>
          <w:szCs w:val="32"/>
          <w:highlight w:val="none"/>
          <w:lang w:val="en-US" w:eastAsia="zh-CN" w:bidi="ar-SA"/>
        </w:rPr>
      </w:pPr>
      <w:r>
        <w:rPr>
          <w:rFonts w:hint="eastAsia" w:ascii="宋体" w:hAnsi="宋体" w:eastAsia="宋体" w:cs="宋体"/>
          <w:b/>
          <w:bCs/>
          <w:color w:val="auto"/>
          <w:kern w:val="0"/>
          <w:sz w:val="32"/>
          <w:szCs w:val="32"/>
          <w:highlight w:val="none"/>
          <w:lang w:val="en-US" w:eastAsia="zh-CN" w:bidi="ar-SA"/>
        </w:rPr>
        <w:t>院内采购公告</w:t>
      </w:r>
    </w:p>
    <w:p w14:paraId="2090146E">
      <w:pPr>
        <w:pStyle w:val="6"/>
        <w:keepNext w:val="0"/>
        <w:keepLines w:val="0"/>
        <w:pageBreakBefore w:val="0"/>
        <w:widowControl w:val="0"/>
        <w:numPr>
          <w:ilvl w:val="0"/>
          <w:numId w:val="0"/>
        </w:numPr>
        <w:kinsoku/>
        <w:wordWrap/>
        <w:overflowPunct/>
        <w:topLinePunct w:val="0"/>
        <w:autoSpaceDE/>
        <w:autoSpaceDN/>
        <w:bidi w:val="0"/>
        <w:adjustRightInd/>
        <w:snapToGrid/>
        <w:spacing w:before="157" w:beforeLines="50" w:after="0" w:line="420" w:lineRule="exact"/>
        <w:ind w:left="0" w:lef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color w:val="auto"/>
          <w:kern w:val="0"/>
          <w:sz w:val="24"/>
          <w:szCs w:val="24"/>
          <w:highlight w:val="none"/>
          <w:lang w:val="en-US" w:eastAsia="zh-CN" w:bidi="ar-SA"/>
        </w:rPr>
        <w:t>一、</w:t>
      </w:r>
      <w:r>
        <w:rPr>
          <w:rFonts w:hint="eastAsia" w:ascii="宋体" w:hAnsi="宋体" w:eastAsia="宋体" w:cs="宋体"/>
          <w:b/>
          <w:bCs/>
          <w:sz w:val="24"/>
          <w:szCs w:val="24"/>
          <w:highlight w:val="none"/>
        </w:rPr>
        <w:t>项目概况</w:t>
      </w:r>
    </w:p>
    <w:p w14:paraId="79B308FF">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right="0"/>
        <w:jc w:val="both"/>
        <w:textAlignment w:val="auto"/>
        <w:rPr>
          <w:rFonts w:hint="eastAsia" w:ascii="宋体" w:hAnsi="宋体" w:eastAsia="宋体" w:cs="宋体"/>
          <w:i w:val="0"/>
          <w:iCs w:val="0"/>
          <w:caps w:val="0"/>
          <w:color w:val="000000"/>
          <w:spacing w:val="0"/>
          <w:sz w:val="24"/>
          <w:szCs w:val="24"/>
          <w:highlight w:val="none"/>
          <w:u w:val="none"/>
        </w:rPr>
      </w:pPr>
      <w:r>
        <w:rPr>
          <w:rFonts w:hint="eastAsia" w:ascii="宋体" w:hAnsi="宋体" w:eastAsia="宋体" w:cs="宋体"/>
          <w:b w:val="0"/>
          <w:bCs w:val="0"/>
          <w:sz w:val="24"/>
          <w:szCs w:val="24"/>
          <w:highlight w:val="none"/>
          <w:lang w:val="en-US" w:eastAsia="zh-CN"/>
        </w:rPr>
        <w:t>1. 项目名称：</w:t>
      </w:r>
      <w:r>
        <w:rPr>
          <w:rFonts w:hint="eastAsia" w:ascii="宋体" w:hAnsi="宋体" w:eastAsia="宋体" w:cs="宋体"/>
          <w:color w:val="000000"/>
          <w:sz w:val="24"/>
          <w:szCs w:val="24"/>
          <w:highlight w:val="none"/>
          <w:shd w:val="clear" w:color="auto" w:fill="FFFFFF"/>
        </w:rPr>
        <w:t>中山市东升医院</w:t>
      </w:r>
      <w:r>
        <w:rPr>
          <w:rFonts w:hint="eastAsia" w:ascii="宋体" w:hAnsi="宋体" w:eastAsia="宋体" w:cs="宋体"/>
          <w:color w:val="000000"/>
          <w:sz w:val="24"/>
          <w:szCs w:val="24"/>
          <w:highlight w:val="none"/>
          <w:shd w:val="clear" w:color="auto" w:fill="FFFFFF"/>
          <w:lang w:val="en-US" w:eastAsia="zh-CN"/>
        </w:rPr>
        <w:t>综合</w:t>
      </w:r>
      <w:r>
        <w:rPr>
          <w:rFonts w:hint="eastAsia" w:ascii="宋体" w:hAnsi="宋体" w:eastAsia="宋体" w:cs="宋体"/>
          <w:color w:val="000000"/>
          <w:sz w:val="24"/>
          <w:szCs w:val="24"/>
          <w:highlight w:val="none"/>
          <w:shd w:val="clear" w:color="auto" w:fill="FFFFFF"/>
        </w:rPr>
        <w:t>能源托管技术咨询服务项目</w:t>
      </w:r>
    </w:p>
    <w:p w14:paraId="6B508B9C">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right="0"/>
        <w:jc w:val="both"/>
        <w:textAlignment w:val="auto"/>
        <w:rPr>
          <w:rFonts w:hint="default" w:ascii="宋体" w:hAnsi="宋体" w:eastAsia="宋体" w:cs="宋体"/>
          <w:i w:val="0"/>
          <w:iCs w:val="0"/>
          <w:caps w:val="0"/>
          <w:color w:val="000000"/>
          <w:spacing w:val="0"/>
          <w:sz w:val="24"/>
          <w:szCs w:val="24"/>
          <w:highlight w:val="none"/>
          <w:u w:val="none"/>
          <w:shd w:val="clear" w:fill="FFFFFF"/>
          <w:lang w:val="en-US" w:eastAsia="zh-CN"/>
        </w:rPr>
      </w:pPr>
      <w:r>
        <w:rPr>
          <w:rFonts w:hint="eastAsia" w:ascii="宋体" w:hAnsi="宋体" w:eastAsia="宋体" w:cs="宋体"/>
          <w:i w:val="0"/>
          <w:iCs w:val="0"/>
          <w:caps w:val="0"/>
          <w:color w:val="000000"/>
          <w:spacing w:val="0"/>
          <w:sz w:val="24"/>
          <w:szCs w:val="24"/>
          <w:highlight w:val="none"/>
          <w:u w:val="none"/>
          <w:shd w:val="clear" w:fill="FFFFFF"/>
          <w:lang w:val="en-US" w:eastAsia="zh-CN"/>
        </w:rPr>
        <w:t>2. 项目编号：FW-CW-CW-2026077</w:t>
      </w:r>
    </w:p>
    <w:p w14:paraId="3CDB945C">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right="0"/>
        <w:jc w:val="both"/>
        <w:textAlignment w:val="auto"/>
        <w:rPr>
          <w:rFonts w:hint="eastAsia" w:ascii="宋体" w:hAnsi="宋体" w:eastAsia="宋体" w:cs="宋体"/>
          <w:i w:val="0"/>
          <w:iCs w:val="0"/>
          <w:caps w:val="0"/>
          <w:color w:val="000000"/>
          <w:spacing w:val="0"/>
          <w:sz w:val="24"/>
          <w:szCs w:val="24"/>
          <w:highlight w:val="none"/>
          <w:u w:val="none"/>
          <w:shd w:val="clear" w:fill="FFFFFF"/>
          <w:lang w:val="en-US" w:eastAsia="zh-CN"/>
        </w:rPr>
      </w:pPr>
      <w:r>
        <w:rPr>
          <w:rFonts w:hint="eastAsia" w:ascii="宋体" w:hAnsi="宋体" w:eastAsia="宋体" w:cs="宋体"/>
          <w:i w:val="0"/>
          <w:iCs w:val="0"/>
          <w:caps w:val="0"/>
          <w:color w:val="000000"/>
          <w:spacing w:val="0"/>
          <w:sz w:val="24"/>
          <w:szCs w:val="24"/>
          <w:highlight w:val="none"/>
          <w:u w:val="none"/>
          <w:shd w:val="clear" w:fill="FFFFFF"/>
          <w:lang w:val="en-US" w:eastAsia="zh-CN"/>
        </w:rPr>
        <w:t xml:space="preserve">3. </w:t>
      </w:r>
      <w:r>
        <w:rPr>
          <w:rFonts w:hint="eastAsia" w:ascii="宋体" w:hAnsi="宋体" w:eastAsia="宋体" w:cs="宋体"/>
          <w:i w:val="0"/>
          <w:iCs w:val="0"/>
          <w:caps w:val="0"/>
          <w:color w:val="000000"/>
          <w:spacing w:val="0"/>
          <w:sz w:val="24"/>
          <w:szCs w:val="24"/>
          <w:highlight w:val="none"/>
          <w:shd w:val="clear" w:fill="FFFFFF"/>
        </w:rPr>
        <w:t>预算金额：</w:t>
      </w:r>
      <w:r>
        <w:rPr>
          <w:rFonts w:hint="eastAsia" w:ascii="宋体" w:hAnsi="宋体" w:eastAsia="宋体" w:cs="宋体"/>
          <w:i w:val="0"/>
          <w:iCs w:val="0"/>
          <w:caps w:val="0"/>
          <w:color w:val="000000"/>
          <w:spacing w:val="0"/>
          <w:sz w:val="24"/>
          <w:szCs w:val="24"/>
          <w:highlight w:val="none"/>
          <w:shd w:val="clear" w:fill="FFFFFF"/>
          <w:lang w:val="en-US" w:eastAsia="zh-CN"/>
        </w:rPr>
        <w:t>100000元（含税价且报价不能高于</w:t>
      </w:r>
      <w:r>
        <w:rPr>
          <w:rFonts w:hint="eastAsia" w:ascii="宋体" w:hAnsi="宋体" w:eastAsia="宋体" w:cs="宋体"/>
          <w:i w:val="0"/>
          <w:iCs w:val="0"/>
          <w:caps w:val="0"/>
          <w:color w:val="000000"/>
          <w:spacing w:val="0"/>
          <w:sz w:val="24"/>
          <w:szCs w:val="24"/>
          <w:highlight w:val="none"/>
          <w:shd w:val="clear" w:fill="FFFFFF"/>
        </w:rPr>
        <w:t>预算金额</w:t>
      </w:r>
      <w:r>
        <w:rPr>
          <w:rFonts w:hint="eastAsia" w:ascii="宋体" w:hAnsi="宋体" w:eastAsia="宋体" w:cs="宋体"/>
          <w:i w:val="0"/>
          <w:iCs w:val="0"/>
          <w:caps w:val="0"/>
          <w:color w:val="000000"/>
          <w:spacing w:val="0"/>
          <w:sz w:val="24"/>
          <w:szCs w:val="24"/>
          <w:highlight w:val="none"/>
          <w:shd w:val="clear" w:fill="FFFFFF"/>
          <w:lang w:val="en-US" w:eastAsia="zh-CN"/>
        </w:rPr>
        <w:t>）</w:t>
      </w:r>
    </w:p>
    <w:p w14:paraId="387D4BFC">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right="0"/>
        <w:jc w:val="both"/>
        <w:textAlignment w:val="auto"/>
        <w:rPr>
          <w:rFonts w:hint="eastAsia" w:ascii="宋体" w:hAnsi="宋体" w:eastAsia="宋体" w:cs="宋体"/>
          <w:i w:val="0"/>
          <w:iCs w:val="0"/>
          <w:caps w:val="0"/>
          <w:color w:val="auto"/>
          <w:spacing w:val="0"/>
          <w:kern w:val="0"/>
          <w:sz w:val="24"/>
          <w:szCs w:val="24"/>
          <w:highlight w:val="none"/>
          <w:u w:val="none"/>
          <w:lang w:val="en-US" w:eastAsia="zh-CN" w:bidi="ar"/>
        </w:rPr>
      </w:pPr>
      <w:r>
        <w:rPr>
          <w:rFonts w:hint="eastAsia" w:ascii="宋体" w:hAnsi="宋体" w:eastAsia="宋体" w:cs="宋体"/>
          <w:i w:val="0"/>
          <w:iCs w:val="0"/>
          <w:caps w:val="0"/>
          <w:color w:val="auto"/>
          <w:spacing w:val="0"/>
          <w:kern w:val="0"/>
          <w:sz w:val="24"/>
          <w:szCs w:val="24"/>
          <w:highlight w:val="none"/>
          <w:u w:val="none"/>
          <w:lang w:val="en-US" w:eastAsia="zh-CN" w:bidi="ar"/>
        </w:rPr>
        <w:t>4. 服务期限：自合同签订生效日起综合能源托管项目结束</w:t>
      </w:r>
    </w:p>
    <w:p w14:paraId="63A328BF">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5. </w:t>
      </w:r>
      <w:r>
        <w:rPr>
          <w:rFonts w:hint="eastAsia" w:ascii="宋体" w:hAnsi="宋体" w:eastAsia="宋体" w:cs="宋体"/>
          <w:b w:val="0"/>
          <w:bCs w:val="0"/>
          <w:color w:val="auto"/>
          <w:sz w:val="24"/>
          <w:szCs w:val="24"/>
          <w:highlight w:val="none"/>
        </w:rPr>
        <w:t>服务地点</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采购人指定地点</w:t>
      </w:r>
    </w:p>
    <w:p w14:paraId="61B6648F">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i w:val="0"/>
          <w:iCs w:val="0"/>
          <w:caps w:val="0"/>
          <w:color w:val="auto"/>
          <w:spacing w:val="0"/>
          <w:kern w:val="0"/>
          <w:sz w:val="24"/>
          <w:szCs w:val="24"/>
          <w:highlight w:val="none"/>
          <w:u w:val="none"/>
          <w:lang w:val="en-US" w:eastAsia="zh-CN" w:bidi="ar"/>
        </w:rPr>
      </w:pPr>
      <w:r>
        <w:rPr>
          <w:rFonts w:hint="eastAsia" w:ascii="宋体" w:hAnsi="宋体" w:eastAsia="宋体" w:cs="宋体"/>
          <w:i w:val="0"/>
          <w:iCs w:val="0"/>
          <w:caps w:val="0"/>
          <w:color w:val="auto"/>
          <w:spacing w:val="0"/>
          <w:kern w:val="0"/>
          <w:sz w:val="24"/>
          <w:szCs w:val="24"/>
          <w:highlight w:val="none"/>
          <w:u w:val="none"/>
          <w:lang w:val="en-US" w:eastAsia="zh-CN" w:bidi="ar"/>
        </w:rPr>
        <w:t xml:space="preserve">6. </w:t>
      </w:r>
      <w:r>
        <w:rPr>
          <w:rFonts w:hint="eastAsia" w:ascii="宋体" w:hAnsi="宋体" w:eastAsia="宋体" w:cs="宋体"/>
          <w:i w:val="0"/>
          <w:iCs w:val="0"/>
          <w:caps w:val="0"/>
          <w:color w:val="auto"/>
          <w:spacing w:val="0"/>
          <w:sz w:val="24"/>
          <w:szCs w:val="24"/>
          <w:highlight w:val="none"/>
          <w:u w:val="none"/>
          <w:shd w:val="clear" w:fill="FFFFFF"/>
          <w:lang w:eastAsia="zh-CN"/>
        </w:rPr>
        <w:t>服务内容</w:t>
      </w:r>
      <w:r>
        <w:rPr>
          <w:rFonts w:hint="eastAsia" w:ascii="宋体" w:hAnsi="宋体" w:eastAsia="宋体" w:cs="宋体"/>
          <w:i w:val="0"/>
          <w:iCs w:val="0"/>
          <w:caps w:val="0"/>
          <w:color w:val="auto"/>
          <w:spacing w:val="0"/>
          <w:sz w:val="24"/>
          <w:szCs w:val="24"/>
          <w:highlight w:val="none"/>
          <w:u w:val="none"/>
          <w:shd w:val="clear" w:fill="FFFFFF"/>
        </w:rPr>
        <w:t>：</w:t>
      </w:r>
      <w:r>
        <w:rPr>
          <w:rFonts w:hint="eastAsia" w:ascii="宋体" w:hAnsi="宋体" w:eastAsia="宋体" w:cs="宋体"/>
          <w:sz w:val="24"/>
          <w:szCs w:val="24"/>
          <w:highlight w:val="none"/>
        </w:rPr>
        <w:t>聘请专业技术服务单位</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对医院能源托管项目（空调冷水机组、热水、照明、中央空调末端、电梯、光伏发电、充电桩、管理系统</w:t>
      </w:r>
      <w:r>
        <w:rPr>
          <w:rFonts w:hint="eastAsia" w:ascii="宋体" w:hAnsi="宋体" w:eastAsia="宋体" w:cs="宋体"/>
          <w:sz w:val="24"/>
          <w:szCs w:val="24"/>
          <w:highlight w:val="none"/>
          <w:lang w:val="en-US" w:eastAsia="zh-CN"/>
        </w:rPr>
        <w:t>等</w:t>
      </w:r>
      <w:r>
        <w:rPr>
          <w:rFonts w:hint="eastAsia" w:ascii="宋体" w:hAnsi="宋体" w:eastAsia="宋体" w:cs="宋体"/>
          <w:sz w:val="24"/>
          <w:szCs w:val="24"/>
          <w:highlight w:val="none"/>
        </w:rPr>
        <w:t>的技术改造）提供第三方全流程技术咨询服务，协助审查项目技术改造方案、招标需求、招标文件</w:t>
      </w:r>
      <w:r>
        <w:rPr>
          <w:rFonts w:hint="eastAsia" w:ascii="宋体" w:hAnsi="宋体" w:eastAsia="宋体" w:cs="宋体"/>
          <w:sz w:val="24"/>
          <w:szCs w:val="24"/>
          <w:highlight w:val="none"/>
          <w:lang w:eastAsia="zh-CN"/>
        </w:rPr>
        <w:t>及</w:t>
      </w:r>
      <w:r>
        <w:rPr>
          <w:rFonts w:hint="eastAsia" w:ascii="宋体" w:hAnsi="宋体" w:eastAsia="宋体" w:cs="宋体"/>
          <w:sz w:val="24"/>
          <w:szCs w:val="24"/>
          <w:highlight w:val="none"/>
        </w:rPr>
        <w:t>改造后产生的节能效果，核定项目改造完成后的实际节能</w:t>
      </w:r>
      <w:r>
        <w:rPr>
          <w:rFonts w:hint="eastAsia" w:ascii="宋体" w:hAnsi="宋体" w:eastAsia="宋体" w:cs="宋体"/>
          <w:sz w:val="24"/>
          <w:szCs w:val="24"/>
          <w:highlight w:val="none"/>
          <w:lang w:eastAsia="zh-CN"/>
        </w:rPr>
        <w:t>量</w:t>
      </w:r>
      <w:r>
        <w:rPr>
          <w:rFonts w:hint="eastAsia" w:ascii="宋体" w:hAnsi="宋体" w:eastAsia="宋体" w:cs="宋体"/>
          <w:sz w:val="24"/>
          <w:szCs w:val="24"/>
          <w:highlight w:val="none"/>
        </w:rPr>
        <w:t>，为医院实施的能源托管</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提供事前、事中、事后全方位服务。</w:t>
      </w:r>
    </w:p>
    <w:p w14:paraId="30BD59C1">
      <w:pPr>
        <w:pStyle w:val="6"/>
        <w:keepNext w:val="0"/>
        <w:keepLines w:val="0"/>
        <w:pageBreakBefore w:val="0"/>
        <w:widowControl w:val="0"/>
        <w:numPr>
          <w:ilvl w:val="0"/>
          <w:numId w:val="0"/>
        </w:numPr>
        <w:kinsoku/>
        <w:wordWrap/>
        <w:overflowPunct/>
        <w:topLinePunct w:val="0"/>
        <w:autoSpaceDE/>
        <w:autoSpaceDN/>
        <w:bidi w:val="0"/>
        <w:adjustRightInd/>
        <w:snapToGrid/>
        <w:spacing w:after="0" w:line="420" w:lineRule="exact"/>
        <w:ind w:leftChars="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i w:val="0"/>
          <w:iCs w:val="0"/>
          <w:caps w:val="0"/>
          <w:color w:val="000000"/>
          <w:spacing w:val="0"/>
          <w:sz w:val="24"/>
          <w:szCs w:val="24"/>
          <w:highlight w:val="none"/>
          <w:u w:val="none"/>
          <w:shd w:val="clear" w:fill="FFFFFF"/>
          <w:lang w:val="en-US" w:eastAsia="zh-CN"/>
        </w:rPr>
        <w:t xml:space="preserve">7. </w:t>
      </w:r>
      <w:r>
        <w:rPr>
          <w:rFonts w:hint="eastAsia" w:ascii="宋体" w:hAnsi="宋体" w:eastAsia="宋体" w:cs="宋体"/>
          <w:i w:val="0"/>
          <w:iCs w:val="0"/>
          <w:caps w:val="0"/>
          <w:color w:val="000000"/>
          <w:spacing w:val="0"/>
          <w:sz w:val="24"/>
          <w:szCs w:val="24"/>
          <w:highlight w:val="none"/>
        </w:rPr>
        <w:t>文件中标有“★”的地方均被视为重要的响应条款，供应商必须完全响应。若有一项带“★”的要求未响应或不满足，将不通过资格性、符合性审查。</w:t>
      </w:r>
    </w:p>
    <w:p w14:paraId="04AEEA36">
      <w:pPr>
        <w:pStyle w:val="6"/>
        <w:keepNext w:val="0"/>
        <w:keepLines w:val="0"/>
        <w:pageBreakBefore w:val="0"/>
        <w:widowControl w:val="0"/>
        <w:kinsoku/>
        <w:wordWrap/>
        <w:overflowPunct/>
        <w:topLinePunct w:val="0"/>
        <w:autoSpaceDE/>
        <w:autoSpaceDN/>
        <w:bidi w:val="0"/>
        <w:adjustRightInd/>
        <w:snapToGrid/>
        <w:spacing w:before="157" w:beforeLines="50" w:after="0" w:line="420" w:lineRule="exact"/>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二、服务内容</w:t>
      </w:r>
    </w:p>
    <w:p w14:paraId="5D5E0649">
      <w:pPr>
        <w:pStyle w:val="6"/>
        <w:keepNext w:val="0"/>
        <w:keepLines w:val="0"/>
        <w:pageBreakBefore w:val="0"/>
        <w:widowControl w:val="0"/>
        <w:kinsoku/>
        <w:wordWrap/>
        <w:overflowPunct/>
        <w:topLinePunct w:val="0"/>
        <w:autoSpaceDE/>
        <w:autoSpaceDN/>
        <w:bidi w:val="0"/>
        <w:adjustRightInd/>
        <w:snapToGrid/>
        <w:spacing w:after="0" w:line="420" w:lineRule="exact"/>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与医院进行交流咨询，了解目前医院中央空调冷水机组、分体空调、热水、电梯、照明系统等用能情况；</w:t>
      </w:r>
    </w:p>
    <w:p w14:paraId="585F7A91">
      <w:pPr>
        <w:pStyle w:val="6"/>
        <w:keepNext w:val="0"/>
        <w:keepLines w:val="0"/>
        <w:pageBreakBefore w:val="0"/>
        <w:widowControl w:val="0"/>
        <w:kinsoku/>
        <w:wordWrap/>
        <w:overflowPunct/>
        <w:topLinePunct w:val="0"/>
        <w:autoSpaceDE/>
        <w:autoSpaceDN/>
        <w:bidi w:val="0"/>
        <w:adjustRightInd/>
        <w:snapToGrid/>
        <w:spacing w:after="0" w:line="420" w:lineRule="exact"/>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分析中央空调冷水机组、中央空调末端、分体空调、照明系统、热水、电梯、光伏发电、充电桩、管理系统等提供第三方全流程设计方案和途径，组织专家（需持有建筑工程暖通专业或机电专业中级及以上资质证书）论证方案的可行性、产生的节能效果并出具论证报告，预计项目实施对医院正常运营产生的影响，拟定项目节能量核算方案，估算项目节能量，核实投资概算；根据医院需求，按照《公共机构能源费用托管实施规程》（JST 301-2024）要求，协助确定项目采购需求，并协助医院设立招投标条件和招标文件审核等事宜。</w:t>
      </w:r>
    </w:p>
    <w:p w14:paraId="3A4DE9D2">
      <w:pPr>
        <w:pStyle w:val="6"/>
        <w:keepNext w:val="0"/>
        <w:keepLines w:val="0"/>
        <w:pageBreakBefore w:val="0"/>
        <w:widowControl w:val="0"/>
        <w:kinsoku/>
        <w:wordWrap/>
        <w:overflowPunct/>
        <w:topLinePunct w:val="0"/>
        <w:autoSpaceDE/>
        <w:autoSpaceDN/>
        <w:bidi w:val="0"/>
        <w:adjustRightInd/>
        <w:snapToGrid/>
        <w:spacing w:after="0" w:line="420" w:lineRule="exact"/>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项目实施前，作为公共机构能源费用托管前期评估工作第三方机构，完成前期评估相关工作，包括：确定空调冷水机组、分体空调、热水、照明系统、电梯等用能边界，并进行测试，核定改造前用能情况，并出具</w:t>
      </w:r>
      <w:r>
        <w:rPr>
          <w:rFonts w:hint="eastAsia" w:ascii="宋体" w:hAnsi="宋体" w:eastAsia="宋体" w:cs="宋体"/>
          <w:sz w:val="24"/>
          <w:szCs w:val="24"/>
          <w:highlight w:val="none"/>
          <w:lang w:val="en-US" w:eastAsia="zh-CN"/>
        </w:rPr>
        <w:t>具</w:t>
      </w:r>
      <w:r>
        <w:rPr>
          <w:rFonts w:hint="eastAsia" w:ascii="宋体" w:hAnsi="宋体" w:eastAsia="宋体" w:cs="宋体"/>
          <w:sz w:val="24"/>
          <w:szCs w:val="24"/>
          <w:highlight w:val="none"/>
        </w:rPr>
        <w:t>有法律效力的项目改造前用能测试报告等。</w:t>
      </w:r>
    </w:p>
    <w:p w14:paraId="38840B7D">
      <w:pPr>
        <w:pStyle w:val="6"/>
        <w:keepNext w:val="0"/>
        <w:keepLines w:val="0"/>
        <w:pageBreakBefore w:val="0"/>
        <w:widowControl w:val="0"/>
        <w:kinsoku/>
        <w:wordWrap/>
        <w:overflowPunct/>
        <w:topLinePunct w:val="0"/>
        <w:autoSpaceDE/>
        <w:autoSpaceDN/>
        <w:bidi w:val="0"/>
        <w:adjustRightInd/>
        <w:snapToGrid/>
        <w:spacing w:after="0" w:line="420" w:lineRule="exact"/>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节能改造过程中，全程跟踪项目改造情况，落实改造方案的设计要点执行情况，监督项目施工质量以及文明、安全施工。</w:t>
      </w:r>
    </w:p>
    <w:p w14:paraId="700F5CED">
      <w:pPr>
        <w:pStyle w:val="6"/>
        <w:keepNext w:val="0"/>
        <w:keepLines w:val="0"/>
        <w:pageBreakBefore w:val="0"/>
        <w:widowControl w:val="0"/>
        <w:kinsoku/>
        <w:wordWrap/>
        <w:overflowPunct/>
        <w:topLinePunct w:val="0"/>
        <w:autoSpaceDE/>
        <w:autoSpaceDN/>
        <w:bidi w:val="0"/>
        <w:adjustRightInd/>
        <w:snapToGrid/>
        <w:spacing w:after="0" w:line="420" w:lineRule="exact"/>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节能技术改造实施完成后，组织项目的评估、验收工作，对项目改造后节能效果和用能情况进行测试，出具具有法律效力的项目节能量审核报告。</w:t>
      </w:r>
    </w:p>
    <w:p w14:paraId="55B972BA">
      <w:pPr>
        <w:pStyle w:val="6"/>
        <w:keepNext w:val="0"/>
        <w:keepLines w:val="0"/>
        <w:pageBreakBefore w:val="0"/>
        <w:widowControl w:val="0"/>
        <w:kinsoku/>
        <w:wordWrap/>
        <w:overflowPunct/>
        <w:topLinePunct w:val="0"/>
        <w:autoSpaceDE/>
        <w:autoSpaceDN/>
        <w:bidi w:val="0"/>
        <w:adjustRightInd/>
        <w:snapToGrid/>
        <w:spacing w:after="0" w:line="420" w:lineRule="exact"/>
        <w:ind w:left="0" w:leftChars="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根据</w:t>
      </w:r>
      <w:r>
        <w:rPr>
          <w:rFonts w:hint="eastAsia" w:ascii="宋体" w:hAnsi="宋体" w:eastAsia="宋体" w:cs="宋体"/>
          <w:color w:val="auto"/>
          <w:sz w:val="24"/>
          <w:szCs w:val="24"/>
          <w:highlight w:val="none"/>
        </w:rPr>
        <w:t>项目投资建设方式的需求，拟定项目运行期的节能效果定期评价方案。本次</w:t>
      </w:r>
      <w:r>
        <w:rPr>
          <w:rFonts w:hint="eastAsia" w:ascii="宋体" w:hAnsi="宋体" w:eastAsia="宋体" w:cs="宋体"/>
          <w:color w:val="auto"/>
          <w:sz w:val="24"/>
          <w:szCs w:val="24"/>
          <w:highlight w:val="none"/>
          <w:lang w:val="en-US" w:eastAsia="zh-CN"/>
        </w:rPr>
        <w:t>节能</w:t>
      </w:r>
      <w:r>
        <w:rPr>
          <w:rFonts w:hint="eastAsia" w:ascii="宋体" w:hAnsi="宋体" w:eastAsia="宋体" w:cs="宋体"/>
          <w:color w:val="auto"/>
          <w:sz w:val="24"/>
          <w:szCs w:val="24"/>
          <w:highlight w:val="none"/>
        </w:rPr>
        <w:t>技术改造项目采用</w:t>
      </w:r>
      <w:r>
        <w:rPr>
          <w:rFonts w:hint="eastAsia" w:ascii="宋体" w:hAnsi="宋体" w:eastAsia="宋体" w:cs="宋体"/>
          <w:color w:val="auto"/>
          <w:sz w:val="24"/>
          <w:szCs w:val="24"/>
          <w:highlight w:val="none"/>
          <w:lang w:val="en-US" w:eastAsia="zh-CN"/>
        </w:rPr>
        <w:t>综合</w:t>
      </w:r>
      <w:r>
        <w:rPr>
          <w:rFonts w:hint="eastAsia" w:ascii="宋体" w:hAnsi="宋体" w:eastAsia="宋体" w:cs="宋体"/>
          <w:color w:val="auto"/>
          <w:sz w:val="24"/>
          <w:szCs w:val="24"/>
          <w:highlight w:val="none"/>
        </w:rPr>
        <w:t>能源</w:t>
      </w:r>
      <w:r>
        <w:rPr>
          <w:rFonts w:hint="eastAsia" w:ascii="宋体" w:hAnsi="宋体" w:eastAsia="宋体" w:cs="宋体"/>
          <w:color w:val="auto"/>
          <w:sz w:val="24"/>
          <w:szCs w:val="24"/>
          <w:highlight w:val="none"/>
          <w:lang w:val="en-US" w:eastAsia="zh-CN"/>
        </w:rPr>
        <w:t>托管</w:t>
      </w:r>
      <w:r>
        <w:rPr>
          <w:rFonts w:hint="eastAsia" w:ascii="宋体" w:hAnsi="宋体" w:eastAsia="宋体" w:cs="宋体"/>
          <w:color w:val="auto"/>
          <w:sz w:val="24"/>
          <w:szCs w:val="24"/>
          <w:highlight w:val="none"/>
        </w:rPr>
        <w:t>模式（托管期10年），需提供四次核定项目实际节能效果，拟在</w:t>
      </w:r>
      <w:r>
        <w:rPr>
          <w:rFonts w:hint="eastAsia" w:ascii="宋体" w:hAnsi="宋体" w:eastAsia="宋体" w:cs="宋体"/>
          <w:color w:val="auto"/>
          <w:sz w:val="24"/>
          <w:szCs w:val="24"/>
          <w:highlight w:val="none"/>
          <w:lang w:val="en-US" w:eastAsia="zh-CN"/>
        </w:rPr>
        <w:t>综合能源托管</w:t>
      </w:r>
      <w:r>
        <w:rPr>
          <w:rFonts w:hint="eastAsia" w:ascii="宋体" w:hAnsi="宋体" w:eastAsia="宋体" w:cs="宋体"/>
          <w:color w:val="auto"/>
          <w:sz w:val="24"/>
          <w:szCs w:val="24"/>
          <w:highlight w:val="none"/>
        </w:rPr>
        <w:t>后的第一年、第四年、第七年、第十年</w:t>
      </w:r>
      <w:r>
        <w:rPr>
          <w:rFonts w:hint="eastAsia" w:ascii="宋体" w:hAnsi="宋体" w:eastAsia="宋体" w:cs="宋体"/>
          <w:color w:val="auto"/>
          <w:sz w:val="24"/>
          <w:szCs w:val="24"/>
          <w:highlight w:val="none"/>
          <w:lang w:val="en-US" w:eastAsia="zh-CN"/>
        </w:rPr>
        <w:t>评估</w:t>
      </w:r>
      <w:r>
        <w:rPr>
          <w:rFonts w:hint="eastAsia" w:ascii="宋体" w:hAnsi="宋体" w:eastAsia="宋体" w:cs="宋体"/>
          <w:color w:val="auto"/>
          <w:sz w:val="24"/>
          <w:szCs w:val="24"/>
          <w:highlight w:val="none"/>
        </w:rPr>
        <w:t>节能</w:t>
      </w:r>
      <w:r>
        <w:rPr>
          <w:rFonts w:hint="eastAsia" w:ascii="宋体" w:hAnsi="宋体" w:eastAsia="宋体" w:cs="宋体"/>
          <w:color w:val="auto"/>
          <w:sz w:val="24"/>
          <w:szCs w:val="24"/>
          <w:highlight w:val="none"/>
          <w:lang w:val="en-US" w:eastAsia="zh-CN"/>
        </w:rPr>
        <w:t>效果</w:t>
      </w:r>
      <w:r>
        <w:rPr>
          <w:rFonts w:hint="eastAsia" w:ascii="宋体" w:hAnsi="宋体" w:eastAsia="宋体" w:cs="宋体"/>
          <w:color w:val="auto"/>
          <w:sz w:val="24"/>
          <w:szCs w:val="24"/>
          <w:highlight w:val="none"/>
        </w:rPr>
        <w:t>，出具节能效</w:t>
      </w:r>
      <w:r>
        <w:rPr>
          <w:rFonts w:hint="eastAsia" w:ascii="宋体" w:hAnsi="宋体" w:eastAsia="宋体" w:cs="宋体"/>
          <w:color w:val="auto"/>
          <w:sz w:val="24"/>
          <w:szCs w:val="24"/>
          <w:highlight w:val="none"/>
          <w:lang w:val="en-US" w:eastAsia="zh-CN"/>
        </w:rPr>
        <w:t>果</w:t>
      </w:r>
      <w:r>
        <w:rPr>
          <w:rFonts w:hint="eastAsia" w:ascii="宋体" w:hAnsi="宋体" w:eastAsia="宋体" w:cs="宋体"/>
          <w:color w:val="auto"/>
          <w:sz w:val="24"/>
          <w:szCs w:val="24"/>
          <w:highlight w:val="none"/>
        </w:rPr>
        <w:t>评估报告（共4份），可作为项目经济效益或托管费用财务费用结算依据。</w:t>
      </w:r>
    </w:p>
    <w:p w14:paraId="408D1744">
      <w:pPr>
        <w:pStyle w:val="6"/>
        <w:keepNext w:val="0"/>
        <w:keepLines w:val="0"/>
        <w:pageBreakBefore w:val="0"/>
        <w:widowControl w:val="0"/>
        <w:kinsoku/>
        <w:wordWrap/>
        <w:overflowPunct/>
        <w:topLinePunct w:val="0"/>
        <w:autoSpaceDE/>
        <w:autoSpaceDN/>
        <w:bidi w:val="0"/>
        <w:adjustRightInd/>
        <w:snapToGrid/>
        <w:spacing w:after="0" w:line="420" w:lineRule="exact"/>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为本项目提供后续增值服务的技术咨询服务方，根据相关扶持政策情况，负责医院的项目申请节能专项资金奖补等，或申报节约型机关等咨询服务。具体服务方式、方案另议。</w:t>
      </w:r>
    </w:p>
    <w:p w14:paraId="5301FACB">
      <w:pPr>
        <w:pStyle w:val="6"/>
        <w:keepNext w:val="0"/>
        <w:keepLines w:val="0"/>
        <w:pageBreakBefore w:val="0"/>
        <w:widowControl w:val="0"/>
        <w:kinsoku/>
        <w:wordWrap/>
        <w:overflowPunct/>
        <w:topLinePunct w:val="0"/>
        <w:autoSpaceDE/>
        <w:autoSpaceDN/>
        <w:bidi w:val="0"/>
        <w:adjustRightInd/>
        <w:snapToGrid/>
        <w:spacing w:after="0" w:line="420" w:lineRule="exact"/>
        <w:ind w:left="0" w:lef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 咨询服务内容详见下表《咨询服务内容明细表》：</w:t>
      </w:r>
    </w:p>
    <w:p w14:paraId="156B4C6B">
      <w:pPr>
        <w:keepNext w:val="0"/>
        <w:keepLines w:val="0"/>
        <w:pageBreakBefore w:val="0"/>
        <w:widowControl w:val="0"/>
        <w:kinsoku/>
        <w:wordWrap/>
        <w:overflowPunct/>
        <w:topLinePunct w:val="0"/>
        <w:autoSpaceDE/>
        <w:autoSpaceDN/>
        <w:bidi w:val="0"/>
        <w:adjustRightInd/>
        <w:snapToGrid/>
        <w:spacing w:before="95" w:beforeLines="30" w:after="63" w:afterLines="20" w:line="40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咨询服务</w:t>
      </w:r>
      <w:r>
        <w:rPr>
          <w:rFonts w:hint="eastAsia" w:ascii="宋体" w:hAnsi="宋体" w:eastAsia="宋体" w:cs="宋体"/>
          <w:b/>
          <w:bCs/>
          <w:sz w:val="24"/>
          <w:szCs w:val="24"/>
          <w:highlight w:val="none"/>
          <w:lang w:val="en-US" w:eastAsia="zh-CN"/>
        </w:rPr>
        <w:t>内容</w:t>
      </w:r>
      <w:r>
        <w:rPr>
          <w:rFonts w:hint="eastAsia" w:ascii="宋体" w:hAnsi="宋体" w:eastAsia="宋体" w:cs="宋体"/>
          <w:b/>
          <w:bCs/>
          <w:sz w:val="24"/>
          <w:szCs w:val="24"/>
          <w:highlight w:val="none"/>
        </w:rPr>
        <w:t>明细表</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76"/>
        <w:gridCol w:w="6518"/>
      </w:tblGrid>
      <w:tr w14:paraId="1B11A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3176" w:type="dxa"/>
            <w:vAlign w:val="center"/>
          </w:tcPr>
          <w:p w14:paraId="28C51DAB">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6518" w:type="dxa"/>
            <w:vAlign w:val="center"/>
          </w:tcPr>
          <w:p w14:paraId="47F03B7F">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服务内容</w:t>
            </w:r>
          </w:p>
        </w:tc>
      </w:tr>
      <w:tr w14:paraId="16A6D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3176" w:type="dxa"/>
            <w:vAlign w:val="center"/>
          </w:tcPr>
          <w:p w14:paraId="640D6D54">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6518" w:type="dxa"/>
            <w:vAlign w:val="center"/>
          </w:tcPr>
          <w:p w14:paraId="419725E3">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方案论证费用</w:t>
            </w:r>
          </w:p>
        </w:tc>
      </w:tr>
      <w:tr w14:paraId="328A3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3176" w:type="dxa"/>
            <w:vAlign w:val="center"/>
          </w:tcPr>
          <w:p w14:paraId="6A0B33C9">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6518" w:type="dxa"/>
            <w:vAlign w:val="center"/>
          </w:tcPr>
          <w:p w14:paraId="63A17C41">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改造前用能测试报告</w:t>
            </w:r>
          </w:p>
        </w:tc>
      </w:tr>
      <w:tr w14:paraId="47408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3176" w:type="dxa"/>
            <w:vAlign w:val="center"/>
          </w:tcPr>
          <w:p w14:paraId="55FEF3DA">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6518" w:type="dxa"/>
            <w:vAlign w:val="center"/>
          </w:tcPr>
          <w:p w14:paraId="6AA54A84">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改造后第三方节能量审核报告</w:t>
            </w:r>
          </w:p>
        </w:tc>
      </w:tr>
      <w:tr w14:paraId="73810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3176" w:type="dxa"/>
            <w:vAlign w:val="center"/>
          </w:tcPr>
          <w:p w14:paraId="49363565">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6518" w:type="dxa"/>
            <w:vAlign w:val="center"/>
          </w:tcPr>
          <w:p w14:paraId="4317F844">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资料打印费、交通费</w:t>
            </w:r>
          </w:p>
        </w:tc>
      </w:tr>
      <w:tr w14:paraId="7B655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3176" w:type="dxa"/>
            <w:vAlign w:val="center"/>
          </w:tcPr>
          <w:p w14:paraId="63402539">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6518" w:type="dxa"/>
            <w:vAlign w:val="center"/>
          </w:tcPr>
          <w:p w14:paraId="648E3BBF">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技术咨询及监理费用（人工费）</w:t>
            </w:r>
          </w:p>
        </w:tc>
      </w:tr>
      <w:tr w14:paraId="2556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3176" w:type="dxa"/>
            <w:vAlign w:val="center"/>
          </w:tcPr>
          <w:p w14:paraId="0C8FB04C">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6518" w:type="dxa"/>
            <w:vAlign w:val="center"/>
          </w:tcPr>
          <w:p w14:paraId="15934638">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出具四次能源改造效果评估报告</w:t>
            </w:r>
          </w:p>
        </w:tc>
      </w:tr>
    </w:tbl>
    <w:p w14:paraId="6FB958DE">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三、供应商及委派人员的要求</w:t>
      </w:r>
    </w:p>
    <w:p w14:paraId="359EFF28">
      <w:pPr>
        <w:keepNext w:val="0"/>
        <w:keepLines w:val="0"/>
        <w:pageBreakBefore w:val="0"/>
        <w:widowControl w:val="0"/>
        <w:kinsoku/>
        <w:wordWrap/>
        <w:overflowPunct/>
        <w:topLinePunct w:val="0"/>
        <w:autoSpaceDE/>
        <w:autoSpaceDN/>
        <w:bidi w:val="0"/>
        <w:adjustRightInd/>
        <w:snapToGrid/>
        <w:spacing w:before="63" w:beforeLines="20" w:line="420" w:lineRule="exact"/>
        <w:jc w:val="left"/>
        <w:textAlignment w:val="auto"/>
        <w:rPr>
          <w:rFonts w:hint="default"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eastAsia="zh-CN" w:bidi="ar"/>
        </w:rPr>
        <w:t>（</w:t>
      </w:r>
      <w:r>
        <w:rPr>
          <w:rFonts w:hint="eastAsia" w:ascii="宋体" w:hAnsi="宋体" w:eastAsia="宋体" w:cs="宋体"/>
          <w:b/>
          <w:bCs/>
          <w:sz w:val="24"/>
          <w:szCs w:val="24"/>
          <w:highlight w:val="none"/>
          <w:lang w:val="en-US" w:eastAsia="zh-CN" w:bidi="ar"/>
        </w:rPr>
        <w:t>一）供应商资格要求</w:t>
      </w:r>
    </w:p>
    <w:p w14:paraId="6E01218A">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1. 响应供应商须为在中华人民共和国境内依法注册，能够独立承担民事责任的企业法人、其他组织或自然人。若分支机构参与投标，须提供总公司的营业执照复印件及分公司营业执照复印件，并附具总公司出具给分支机构的有效授权书。</w:t>
      </w:r>
    </w:p>
    <w:p w14:paraId="5D49F7D1">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2. 响应供应商须持有合法有效的营业执照，且经营业务范围须包含能源审计、节能评估及能耗检测等方面。</w:t>
      </w:r>
    </w:p>
    <w:p w14:paraId="052EFB20">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3. 响应供应商须具备相应的项目承接能力、合同履约能力及售后服务能力，确保所提供产品品质可靠，符合国家相关标准与规定，并具备稳定的供货渠道和充足的库存，以保证及时供应。</w:t>
      </w:r>
    </w:p>
    <w:p w14:paraId="43F3746A">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4. 响应供应商须具备良好的商业信誉和健全的财务会计制度，并依法履行纳税及缴纳社会保障资金的义务。</w:t>
      </w:r>
    </w:p>
    <w:p w14:paraId="10C2E883">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5. 响应供应商在参与公开招标活动中不得存在违法违纪行为并受到处罚，亦不得存在围标、串标等违规行为。</w:t>
      </w:r>
    </w:p>
    <w:p w14:paraId="6A10BEE8">
      <w:pPr>
        <w:keepNext w:val="0"/>
        <w:keepLines w:val="0"/>
        <w:pageBreakBefore w:val="0"/>
        <w:widowControl w:val="0"/>
        <w:kinsoku/>
        <w:wordWrap/>
        <w:overflowPunct/>
        <w:topLinePunct w:val="0"/>
        <w:autoSpaceDE/>
        <w:autoSpaceDN/>
        <w:bidi w:val="0"/>
        <w:adjustRightInd/>
        <w:snapToGrid/>
        <w:spacing w:before="63" w:beforeLines="20" w:line="420" w:lineRule="exact"/>
        <w:jc w:val="left"/>
        <w:textAlignment w:val="auto"/>
        <w:rPr>
          <w:rFonts w:hint="default"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（二）委派人员要求</w:t>
      </w:r>
    </w:p>
    <w:p w14:paraId="37C9F6AF">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1</w:t>
      </w:r>
      <w:r>
        <w:rPr>
          <w:rFonts w:hint="eastAsia" w:ascii="宋体" w:hAnsi="宋体" w:eastAsia="宋体" w:cs="宋体"/>
          <w:sz w:val="24"/>
          <w:szCs w:val="24"/>
          <w:highlight w:val="none"/>
          <w:lang w:bidi="ar"/>
        </w:rPr>
        <w:t>.</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成交供应商须按其签订合同中承诺提供的项目组主要负责人员必须按要求投入到本项目中，在合同期内不得擅自更换。成交供应商如因工作安排或其他原因，需要更换项目组主要负责人员时，应事前向采购人书面提出申请</w:t>
      </w:r>
      <w:r>
        <w:rPr>
          <w:rFonts w:hint="eastAsia" w:ascii="宋体" w:hAnsi="宋体" w:eastAsia="宋体" w:cs="宋体"/>
          <w:sz w:val="24"/>
          <w:szCs w:val="24"/>
          <w:highlight w:val="none"/>
          <w:lang w:eastAsia="zh-CN" w:bidi="ar"/>
        </w:rPr>
        <w:t>；</w:t>
      </w:r>
      <w:r>
        <w:rPr>
          <w:rFonts w:hint="eastAsia" w:ascii="宋体" w:hAnsi="宋体" w:eastAsia="宋体" w:cs="宋体"/>
          <w:sz w:val="24"/>
          <w:szCs w:val="24"/>
          <w:highlight w:val="none"/>
          <w:lang w:bidi="ar"/>
        </w:rPr>
        <w:t>未经采购人同意，不得更换人员。</w:t>
      </w:r>
    </w:p>
    <w:p w14:paraId="25C018AE">
      <w:pPr>
        <w:keepNext w:val="0"/>
        <w:keepLines w:val="0"/>
        <w:pageBreakBefore w:val="0"/>
        <w:widowControl w:val="0"/>
        <w:kinsoku/>
        <w:wordWrap/>
        <w:overflowPunct/>
        <w:topLinePunct w:val="0"/>
        <w:autoSpaceDE/>
        <w:autoSpaceDN/>
        <w:bidi w:val="0"/>
        <w:adjustRightInd/>
        <w:snapToGrid/>
        <w:spacing w:line="420" w:lineRule="exact"/>
        <w:jc w:val="left"/>
        <w:textAlignment w:val="auto"/>
      </w:pPr>
      <w:r>
        <w:rPr>
          <w:rFonts w:hint="eastAsia" w:ascii="宋体" w:hAnsi="宋体" w:eastAsia="宋体" w:cs="宋体"/>
          <w:sz w:val="24"/>
          <w:szCs w:val="24"/>
          <w:highlight w:val="none"/>
          <w:lang w:val="en-US" w:eastAsia="zh-CN" w:bidi="ar"/>
        </w:rPr>
        <w:t>2</w:t>
      </w:r>
      <w:r>
        <w:rPr>
          <w:rFonts w:hint="eastAsia" w:ascii="宋体" w:hAnsi="宋体" w:eastAsia="宋体" w:cs="宋体"/>
          <w:sz w:val="24"/>
          <w:szCs w:val="24"/>
          <w:highlight w:val="none"/>
          <w:lang w:bidi="ar"/>
        </w:rPr>
        <w:t>.</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如成交供应商未经采购人书面同意擅自更换项目组主要负责人员，采购人有权终止合同，由此引致的经济损失，成交供应商须全额赔偿，采购人保留追究成交供应商相关责任的权利。</w:t>
      </w:r>
    </w:p>
    <w:p w14:paraId="29E856BF">
      <w:pPr>
        <w:keepNext w:val="0"/>
        <w:keepLines w:val="0"/>
        <w:pageBreakBefore w:val="0"/>
        <w:widowControl w:val="0"/>
        <w:kinsoku/>
        <w:wordWrap/>
        <w:overflowPunct/>
        <w:topLinePunct w:val="0"/>
        <w:autoSpaceDE/>
        <w:autoSpaceDN/>
        <w:bidi w:val="0"/>
        <w:adjustRightInd/>
        <w:snapToGrid/>
        <w:spacing w:line="420" w:lineRule="exact"/>
        <w:jc w:val="left"/>
        <w:textAlignment w:val="auto"/>
      </w:pPr>
      <w:r>
        <w:rPr>
          <w:rFonts w:hint="eastAsia" w:ascii="宋体" w:hAnsi="宋体" w:eastAsia="宋体" w:cs="宋体"/>
          <w:sz w:val="24"/>
          <w:szCs w:val="24"/>
          <w:highlight w:val="none"/>
          <w:lang w:val="en-US" w:eastAsia="zh-CN" w:bidi="ar"/>
        </w:rPr>
        <w:t>3</w:t>
      </w:r>
      <w:r>
        <w:rPr>
          <w:rFonts w:hint="eastAsia" w:ascii="宋体" w:hAnsi="宋体" w:eastAsia="宋体" w:cs="宋体"/>
          <w:sz w:val="24"/>
          <w:szCs w:val="24"/>
          <w:highlight w:val="none"/>
          <w:lang w:bidi="ar"/>
        </w:rPr>
        <w:t>.</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即使是采购人要求或同意更换的人员，其代替人员的资质仍应得到采购人的认可，且其资历和经验均不低于被更换人员</w:t>
      </w:r>
      <w:r>
        <w:rPr>
          <w:rFonts w:hint="eastAsia" w:ascii="宋体" w:hAnsi="宋体" w:eastAsia="宋体" w:cs="宋体"/>
          <w:sz w:val="24"/>
          <w:szCs w:val="24"/>
          <w:highlight w:val="none"/>
          <w:lang w:eastAsia="zh-CN" w:bidi="ar"/>
        </w:rPr>
        <w:t>，</w:t>
      </w:r>
      <w:r>
        <w:rPr>
          <w:rFonts w:hint="eastAsia" w:ascii="宋体" w:hAnsi="宋体" w:eastAsia="宋体" w:cs="宋体"/>
          <w:sz w:val="24"/>
          <w:szCs w:val="24"/>
          <w:highlight w:val="none"/>
          <w:lang w:bidi="ar"/>
        </w:rPr>
        <w:t>由此而产生的费用由成交供应商承担。</w:t>
      </w:r>
    </w:p>
    <w:p w14:paraId="1C1C4E1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
        </w:rPr>
        <w:t>4</w:t>
      </w:r>
      <w:r>
        <w:rPr>
          <w:rFonts w:hint="eastAsia" w:ascii="宋体" w:hAnsi="宋体" w:eastAsia="宋体" w:cs="宋体"/>
          <w:sz w:val="24"/>
          <w:szCs w:val="24"/>
          <w:highlight w:val="none"/>
          <w:lang w:bidi="ar"/>
        </w:rPr>
        <w:t>.</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成交</w:t>
      </w:r>
      <w:r>
        <w:rPr>
          <w:rFonts w:hint="eastAsia" w:ascii="宋体" w:hAnsi="宋体" w:eastAsia="宋体" w:cs="宋体"/>
          <w:sz w:val="24"/>
          <w:szCs w:val="24"/>
          <w:highlight w:val="none"/>
        </w:rPr>
        <w:t>供应商拟委派的人员必须按国家规定签订劳动合同，该员工的劳动报酬、社会保险、劳动保护、劳动条件和职业危害防护等方面均在劳动合同条款中按国家、省及市的有关规定得到保障</w:t>
      </w:r>
      <w:r>
        <w:rPr>
          <w:rFonts w:hint="eastAsia" w:ascii="宋体" w:hAnsi="宋体" w:eastAsia="宋体" w:cs="宋体"/>
          <w:sz w:val="24"/>
          <w:szCs w:val="24"/>
          <w:highlight w:val="none"/>
          <w:lang w:eastAsia="zh-CN"/>
        </w:rPr>
        <w:t>。</w:t>
      </w:r>
    </w:p>
    <w:p w14:paraId="61284D4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成交供应商及其委派人员对其为采购人提供服务期间所知晓或掌控的涉及采购人业务、项目、管理、人员、物资等各方非公开或公示信息负有保密义务。</w:t>
      </w:r>
    </w:p>
    <w:p w14:paraId="073576A3">
      <w:pPr>
        <w:keepNext w:val="0"/>
        <w:keepLines w:val="0"/>
        <w:pageBreakBefore w:val="0"/>
        <w:widowControl w:val="0"/>
        <w:kinsoku/>
        <w:wordWrap/>
        <w:overflowPunct/>
        <w:topLinePunct w:val="0"/>
        <w:autoSpaceDE/>
        <w:autoSpaceDN/>
        <w:bidi w:val="0"/>
        <w:adjustRightInd/>
        <w:snapToGrid/>
        <w:spacing w:before="157" w:beforeLines="50" w:line="4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四、</w:t>
      </w:r>
      <w:r>
        <w:rPr>
          <w:rFonts w:hint="eastAsia" w:ascii="宋体" w:hAnsi="宋体" w:eastAsia="宋体" w:cs="宋体"/>
          <w:b/>
          <w:color w:val="auto"/>
          <w:sz w:val="24"/>
          <w:szCs w:val="24"/>
          <w:highlight w:val="none"/>
        </w:rPr>
        <w:t>报价要求：</w:t>
      </w:r>
    </w:p>
    <w:p w14:paraId="29209136">
      <w:pPr>
        <w:keepNext w:val="0"/>
        <w:keepLines w:val="0"/>
        <w:pageBreakBefore w:val="0"/>
        <w:widowControl w:val="0"/>
        <w:kinsoku/>
        <w:wordWrap/>
        <w:overflowPunct/>
        <w:topLinePunct w:val="0"/>
        <w:bidi w:val="0"/>
        <w:adjustRightInd/>
        <w:snapToGrid/>
        <w:spacing w:line="420" w:lineRule="exact"/>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报价金额须为含税固定报价，不接受区间形式报价，且不得高于项目预算金额，否则将被判定为无效投标。</w:t>
      </w:r>
    </w:p>
    <w:p w14:paraId="0884866C">
      <w:pPr>
        <w:keepNext w:val="0"/>
        <w:keepLines w:val="0"/>
        <w:pageBreakBefore w:val="0"/>
        <w:widowControl w:val="0"/>
        <w:kinsoku/>
        <w:wordWrap/>
        <w:overflowPunct/>
        <w:topLinePunct w:val="0"/>
        <w:bidi w:val="0"/>
        <w:adjustRightInd/>
        <w:snapToGrid/>
        <w:spacing w:line="420" w:lineRule="exact"/>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供应商报价应为完成本项目全部内容：包括但不限于咨询费、劳务费、项目人力成本费、行政费、印刷费、设备费、各项税费</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zh-CN"/>
        </w:rPr>
        <w:t>提出应包含的费用、消耗用品费、中标服务费、不可预见费等完成本项目所需的一切费用。如出现任何遗漏内容需产生额外费用，均由供应商自行承担，采购人不再另支付任何费用。</w:t>
      </w:r>
    </w:p>
    <w:p w14:paraId="51D5D281">
      <w:pPr>
        <w:keepNext w:val="0"/>
        <w:keepLines w:val="0"/>
        <w:pageBreakBefore w:val="0"/>
        <w:widowControl w:val="0"/>
        <w:kinsoku/>
        <w:wordWrap/>
        <w:overflowPunct/>
        <w:topLinePunct w:val="0"/>
        <w:bidi w:val="0"/>
        <w:adjustRightInd/>
        <w:snapToGrid/>
        <w:spacing w:line="4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任何有选择性报价的投标，将被视为无效投标。</w:t>
      </w:r>
    </w:p>
    <w:p w14:paraId="60C4C1F9">
      <w:pPr>
        <w:keepNext w:val="0"/>
        <w:keepLines w:val="0"/>
        <w:pageBreakBefore w:val="0"/>
        <w:widowControl w:val="0"/>
        <w:kinsoku/>
        <w:wordWrap/>
        <w:overflowPunct/>
        <w:topLinePunct w:val="0"/>
        <w:bidi w:val="0"/>
        <w:adjustRightInd/>
        <w:snapToGrid/>
        <w:spacing w:line="420" w:lineRule="exact"/>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 报价次数：1次。</w:t>
      </w:r>
    </w:p>
    <w:p w14:paraId="1ADB737D">
      <w:pPr>
        <w:keepNext w:val="0"/>
        <w:keepLines w:val="0"/>
        <w:pageBreakBefore w:val="0"/>
        <w:widowControl w:val="0"/>
        <w:kinsoku/>
        <w:wordWrap/>
        <w:overflowPunct/>
        <w:topLinePunct w:val="0"/>
        <w:autoSpaceDE/>
        <w:autoSpaceDN/>
        <w:bidi w:val="0"/>
        <w:adjustRightInd/>
        <w:snapToGrid/>
        <w:spacing w:before="157" w:beforeLines="50" w:line="42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eastAsia="zh-CN"/>
        </w:rPr>
        <w:t>五、★</w:t>
      </w:r>
      <w:r>
        <w:rPr>
          <w:rFonts w:hint="eastAsia" w:ascii="宋体" w:hAnsi="宋体" w:eastAsia="宋体" w:cs="宋体"/>
          <w:b/>
          <w:bCs/>
          <w:color w:val="auto"/>
          <w:sz w:val="24"/>
          <w:szCs w:val="24"/>
          <w:highlight w:val="none"/>
        </w:rPr>
        <w:t>付款方式</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提供承诺函，格式自拟）</w:t>
      </w:r>
    </w:p>
    <w:p w14:paraId="7FEDD32F">
      <w:pPr>
        <w:keepNext w:val="0"/>
        <w:keepLines w:val="0"/>
        <w:pageBreakBefore w:val="0"/>
        <w:widowControl w:val="0"/>
        <w:kinsoku/>
        <w:wordWrap/>
        <w:overflowPunct/>
        <w:topLinePunct w:val="0"/>
        <w:bidi w:val="0"/>
        <w:adjustRightInd/>
        <w:snapToGrid/>
        <w:spacing w:line="4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付款方式：</w:t>
      </w:r>
    </w:p>
    <w:p w14:paraId="1E91F8F2">
      <w:pPr>
        <w:keepNext w:val="0"/>
        <w:keepLines w:val="0"/>
        <w:pageBreakBefore w:val="0"/>
        <w:widowControl w:val="0"/>
        <w:kinsoku/>
        <w:wordWrap/>
        <w:overflowPunct/>
        <w:topLinePunct w:val="0"/>
        <w:bidi w:val="0"/>
        <w:adjustRightInd/>
        <w:snapToGrid/>
        <w:spacing w:line="420" w:lineRule="exact"/>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期：签订合同之日起</w:t>
      </w:r>
      <w:r>
        <w:rPr>
          <w:rFonts w:hint="eastAsia" w:ascii="宋体" w:hAnsi="宋体" w:eastAsia="宋体" w:cs="宋体"/>
          <w:color w:val="auto"/>
          <w:sz w:val="24"/>
          <w:szCs w:val="24"/>
          <w:highlight w:val="none"/>
          <w:lang w:val="en-US" w:eastAsia="zh-CN"/>
        </w:rPr>
        <w:t>6个月</w:t>
      </w:r>
      <w:r>
        <w:rPr>
          <w:rFonts w:hint="eastAsia" w:ascii="宋体" w:hAnsi="宋体" w:eastAsia="宋体" w:cs="宋体"/>
          <w:color w:val="auto"/>
          <w:sz w:val="24"/>
          <w:szCs w:val="24"/>
          <w:highlight w:val="none"/>
        </w:rPr>
        <w:t>内，支付服务费用总额50%。</w:t>
      </w:r>
    </w:p>
    <w:p w14:paraId="32A85256">
      <w:pPr>
        <w:keepNext w:val="0"/>
        <w:keepLines w:val="0"/>
        <w:pageBreakBefore w:val="0"/>
        <w:widowControl w:val="0"/>
        <w:kinsoku/>
        <w:wordWrap/>
        <w:overflowPunct/>
        <w:topLinePunct w:val="0"/>
        <w:bidi w:val="0"/>
        <w:adjustRightInd/>
        <w:snapToGrid/>
        <w:spacing w:line="420" w:lineRule="exact"/>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期：项目通过验收后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1个月</w:t>
      </w:r>
      <w:r>
        <w:rPr>
          <w:rFonts w:hint="eastAsia" w:ascii="宋体" w:hAnsi="宋体" w:eastAsia="宋体" w:cs="宋体"/>
          <w:color w:val="auto"/>
          <w:sz w:val="24"/>
          <w:szCs w:val="24"/>
          <w:highlight w:val="none"/>
        </w:rPr>
        <w:t>内支付服务费用总额3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p>
    <w:p w14:paraId="46433263">
      <w:pPr>
        <w:keepNext w:val="0"/>
        <w:keepLines w:val="0"/>
        <w:pageBreakBefore w:val="0"/>
        <w:widowControl w:val="0"/>
        <w:kinsoku/>
        <w:wordWrap/>
        <w:overflowPunct/>
        <w:topLinePunct w:val="0"/>
        <w:bidi w:val="0"/>
        <w:adjustRightInd/>
        <w:snapToGrid/>
        <w:spacing w:line="420" w:lineRule="exact"/>
        <w:ind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期：在每</w:t>
      </w:r>
      <w:r>
        <w:rPr>
          <w:rFonts w:hint="eastAsia" w:ascii="宋体" w:hAnsi="宋体" w:eastAsia="宋体" w:cs="宋体"/>
          <w:color w:val="auto"/>
          <w:sz w:val="24"/>
          <w:szCs w:val="24"/>
          <w:highlight w:val="none"/>
          <w:lang w:val="en-US" w:eastAsia="zh-CN"/>
        </w:rPr>
        <w:t>次</w:t>
      </w:r>
      <w:r>
        <w:rPr>
          <w:rFonts w:hint="eastAsia" w:ascii="宋体" w:hAnsi="宋体" w:eastAsia="宋体" w:cs="宋体"/>
          <w:color w:val="auto"/>
          <w:sz w:val="24"/>
          <w:szCs w:val="24"/>
          <w:highlight w:val="none"/>
        </w:rPr>
        <w:t>出具</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评估报告后</w:t>
      </w:r>
      <w:r>
        <w:rPr>
          <w:rFonts w:hint="eastAsia" w:ascii="宋体" w:hAnsi="宋体" w:eastAsia="宋体" w:cs="宋体"/>
          <w:color w:val="auto"/>
          <w:sz w:val="24"/>
          <w:szCs w:val="24"/>
          <w:highlight w:val="none"/>
          <w:lang w:val="en-US" w:eastAsia="zh-CN"/>
        </w:rPr>
        <w:t>1个月内</w:t>
      </w:r>
      <w:r>
        <w:rPr>
          <w:rFonts w:hint="eastAsia" w:ascii="宋体" w:hAnsi="宋体" w:eastAsia="宋体" w:cs="宋体"/>
          <w:color w:val="auto"/>
          <w:sz w:val="24"/>
          <w:szCs w:val="24"/>
          <w:highlight w:val="none"/>
        </w:rPr>
        <w:t>支付服务费用总额</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6B0231F6">
      <w:pPr>
        <w:keepNext w:val="0"/>
        <w:keepLines w:val="0"/>
        <w:pageBreakBefore w:val="0"/>
        <w:widowControl w:val="0"/>
        <w:kinsoku/>
        <w:wordWrap/>
        <w:overflowPunct/>
        <w:topLinePunct w:val="0"/>
        <w:bidi w:val="0"/>
        <w:adjustRightInd/>
        <w:snapToGrid/>
        <w:spacing w:line="4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每次付款时，开具当期发票给采购人，收款方、出具发票方、合同乙方均必须与成交供应商名称一致。</w:t>
      </w:r>
    </w:p>
    <w:p w14:paraId="1DE0C963">
      <w:pPr>
        <w:keepNext w:val="0"/>
        <w:keepLines w:val="0"/>
        <w:pageBreakBefore w:val="0"/>
        <w:widowControl w:val="0"/>
        <w:kinsoku/>
        <w:wordWrap/>
        <w:overflowPunct/>
        <w:topLinePunct w:val="0"/>
        <w:bidi w:val="0"/>
        <w:adjustRightInd/>
        <w:snapToGrid/>
        <w:spacing w:line="4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成交供应商凭以下有效文件与采购人结算：</w:t>
      </w:r>
    </w:p>
    <w:p w14:paraId="75AF1111">
      <w:pPr>
        <w:keepNext w:val="0"/>
        <w:keepLines w:val="0"/>
        <w:pageBreakBefore w:val="0"/>
        <w:widowControl w:val="0"/>
        <w:kinsoku/>
        <w:wordWrap/>
        <w:overflowPunct/>
        <w:topLinePunct w:val="0"/>
        <w:bidi w:val="0"/>
        <w:adjustRightInd/>
        <w:snapToGrid/>
        <w:spacing w:line="420" w:lineRule="exact"/>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w:t>
      </w:r>
    </w:p>
    <w:p w14:paraId="586B5080">
      <w:pPr>
        <w:keepNext w:val="0"/>
        <w:keepLines w:val="0"/>
        <w:pageBreakBefore w:val="0"/>
        <w:widowControl w:val="0"/>
        <w:kinsoku/>
        <w:wordWrap/>
        <w:overflowPunct/>
        <w:topLinePunct w:val="0"/>
        <w:bidi w:val="0"/>
        <w:adjustRightInd/>
        <w:snapToGrid/>
        <w:spacing w:line="420" w:lineRule="exact"/>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成交供应商开具的正式发票；</w:t>
      </w:r>
    </w:p>
    <w:p w14:paraId="513FCE66">
      <w:pPr>
        <w:keepNext w:val="0"/>
        <w:keepLines w:val="0"/>
        <w:pageBreakBefore w:val="0"/>
        <w:widowControl w:val="0"/>
        <w:kinsoku/>
        <w:wordWrap/>
        <w:overflowPunct/>
        <w:topLinePunct w:val="0"/>
        <w:bidi w:val="0"/>
        <w:adjustRightInd/>
        <w:snapToGrid/>
        <w:spacing w:line="420" w:lineRule="exact"/>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验收报告（加盖采购人公章）（申请合同余款时）（如有）；</w:t>
      </w:r>
    </w:p>
    <w:p w14:paraId="2759B885">
      <w:pPr>
        <w:keepNext w:val="0"/>
        <w:keepLines w:val="0"/>
        <w:pageBreakBefore w:val="0"/>
        <w:widowControl w:val="0"/>
        <w:kinsoku/>
        <w:wordWrap/>
        <w:overflowPunct/>
        <w:topLinePunct w:val="0"/>
        <w:bidi w:val="0"/>
        <w:adjustRightInd/>
        <w:snapToGrid/>
        <w:spacing w:line="420" w:lineRule="exact"/>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成交通知书（首次提出付款申请）；</w:t>
      </w:r>
    </w:p>
    <w:p w14:paraId="22828BD0">
      <w:pPr>
        <w:keepNext w:val="0"/>
        <w:keepLines w:val="0"/>
        <w:pageBreakBefore w:val="0"/>
        <w:widowControl w:val="0"/>
        <w:kinsoku/>
        <w:wordWrap/>
        <w:overflowPunct/>
        <w:topLinePunct w:val="0"/>
        <w:bidi w:val="0"/>
        <w:adjustRightInd/>
        <w:snapToGrid/>
        <w:spacing w:line="42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结算方式：转账结算（银行转账）；</w:t>
      </w:r>
    </w:p>
    <w:p w14:paraId="1314AA06">
      <w:pPr>
        <w:keepNext w:val="0"/>
        <w:keepLines w:val="0"/>
        <w:pageBreakBefore w:val="0"/>
        <w:widowControl w:val="0"/>
        <w:kinsoku/>
        <w:wordWrap/>
        <w:overflowPunct/>
        <w:topLinePunct w:val="0"/>
        <w:bidi w:val="0"/>
        <w:adjustRightInd/>
        <w:snapToGrid/>
        <w:spacing w:line="4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付款期间如因特殊情况需调整，由双方协商处理。</w:t>
      </w:r>
    </w:p>
    <w:p w14:paraId="22FA0B8B">
      <w:pPr>
        <w:keepNext w:val="0"/>
        <w:keepLines w:val="0"/>
        <w:pageBreakBefore w:val="0"/>
        <w:widowControl w:val="0"/>
        <w:kinsoku/>
        <w:wordWrap/>
        <w:overflowPunct/>
        <w:topLinePunct w:val="0"/>
        <w:bidi w:val="0"/>
        <w:adjustRightInd/>
        <w:snapToGrid/>
        <w:spacing w:line="42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 特别说明：合同约定的付款期限，遵守《保障中小企业款项支付条例》的规定。如成交供应商为中小企业，付款期限最长不超过60日。</w:t>
      </w:r>
    </w:p>
    <w:p w14:paraId="70762BA6">
      <w:pPr>
        <w:keepNext w:val="0"/>
        <w:keepLines w:val="0"/>
        <w:pageBreakBefore w:val="0"/>
        <w:widowControl w:val="0"/>
        <w:kinsoku/>
        <w:wordWrap/>
        <w:overflowPunct/>
        <w:topLinePunct w:val="0"/>
        <w:autoSpaceDE/>
        <w:autoSpaceDN/>
        <w:bidi w:val="0"/>
        <w:adjustRightInd/>
        <w:snapToGrid/>
        <w:spacing w:before="157" w:beforeLines="50" w:line="420" w:lineRule="exact"/>
        <w:jc w:val="left"/>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zh-CN"/>
        </w:rPr>
        <w:t>验收要求：</w:t>
      </w:r>
    </w:p>
    <w:p w14:paraId="4B9C87C5">
      <w:pPr>
        <w:keepNext w:val="0"/>
        <w:keepLines w:val="0"/>
        <w:pageBreakBefore w:val="0"/>
        <w:widowControl w:val="0"/>
        <w:kinsoku/>
        <w:wordWrap/>
        <w:overflowPunct/>
        <w:topLinePunct w:val="0"/>
        <w:bidi w:val="0"/>
        <w:adjustRightInd/>
        <w:snapToGrid/>
        <w:spacing w:line="4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项目由采购人、成交供应商根据采购文件和行业相关规范要求进行验收。验收合格后根据双方签订的合同支付方式进行款项支付。</w:t>
      </w:r>
    </w:p>
    <w:p w14:paraId="656C9F3E">
      <w:pPr>
        <w:keepNext w:val="0"/>
        <w:keepLines w:val="0"/>
        <w:pageBreakBefore w:val="0"/>
        <w:widowControl w:val="0"/>
        <w:kinsoku/>
        <w:wordWrap/>
        <w:overflowPunct/>
        <w:topLinePunct w:val="0"/>
        <w:autoSpaceDE/>
        <w:autoSpaceDN/>
        <w:bidi w:val="0"/>
        <w:adjustRightInd/>
        <w:snapToGrid/>
        <w:spacing w:before="157" w:beforeLines="50" w:line="42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保密要求</w:t>
      </w:r>
    </w:p>
    <w:p w14:paraId="7C184A35">
      <w:pPr>
        <w:keepNext w:val="0"/>
        <w:keepLines w:val="0"/>
        <w:pageBreakBefore w:val="0"/>
        <w:widowControl w:val="0"/>
        <w:kinsoku/>
        <w:wordWrap/>
        <w:overflowPunct/>
        <w:topLinePunct w:val="0"/>
        <w:bidi w:val="0"/>
        <w:adjustRightInd/>
        <w:snapToGrid/>
        <w:spacing w:line="420" w:lineRule="exact"/>
        <w:ind w:firstLine="482" w:firstLineChars="201"/>
        <w:jc w:val="left"/>
        <w:textAlignment w:val="auto"/>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val="zh-CN" w:bidi="zh-CN"/>
        </w:rPr>
        <w:t>成交供应商在项目实施过程中，对采购人所提供的所有相关资料、数据，未经采购人书面同意不得向任何第三人泄露，且保密责任不因合同的终止或解除而失效。如采购人提出要求，成交供应商须无条件与采购人签</w:t>
      </w:r>
      <w:r>
        <w:rPr>
          <w:rFonts w:hint="eastAsia" w:ascii="宋体" w:hAnsi="宋体" w:eastAsia="宋体" w:cs="宋体"/>
          <w:color w:val="auto"/>
          <w:kern w:val="0"/>
          <w:sz w:val="24"/>
          <w:szCs w:val="24"/>
          <w:highlight w:val="none"/>
          <w:lang w:val="en-US" w:bidi="zh-CN"/>
        </w:rPr>
        <w:t>定</w:t>
      </w:r>
      <w:r>
        <w:rPr>
          <w:rFonts w:hint="eastAsia" w:ascii="宋体" w:hAnsi="宋体" w:eastAsia="宋体" w:cs="宋体"/>
          <w:color w:val="auto"/>
          <w:kern w:val="0"/>
          <w:sz w:val="24"/>
          <w:szCs w:val="24"/>
          <w:highlight w:val="none"/>
          <w:lang w:val="zh-CN" w:bidi="zh-CN"/>
        </w:rPr>
        <w:t>保密协议。</w:t>
      </w:r>
    </w:p>
    <w:p w14:paraId="0715972D">
      <w:pPr>
        <w:keepNext w:val="0"/>
        <w:keepLines w:val="0"/>
        <w:pageBreakBefore w:val="0"/>
        <w:widowControl w:val="0"/>
        <w:kinsoku/>
        <w:wordWrap/>
        <w:overflowPunct/>
        <w:topLinePunct w:val="0"/>
        <w:autoSpaceDE/>
        <w:autoSpaceDN/>
        <w:bidi w:val="0"/>
        <w:adjustRightInd/>
        <w:snapToGrid/>
        <w:spacing w:before="157" w:beforeLines="50" w:line="420" w:lineRule="exact"/>
        <w:jc w:val="left"/>
        <w:textAlignment w:val="auto"/>
        <w:rPr>
          <w:rFonts w:hint="eastAsia" w:ascii="宋体" w:hAnsi="宋体" w:eastAsia="宋体" w:cs="宋体"/>
          <w:b/>
          <w:color w:val="auto"/>
          <w:sz w:val="24"/>
          <w:szCs w:val="24"/>
          <w:highlight w:val="none"/>
        </w:rPr>
      </w:pPr>
      <w:bookmarkStart w:id="0" w:name="_Toc21373"/>
      <w:bookmarkStart w:id="1" w:name="_Toc10108"/>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知识产权</w:t>
      </w:r>
      <w:bookmarkEnd w:id="0"/>
      <w:bookmarkEnd w:id="1"/>
    </w:p>
    <w:p w14:paraId="31F6A42D">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firstLine="480" w:firstLineChars="200"/>
        <w:jc w:val="left"/>
        <w:textAlignment w:val="auto"/>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val="zh-CN" w:bidi="zh-CN"/>
        </w:rPr>
        <w:t>项目要求的所有成果（包括文本、相关说明以及相应的电子文件）知识产权归采购人所有。</w:t>
      </w:r>
    </w:p>
    <w:p w14:paraId="5A89BA47">
      <w:pPr>
        <w:keepNext w:val="0"/>
        <w:keepLines w:val="0"/>
        <w:pageBreakBefore w:val="0"/>
        <w:widowControl w:val="0"/>
        <w:kinsoku/>
        <w:wordWrap/>
        <w:overflowPunct/>
        <w:topLinePunct w:val="0"/>
        <w:autoSpaceDE/>
        <w:autoSpaceDN/>
        <w:bidi w:val="0"/>
        <w:adjustRightInd/>
        <w:snapToGrid/>
        <w:spacing w:before="157" w:beforeLines="50" w:line="420" w:lineRule="exact"/>
        <w:jc w:val="left"/>
        <w:textAlignment w:val="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九、合同终止条款</w:t>
      </w:r>
    </w:p>
    <w:p w14:paraId="27F3F39D">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lang w:val="zh-CN" w:bidi="zh-CN"/>
        </w:rPr>
        <w:t>成交供应商提交的成果有下列情形之一的，采购人有权终止合同：</w:t>
      </w:r>
    </w:p>
    <w:p w14:paraId="39B64748">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jc w:val="left"/>
        <w:textAlignment w:val="auto"/>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val="zh-CN" w:bidi="zh-CN"/>
        </w:rPr>
        <w:t>1.</w:t>
      </w:r>
      <w:r>
        <w:rPr>
          <w:rFonts w:hint="eastAsia" w:ascii="宋体" w:hAnsi="宋体" w:eastAsia="宋体" w:cs="宋体"/>
          <w:color w:val="auto"/>
          <w:kern w:val="0"/>
          <w:sz w:val="24"/>
          <w:szCs w:val="24"/>
          <w:highlight w:val="none"/>
          <w:lang w:val="en-US" w:bidi="zh-CN"/>
        </w:rPr>
        <w:t xml:space="preserve"> </w:t>
      </w:r>
      <w:r>
        <w:rPr>
          <w:rFonts w:hint="eastAsia" w:ascii="宋体" w:hAnsi="宋体" w:eastAsia="宋体" w:cs="宋体"/>
          <w:color w:val="auto"/>
          <w:kern w:val="0"/>
          <w:sz w:val="24"/>
          <w:szCs w:val="24"/>
          <w:highlight w:val="none"/>
          <w:lang w:val="zh-CN" w:bidi="zh-CN"/>
        </w:rPr>
        <w:t>服务工作不符合本项目规定，或服务质量严重偏离采购人下达的任务要求。</w:t>
      </w:r>
    </w:p>
    <w:p w14:paraId="4105BAAF">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jc w:val="left"/>
        <w:textAlignment w:val="auto"/>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val="zh-CN" w:bidi="zh-CN"/>
        </w:rPr>
        <w:t>2.</w:t>
      </w:r>
      <w:r>
        <w:rPr>
          <w:rFonts w:hint="eastAsia" w:ascii="宋体" w:hAnsi="宋体" w:eastAsia="宋体" w:cs="宋体"/>
          <w:color w:val="auto"/>
          <w:kern w:val="0"/>
          <w:sz w:val="24"/>
          <w:szCs w:val="24"/>
          <w:highlight w:val="none"/>
          <w:lang w:val="en-US" w:bidi="zh-CN"/>
        </w:rPr>
        <w:t xml:space="preserve"> </w:t>
      </w:r>
      <w:r>
        <w:rPr>
          <w:rFonts w:hint="eastAsia" w:ascii="宋体" w:hAnsi="宋体" w:eastAsia="宋体" w:cs="宋体"/>
          <w:color w:val="auto"/>
          <w:kern w:val="0"/>
          <w:sz w:val="24"/>
          <w:szCs w:val="24"/>
          <w:highlight w:val="none"/>
          <w:lang w:val="zh-CN" w:bidi="zh-CN"/>
        </w:rPr>
        <w:t>成交供应商未能履行合同义务，未能统筹协调整体服务工作。</w:t>
      </w:r>
    </w:p>
    <w:p w14:paraId="05BF148A">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jc w:val="left"/>
        <w:textAlignment w:val="auto"/>
        <w:rPr>
          <w:rFonts w:hint="eastAsia" w:eastAsiaTheme="minorEastAsia"/>
          <w:lang w:eastAsia="zh-CN"/>
        </w:rPr>
      </w:pPr>
      <w:r>
        <w:rPr>
          <w:rFonts w:hint="eastAsia" w:ascii="宋体" w:hAnsi="宋体" w:eastAsia="宋体" w:cs="宋体"/>
          <w:color w:val="auto"/>
          <w:kern w:val="0"/>
          <w:sz w:val="24"/>
          <w:szCs w:val="24"/>
          <w:highlight w:val="none"/>
          <w:lang w:eastAsia="zh-CN" w:bidi="zh-CN"/>
        </w:rPr>
        <w:t>3.</w:t>
      </w:r>
      <w:r>
        <w:rPr>
          <w:rFonts w:hint="eastAsia" w:ascii="宋体" w:hAnsi="宋体" w:eastAsia="宋体" w:cs="宋体"/>
          <w:color w:val="auto"/>
          <w:kern w:val="0"/>
          <w:sz w:val="24"/>
          <w:szCs w:val="24"/>
          <w:highlight w:val="none"/>
          <w:lang w:val="en-US" w:eastAsia="zh-CN" w:bidi="zh-CN"/>
        </w:rPr>
        <w:t xml:space="preserve"> 发现成交供应商存在恶意串通等不诚信行为。</w:t>
      </w:r>
    </w:p>
    <w:p w14:paraId="6E4BAC26">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jc w:val="left"/>
        <w:textAlignment w:val="auto"/>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bidi="zh-CN"/>
        </w:rPr>
        <w:t>4.</w:t>
      </w:r>
      <w:r>
        <w:rPr>
          <w:rFonts w:hint="eastAsia" w:ascii="宋体" w:hAnsi="宋体" w:eastAsia="宋体" w:cs="宋体"/>
          <w:color w:val="auto"/>
          <w:kern w:val="0"/>
          <w:sz w:val="24"/>
          <w:szCs w:val="24"/>
          <w:highlight w:val="none"/>
          <w:lang w:val="en-US" w:bidi="zh-CN"/>
        </w:rPr>
        <w:t xml:space="preserve"> </w:t>
      </w:r>
      <w:r>
        <w:rPr>
          <w:rFonts w:hint="eastAsia" w:ascii="宋体" w:hAnsi="宋体" w:eastAsia="宋体" w:cs="宋体"/>
          <w:color w:val="auto"/>
          <w:kern w:val="0"/>
          <w:sz w:val="24"/>
          <w:szCs w:val="24"/>
          <w:highlight w:val="none"/>
          <w:lang w:val="zh-CN" w:bidi="zh-CN"/>
        </w:rPr>
        <w:t>泄露国家或企业秘密。</w:t>
      </w:r>
    </w:p>
    <w:p w14:paraId="5474960F">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jc w:val="left"/>
        <w:textAlignment w:val="auto"/>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bidi="zh-CN"/>
        </w:rPr>
        <w:t>5.</w:t>
      </w:r>
      <w:r>
        <w:rPr>
          <w:rFonts w:hint="eastAsia" w:ascii="宋体" w:hAnsi="宋体" w:eastAsia="宋体" w:cs="宋体"/>
          <w:color w:val="auto"/>
          <w:kern w:val="0"/>
          <w:sz w:val="24"/>
          <w:szCs w:val="24"/>
          <w:highlight w:val="none"/>
          <w:lang w:val="en-US" w:bidi="zh-CN"/>
        </w:rPr>
        <w:t xml:space="preserve"> </w:t>
      </w:r>
      <w:r>
        <w:rPr>
          <w:rFonts w:hint="eastAsia" w:ascii="宋体" w:hAnsi="宋体" w:eastAsia="宋体" w:cs="宋体"/>
          <w:color w:val="auto"/>
          <w:kern w:val="0"/>
          <w:sz w:val="24"/>
          <w:szCs w:val="24"/>
          <w:highlight w:val="none"/>
          <w:lang w:val="zh-CN" w:bidi="zh-CN"/>
        </w:rPr>
        <w:t>出具虚假、不实报告。</w:t>
      </w:r>
    </w:p>
    <w:p w14:paraId="775794AE">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jc w:val="left"/>
        <w:textAlignment w:val="auto"/>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bidi="zh-CN"/>
        </w:rPr>
        <w:t>6</w:t>
      </w:r>
      <w:r>
        <w:rPr>
          <w:rFonts w:hint="eastAsia" w:ascii="宋体" w:hAnsi="宋体" w:eastAsia="宋体" w:cs="宋体"/>
          <w:color w:val="auto"/>
          <w:kern w:val="0"/>
          <w:sz w:val="24"/>
          <w:szCs w:val="24"/>
          <w:highlight w:val="none"/>
          <w:lang w:val="zh-CN" w:bidi="zh-CN"/>
        </w:rPr>
        <w:t>.</w:t>
      </w:r>
      <w:r>
        <w:rPr>
          <w:rFonts w:hint="eastAsia" w:ascii="宋体" w:hAnsi="宋体" w:eastAsia="宋体" w:cs="宋体"/>
          <w:color w:val="auto"/>
          <w:kern w:val="0"/>
          <w:sz w:val="24"/>
          <w:szCs w:val="24"/>
          <w:highlight w:val="none"/>
          <w:lang w:val="en-US" w:bidi="zh-CN"/>
        </w:rPr>
        <w:t xml:space="preserve"> </w:t>
      </w:r>
      <w:r>
        <w:rPr>
          <w:rFonts w:hint="eastAsia" w:ascii="宋体" w:hAnsi="宋体" w:eastAsia="宋体" w:cs="宋体"/>
          <w:color w:val="auto"/>
          <w:kern w:val="0"/>
          <w:sz w:val="24"/>
          <w:szCs w:val="24"/>
          <w:highlight w:val="none"/>
          <w:lang w:val="zh-CN" w:bidi="zh-CN"/>
        </w:rPr>
        <w:t>成交供应商未经采购人同意，随意调整本项目项目负责人或项目组主要成员。</w:t>
      </w:r>
    </w:p>
    <w:p w14:paraId="6ED1F3C1">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jc w:val="left"/>
        <w:textAlignment w:val="auto"/>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bidi="zh-CN"/>
        </w:rPr>
        <w:t>7</w:t>
      </w:r>
      <w:r>
        <w:rPr>
          <w:rFonts w:hint="eastAsia" w:ascii="宋体" w:hAnsi="宋体" w:eastAsia="宋体" w:cs="宋体"/>
          <w:color w:val="auto"/>
          <w:kern w:val="0"/>
          <w:sz w:val="24"/>
          <w:szCs w:val="24"/>
          <w:highlight w:val="none"/>
          <w:lang w:val="zh-CN" w:bidi="zh-CN"/>
        </w:rPr>
        <w:t>.</w:t>
      </w:r>
      <w:r>
        <w:rPr>
          <w:rFonts w:hint="eastAsia" w:ascii="宋体" w:hAnsi="宋体" w:eastAsia="宋体" w:cs="宋体"/>
          <w:color w:val="auto"/>
          <w:kern w:val="0"/>
          <w:sz w:val="24"/>
          <w:szCs w:val="24"/>
          <w:highlight w:val="none"/>
          <w:lang w:val="en-US" w:bidi="zh-CN"/>
        </w:rPr>
        <w:t xml:space="preserve"> </w:t>
      </w:r>
      <w:r>
        <w:rPr>
          <w:rFonts w:hint="eastAsia" w:ascii="宋体" w:hAnsi="宋体" w:eastAsia="宋体" w:cs="宋体"/>
          <w:color w:val="auto"/>
          <w:kern w:val="0"/>
          <w:sz w:val="24"/>
          <w:szCs w:val="24"/>
          <w:highlight w:val="none"/>
          <w:lang w:val="zh-CN" w:bidi="zh-CN"/>
        </w:rPr>
        <w:t>成交供应商未经采购人同意，擅自将项目分包或转包。</w:t>
      </w:r>
    </w:p>
    <w:p w14:paraId="7F691F92">
      <w:pPr>
        <w:keepNext w:val="0"/>
        <w:keepLines w:val="0"/>
        <w:pageBreakBefore w:val="0"/>
        <w:widowControl w:val="0"/>
        <w:kinsoku/>
        <w:wordWrap/>
        <w:overflowPunct/>
        <w:topLinePunct w:val="0"/>
        <w:autoSpaceDE/>
        <w:autoSpaceDN/>
        <w:bidi w:val="0"/>
        <w:adjustRightInd/>
        <w:snapToGrid/>
        <w:spacing w:before="157" w:beforeLines="50" w:line="42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十、</w:t>
      </w:r>
      <w:r>
        <w:rPr>
          <w:rFonts w:hint="eastAsia" w:ascii="宋体" w:hAnsi="宋体" w:eastAsia="宋体" w:cs="宋体"/>
          <w:b/>
          <w:color w:val="auto"/>
          <w:sz w:val="24"/>
          <w:szCs w:val="24"/>
          <w:highlight w:val="none"/>
        </w:rPr>
        <w:t>违约责任与赔偿损失</w:t>
      </w:r>
    </w:p>
    <w:p w14:paraId="22D7DECD">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jc w:val="left"/>
        <w:textAlignment w:val="auto"/>
        <w:rPr>
          <w:rFonts w:hint="eastAsia" w:ascii="宋体" w:hAnsi="宋体" w:eastAsia="宋体" w:cs="宋体"/>
          <w:color w:val="auto"/>
          <w:kern w:val="0"/>
          <w:sz w:val="24"/>
          <w:szCs w:val="24"/>
          <w:highlight w:val="none"/>
          <w:lang w:val="zh-CN" w:bidi="zh-CN"/>
        </w:rPr>
      </w:pPr>
      <w:r>
        <w:rPr>
          <w:rFonts w:hint="eastAsia" w:ascii="宋体" w:hAnsi="宋体" w:eastAsia="宋体" w:cs="宋体"/>
          <w:color w:val="auto"/>
          <w:kern w:val="0"/>
          <w:sz w:val="24"/>
          <w:szCs w:val="24"/>
          <w:highlight w:val="none"/>
          <w:lang w:val="en-US" w:bidi="zh-CN"/>
        </w:rPr>
        <w:t xml:space="preserve">1. </w:t>
      </w:r>
      <w:r>
        <w:rPr>
          <w:rFonts w:hint="eastAsia" w:ascii="宋体" w:hAnsi="宋体" w:eastAsia="宋体" w:cs="宋体"/>
          <w:color w:val="auto"/>
          <w:kern w:val="0"/>
          <w:sz w:val="24"/>
          <w:szCs w:val="24"/>
          <w:highlight w:val="none"/>
          <w:lang w:val="zh-CN" w:bidi="zh-CN"/>
        </w:rPr>
        <w:t>违约责任按《中华人民共和国合同法》处理。</w:t>
      </w:r>
    </w:p>
    <w:p w14:paraId="776EBA05">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jc w:val="left"/>
        <w:textAlignment w:val="auto"/>
        <w:rPr>
          <w:rFonts w:hint="default" w:ascii="宋体" w:hAnsi="宋体" w:eastAsia="宋体" w:cs="宋体"/>
          <w:color w:val="auto"/>
          <w:kern w:val="0"/>
          <w:sz w:val="24"/>
          <w:szCs w:val="24"/>
          <w:highlight w:val="none"/>
          <w:lang w:val="en-US" w:eastAsia="zh-CN" w:bidi="zh-CN"/>
        </w:rPr>
      </w:pPr>
      <w:r>
        <w:rPr>
          <w:rFonts w:hint="eastAsia" w:ascii="宋体" w:hAnsi="宋体" w:eastAsia="宋体" w:cs="宋体"/>
          <w:color w:val="auto"/>
          <w:kern w:val="0"/>
          <w:sz w:val="24"/>
          <w:szCs w:val="24"/>
          <w:highlight w:val="none"/>
          <w:lang w:val="en-US" w:bidi="zh-CN"/>
        </w:rPr>
        <w:t xml:space="preserve">2. </w:t>
      </w:r>
      <w:r>
        <w:rPr>
          <w:rFonts w:hint="eastAsia" w:ascii="宋体" w:hAnsi="宋体" w:eastAsia="宋体" w:cs="宋体"/>
          <w:color w:val="auto"/>
          <w:kern w:val="0"/>
          <w:sz w:val="24"/>
          <w:szCs w:val="24"/>
          <w:highlight w:val="none"/>
          <w:lang w:val="zh-CN" w:bidi="zh-CN"/>
        </w:rPr>
        <w:t>守约方为维护自身合法权益所产生的费用，包括但不限于仲裁或诉讼费、律师费、保全费、担保费、公证费、鉴定费等，由违约方承担。</w:t>
      </w:r>
    </w:p>
    <w:p w14:paraId="6563A4D7">
      <w:pPr>
        <w:keepNext w:val="0"/>
        <w:keepLines w:val="0"/>
        <w:pageBreakBefore w:val="0"/>
        <w:widowControl w:val="0"/>
        <w:tabs>
          <w:tab w:val="left" w:pos="243"/>
        </w:tabs>
        <w:kinsoku/>
        <w:wordWrap/>
        <w:overflowPunct/>
        <w:topLinePunct w:val="0"/>
        <w:autoSpaceDE w:val="0"/>
        <w:autoSpaceDN w:val="0"/>
        <w:bidi w:val="0"/>
        <w:adjustRightInd/>
        <w:snapToGrid/>
        <w:spacing w:before="157" w:beforeLines="50" w:line="420" w:lineRule="exact"/>
        <w:ind w:right="-17"/>
        <w:jc w:val="left"/>
        <w:textAlignment w:val="auto"/>
        <w:rPr>
          <w:rFonts w:hint="default" w:ascii="宋体" w:hAnsi="宋体" w:eastAsia="宋体" w:cs="宋体"/>
          <w:b/>
          <w:bCs/>
          <w:color w:val="auto"/>
          <w:kern w:val="0"/>
          <w:sz w:val="24"/>
          <w:szCs w:val="24"/>
          <w:highlight w:val="none"/>
          <w:lang w:val="en-US" w:eastAsia="zh-CN" w:bidi="zh-CN"/>
        </w:rPr>
      </w:pPr>
      <w:r>
        <w:rPr>
          <w:rFonts w:hint="default" w:ascii="宋体" w:hAnsi="宋体" w:eastAsia="宋体" w:cs="宋体"/>
          <w:b/>
          <w:bCs/>
          <w:color w:val="auto"/>
          <w:kern w:val="0"/>
          <w:sz w:val="24"/>
          <w:szCs w:val="24"/>
          <w:highlight w:val="none"/>
          <w:lang w:val="en-US" w:eastAsia="zh-CN" w:bidi="zh-CN"/>
        </w:rPr>
        <w:t>十</w:t>
      </w:r>
      <w:r>
        <w:rPr>
          <w:rFonts w:hint="eastAsia" w:ascii="宋体" w:hAnsi="宋体" w:eastAsia="宋体" w:cs="宋体"/>
          <w:b/>
          <w:bCs/>
          <w:color w:val="auto"/>
          <w:kern w:val="0"/>
          <w:sz w:val="24"/>
          <w:szCs w:val="24"/>
          <w:highlight w:val="none"/>
          <w:lang w:val="en-US" w:eastAsia="zh-CN" w:bidi="zh-CN"/>
        </w:rPr>
        <w:t>一</w:t>
      </w:r>
      <w:r>
        <w:rPr>
          <w:rFonts w:hint="default" w:ascii="宋体" w:hAnsi="宋体" w:eastAsia="宋体" w:cs="宋体"/>
          <w:b/>
          <w:bCs/>
          <w:color w:val="auto"/>
          <w:kern w:val="0"/>
          <w:sz w:val="24"/>
          <w:szCs w:val="24"/>
          <w:highlight w:val="none"/>
          <w:lang w:val="en-US" w:eastAsia="zh-CN" w:bidi="zh-CN"/>
        </w:rPr>
        <w:t>、评审方式</w:t>
      </w:r>
    </w:p>
    <w:p w14:paraId="7CD6EB5C">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firstLine="480" w:firstLineChars="200"/>
        <w:jc w:val="left"/>
        <w:textAlignment w:val="auto"/>
        <w:rPr>
          <w:rFonts w:hint="default" w:ascii="宋体" w:hAnsi="宋体" w:eastAsia="宋体" w:cs="宋体"/>
          <w:color w:val="auto"/>
          <w:kern w:val="0"/>
          <w:sz w:val="24"/>
          <w:szCs w:val="24"/>
          <w:highlight w:val="none"/>
          <w:lang w:val="en-US" w:eastAsia="zh-CN" w:bidi="zh-CN"/>
        </w:rPr>
      </w:pPr>
      <w:r>
        <w:rPr>
          <w:rFonts w:hint="default" w:ascii="宋体" w:hAnsi="宋体" w:eastAsia="宋体" w:cs="宋体"/>
          <w:color w:val="auto"/>
          <w:kern w:val="0"/>
          <w:sz w:val="24"/>
          <w:szCs w:val="24"/>
          <w:highlight w:val="none"/>
          <w:lang w:val="en-US" w:eastAsia="zh-CN" w:bidi="zh-CN"/>
        </w:rPr>
        <w:t>本项目的评审采用</w:t>
      </w:r>
      <w:r>
        <w:rPr>
          <w:rFonts w:hint="default" w:ascii="宋体" w:hAnsi="宋体" w:eastAsia="宋体" w:cs="宋体"/>
          <w:b/>
          <w:bCs/>
          <w:color w:val="auto"/>
          <w:kern w:val="0"/>
          <w:sz w:val="24"/>
          <w:szCs w:val="24"/>
          <w:highlight w:val="none"/>
          <w:u w:val="single"/>
          <w:lang w:val="en-US" w:eastAsia="zh-CN" w:bidi="zh-CN"/>
        </w:rPr>
        <w:t>综合评分法</w:t>
      </w:r>
      <w:r>
        <w:rPr>
          <w:rFonts w:hint="default" w:ascii="宋体" w:hAnsi="宋体" w:eastAsia="宋体" w:cs="宋体"/>
          <w:color w:val="auto"/>
          <w:kern w:val="0"/>
          <w:sz w:val="24"/>
          <w:szCs w:val="24"/>
          <w:highlight w:val="none"/>
          <w:lang w:val="en-US" w:eastAsia="zh-CN" w:bidi="zh-CN"/>
        </w:rPr>
        <w:t>，最低报价并非唯一评定标准（评分标准详见附件</w:t>
      </w:r>
      <w:r>
        <w:rPr>
          <w:rFonts w:hint="eastAsia" w:ascii="宋体" w:hAnsi="宋体" w:eastAsia="宋体" w:cs="宋体"/>
          <w:color w:val="auto"/>
          <w:kern w:val="0"/>
          <w:sz w:val="24"/>
          <w:szCs w:val="24"/>
          <w:highlight w:val="none"/>
          <w:lang w:val="en-US" w:eastAsia="zh-CN" w:bidi="zh-CN"/>
        </w:rPr>
        <w:t>一</w:t>
      </w:r>
      <w:r>
        <w:rPr>
          <w:rFonts w:hint="default" w:ascii="宋体" w:hAnsi="宋体" w:eastAsia="宋体" w:cs="宋体"/>
          <w:color w:val="auto"/>
          <w:kern w:val="0"/>
          <w:sz w:val="24"/>
          <w:szCs w:val="24"/>
          <w:highlight w:val="none"/>
          <w:lang w:val="en-US" w:eastAsia="zh-CN" w:bidi="zh-CN"/>
        </w:rPr>
        <w:t>《项目评分表》）。本项目评审流程为先开展资格性、符合性初审，评审合格方可进入商务、技术及价格综合详细评审；项目评审总分100分，其中商务</w:t>
      </w:r>
      <w:r>
        <w:rPr>
          <w:rFonts w:hint="eastAsia" w:ascii="宋体" w:hAnsi="宋体" w:eastAsia="宋体" w:cs="宋体"/>
          <w:color w:val="auto"/>
          <w:kern w:val="0"/>
          <w:sz w:val="24"/>
          <w:szCs w:val="24"/>
          <w:highlight w:val="none"/>
          <w:lang w:val="en-US" w:eastAsia="zh-CN" w:bidi="zh-CN"/>
        </w:rPr>
        <w:t>技术</w:t>
      </w:r>
      <w:r>
        <w:rPr>
          <w:rFonts w:hint="default" w:ascii="宋体" w:hAnsi="宋体" w:eastAsia="宋体" w:cs="宋体"/>
          <w:color w:val="auto"/>
          <w:kern w:val="0"/>
          <w:sz w:val="24"/>
          <w:szCs w:val="24"/>
          <w:highlight w:val="none"/>
          <w:lang w:val="en-US" w:eastAsia="zh-CN" w:bidi="zh-CN"/>
        </w:rPr>
        <w:t>部分分值</w:t>
      </w:r>
      <w:r>
        <w:rPr>
          <w:rFonts w:hint="eastAsia" w:ascii="宋体" w:hAnsi="宋体" w:eastAsia="宋体" w:cs="宋体"/>
          <w:color w:val="auto"/>
          <w:kern w:val="0"/>
          <w:sz w:val="24"/>
          <w:szCs w:val="24"/>
          <w:highlight w:val="none"/>
          <w:lang w:val="en-US" w:eastAsia="zh-CN" w:bidi="zh-CN"/>
        </w:rPr>
        <w:t>70</w:t>
      </w:r>
      <w:r>
        <w:rPr>
          <w:rFonts w:hint="default" w:ascii="宋体" w:hAnsi="宋体" w:eastAsia="宋体" w:cs="宋体"/>
          <w:color w:val="auto"/>
          <w:kern w:val="0"/>
          <w:sz w:val="24"/>
          <w:szCs w:val="24"/>
          <w:highlight w:val="none"/>
          <w:lang w:val="en-US" w:eastAsia="zh-CN" w:bidi="zh-CN"/>
        </w:rPr>
        <w:t>分，价格部分分值</w:t>
      </w:r>
      <w:r>
        <w:rPr>
          <w:rFonts w:hint="eastAsia" w:ascii="宋体" w:hAnsi="宋体" w:eastAsia="宋体" w:cs="宋体"/>
          <w:color w:val="auto"/>
          <w:kern w:val="0"/>
          <w:sz w:val="24"/>
          <w:szCs w:val="24"/>
          <w:highlight w:val="none"/>
          <w:lang w:val="en-US" w:eastAsia="zh-CN" w:bidi="zh-CN"/>
        </w:rPr>
        <w:t>3</w:t>
      </w:r>
      <w:r>
        <w:rPr>
          <w:rFonts w:hint="default" w:ascii="宋体" w:hAnsi="宋体" w:eastAsia="宋体" w:cs="宋体"/>
          <w:color w:val="auto"/>
          <w:kern w:val="0"/>
          <w:sz w:val="24"/>
          <w:szCs w:val="24"/>
          <w:highlight w:val="none"/>
          <w:lang w:val="en-US" w:eastAsia="zh-CN" w:bidi="zh-CN"/>
        </w:rPr>
        <w:t>0分，综合得分最高者确定为拟中选</w:t>
      </w:r>
      <w:r>
        <w:rPr>
          <w:rFonts w:hint="eastAsia" w:ascii="宋体" w:hAnsi="宋体" w:eastAsia="宋体" w:cs="宋体"/>
          <w:color w:val="auto"/>
          <w:kern w:val="0"/>
          <w:sz w:val="24"/>
          <w:szCs w:val="24"/>
          <w:highlight w:val="none"/>
          <w:lang w:val="en-US" w:eastAsia="zh-CN" w:bidi="zh-CN"/>
        </w:rPr>
        <w:t>供应</w:t>
      </w:r>
      <w:r>
        <w:rPr>
          <w:rFonts w:hint="default" w:ascii="宋体" w:hAnsi="宋体" w:eastAsia="宋体" w:cs="宋体"/>
          <w:color w:val="auto"/>
          <w:kern w:val="0"/>
          <w:sz w:val="24"/>
          <w:szCs w:val="24"/>
          <w:highlight w:val="none"/>
          <w:lang w:val="en-US" w:eastAsia="zh-CN" w:bidi="zh-CN"/>
        </w:rPr>
        <w:t>商。若出现两家及以上供应商综合得分相同，优先按照投标报价由低至高排序；报价仍一致的，以平台响应报名时间更早者优先。</w:t>
      </w:r>
    </w:p>
    <w:p w14:paraId="4A5683DB">
      <w:pPr>
        <w:keepNext w:val="0"/>
        <w:keepLines w:val="0"/>
        <w:pageBreakBefore w:val="0"/>
        <w:widowControl w:val="0"/>
        <w:tabs>
          <w:tab w:val="left" w:pos="243"/>
        </w:tabs>
        <w:kinsoku/>
        <w:wordWrap/>
        <w:overflowPunct/>
        <w:topLinePunct w:val="0"/>
        <w:autoSpaceDE w:val="0"/>
        <w:autoSpaceDN w:val="0"/>
        <w:bidi w:val="0"/>
        <w:adjustRightInd/>
        <w:snapToGrid/>
        <w:spacing w:before="157" w:beforeLines="50" w:line="420" w:lineRule="exact"/>
        <w:ind w:right="-17"/>
        <w:jc w:val="left"/>
        <w:textAlignment w:val="auto"/>
        <w:rPr>
          <w:rFonts w:hint="default" w:ascii="宋体" w:hAnsi="宋体" w:eastAsia="宋体" w:cs="宋体"/>
          <w:b/>
          <w:bCs/>
          <w:color w:val="auto"/>
          <w:kern w:val="0"/>
          <w:sz w:val="24"/>
          <w:szCs w:val="24"/>
          <w:highlight w:val="none"/>
          <w:lang w:val="en-US" w:eastAsia="zh-CN" w:bidi="zh-CN"/>
        </w:rPr>
      </w:pPr>
      <w:r>
        <w:rPr>
          <w:rFonts w:hint="default" w:ascii="宋体" w:hAnsi="宋体" w:eastAsia="宋体" w:cs="宋体"/>
          <w:b/>
          <w:bCs/>
          <w:color w:val="auto"/>
          <w:kern w:val="0"/>
          <w:sz w:val="24"/>
          <w:szCs w:val="24"/>
          <w:highlight w:val="none"/>
          <w:lang w:val="en-US" w:eastAsia="zh-CN" w:bidi="zh-CN"/>
        </w:rPr>
        <w:t>十</w:t>
      </w:r>
      <w:r>
        <w:rPr>
          <w:rFonts w:hint="eastAsia" w:ascii="宋体" w:hAnsi="宋体" w:eastAsia="宋体" w:cs="宋体"/>
          <w:b/>
          <w:bCs/>
          <w:color w:val="auto"/>
          <w:kern w:val="0"/>
          <w:sz w:val="24"/>
          <w:szCs w:val="24"/>
          <w:highlight w:val="none"/>
          <w:lang w:val="en-US" w:eastAsia="zh-CN" w:bidi="zh-CN"/>
        </w:rPr>
        <w:t>二</w:t>
      </w:r>
      <w:r>
        <w:rPr>
          <w:rFonts w:hint="default" w:ascii="宋体" w:hAnsi="宋体" w:eastAsia="宋体" w:cs="宋体"/>
          <w:b/>
          <w:bCs/>
          <w:color w:val="auto"/>
          <w:kern w:val="0"/>
          <w:sz w:val="24"/>
          <w:szCs w:val="24"/>
          <w:highlight w:val="none"/>
          <w:lang w:val="en-US" w:eastAsia="zh-CN" w:bidi="zh-CN"/>
        </w:rPr>
        <w:t>、提交方式</w:t>
      </w:r>
    </w:p>
    <w:p w14:paraId="66A7651D">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firstLine="480" w:firstLineChars="200"/>
        <w:jc w:val="left"/>
        <w:textAlignment w:val="auto"/>
        <w:rPr>
          <w:rFonts w:hint="default" w:ascii="宋体" w:hAnsi="宋体" w:eastAsia="宋体" w:cs="宋体"/>
          <w:color w:val="auto"/>
          <w:kern w:val="0"/>
          <w:sz w:val="24"/>
          <w:szCs w:val="24"/>
          <w:highlight w:val="none"/>
          <w:lang w:val="en-US" w:eastAsia="zh-CN" w:bidi="zh-CN"/>
        </w:rPr>
      </w:pPr>
      <w:r>
        <w:rPr>
          <w:rFonts w:hint="default" w:ascii="宋体" w:hAnsi="宋体" w:eastAsia="宋体" w:cs="宋体"/>
          <w:color w:val="auto"/>
          <w:kern w:val="0"/>
          <w:sz w:val="24"/>
          <w:szCs w:val="24"/>
          <w:highlight w:val="none"/>
          <w:lang w:val="en-US" w:eastAsia="zh-CN" w:bidi="zh-CN"/>
        </w:rPr>
        <w:t>请于2026年</w:t>
      </w:r>
      <w:r>
        <w:rPr>
          <w:rFonts w:hint="eastAsia" w:ascii="宋体" w:hAnsi="宋体" w:eastAsia="宋体" w:cs="宋体"/>
          <w:color w:val="auto"/>
          <w:kern w:val="0"/>
          <w:sz w:val="24"/>
          <w:szCs w:val="24"/>
          <w:highlight w:val="none"/>
          <w:lang w:val="en-US" w:eastAsia="zh-CN" w:bidi="zh-CN"/>
        </w:rPr>
        <w:t>9</w:t>
      </w:r>
      <w:r>
        <w:rPr>
          <w:rFonts w:hint="default" w:ascii="宋体" w:hAnsi="宋体" w:eastAsia="宋体" w:cs="宋体"/>
          <w:color w:val="auto"/>
          <w:kern w:val="0"/>
          <w:sz w:val="24"/>
          <w:szCs w:val="24"/>
          <w:highlight w:val="none"/>
          <w:lang w:val="en-US" w:eastAsia="zh-CN" w:bidi="zh-CN"/>
        </w:rPr>
        <w:t>月</w:t>
      </w:r>
      <w:r>
        <w:rPr>
          <w:rFonts w:hint="eastAsia" w:ascii="宋体" w:hAnsi="宋体" w:eastAsia="宋体" w:cs="宋体"/>
          <w:color w:val="auto"/>
          <w:kern w:val="0"/>
          <w:sz w:val="24"/>
          <w:szCs w:val="24"/>
          <w:highlight w:val="none"/>
          <w:lang w:val="en-US" w:eastAsia="zh-CN" w:bidi="zh-CN"/>
        </w:rPr>
        <w:t>23</w:t>
      </w:r>
      <w:r>
        <w:rPr>
          <w:rFonts w:hint="default" w:ascii="宋体" w:hAnsi="宋体" w:eastAsia="宋体" w:cs="宋体"/>
          <w:color w:val="auto"/>
          <w:kern w:val="0"/>
          <w:sz w:val="24"/>
          <w:szCs w:val="24"/>
          <w:highlight w:val="none"/>
          <w:lang w:val="en-US" w:eastAsia="zh-CN" w:bidi="zh-CN"/>
        </w:rPr>
        <w:t>日17:00前</w:t>
      </w:r>
      <w:r>
        <w:rPr>
          <w:rFonts w:hint="default" w:ascii="宋体" w:hAnsi="宋体" w:eastAsia="宋体" w:cs="宋体"/>
          <w:color w:val="auto"/>
          <w:kern w:val="0"/>
          <w:sz w:val="24"/>
          <w:szCs w:val="24"/>
          <w:highlight w:val="none"/>
          <w:lang w:val="en-US" w:eastAsia="zh-CN" w:bidi="zh-CN"/>
        </w:rPr>
        <w:t>，将上述资料（招标文件格式详见附件</w:t>
      </w:r>
      <w:r>
        <w:rPr>
          <w:rFonts w:hint="eastAsia" w:ascii="宋体" w:hAnsi="宋体" w:eastAsia="宋体" w:cs="宋体"/>
          <w:color w:val="auto"/>
          <w:kern w:val="0"/>
          <w:sz w:val="24"/>
          <w:szCs w:val="24"/>
          <w:highlight w:val="none"/>
          <w:lang w:val="en-US" w:eastAsia="zh-CN" w:bidi="zh-CN"/>
        </w:rPr>
        <w:t>二</w:t>
      </w:r>
      <w:r>
        <w:rPr>
          <w:rFonts w:hint="default" w:ascii="宋体" w:hAnsi="宋体" w:eastAsia="宋体" w:cs="宋体"/>
          <w:color w:val="auto"/>
          <w:kern w:val="0"/>
          <w:sz w:val="24"/>
          <w:szCs w:val="24"/>
          <w:highlight w:val="none"/>
          <w:lang w:val="en-US" w:eastAsia="zh-CN" w:bidi="zh-CN"/>
        </w:rPr>
        <w:t>《响应文件模板》）一式三份（正本一份、副本两份）密封并加盖公章</w:t>
      </w:r>
      <w:bookmarkStart w:id="2" w:name="_GoBack"/>
      <w:bookmarkEnd w:id="2"/>
      <w:r>
        <w:rPr>
          <w:rFonts w:hint="default" w:ascii="宋体" w:hAnsi="宋体" w:eastAsia="宋体" w:cs="宋体"/>
          <w:color w:val="auto"/>
          <w:kern w:val="0"/>
          <w:sz w:val="24"/>
          <w:szCs w:val="24"/>
          <w:highlight w:val="none"/>
          <w:lang w:val="en-US" w:eastAsia="zh-CN" w:bidi="zh-CN"/>
        </w:rPr>
        <w:t>，并在投递资料封面注明项目名称、供应商名称、联系人及联系电话。资料可通过现场提交或邮寄方式递交。所有递交的资料均不予退还。</w:t>
      </w:r>
    </w:p>
    <w:p w14:paraId="46D164AD">
      <w:pPr>
        <w:keepNext w:val="0"/>
        <w:keepLines w:val="0"/>
        <w:pageBreakBefore w:val="0"/>
        <w:widowControl w:val="0"/>
        <w:tabs>
          <w:tab w:val="left" w:pos="243"/>
        </w:tabs>
        <w:kinsoku/>
        <w:wordWrap/>
        <w:overflowPunct/>
        <w:topLinePunct w:val="0"/>
        <w:autoSpaceDE w:val="0"/>
        <w:autoSpaceDN w:val="0"/>
        <w:bidi w:val="0"/>
        <w:adjustRightInd/>
        <w:snapToGrid/>
        <w:spacing w:before="157" w:beforeLines="50" w:line="420" w:lineRule="exact"/>
        <w:ind w:right="-17" w:firstLine="482" w:firstLineChars="200"/>
        <w:jc w:val="left"/>
        <w:textAlignment w:val="auto"/>
        <w:rPr>
          <w:rFonts w:hint="default" w:ascii="宋体" w:hAnsi="宋体" w:eastAsia="宋体" w:cs="宋体"/>
          <w:b/>
          <w:bCs/>
          <w:color w:val="auto"/>
          <w:kern w:val="0"/>
          <w:sz w:val="24"/>
          <w:szCs w:val="24"/>
          <w:highlight w:val="none"/>
          <w:lang w:val="en-US" w:eastAsia="zh-CN" w:bidi="zh-CN"/>
        </w:rPr>
      </w:pPr>
      <w:r>
        <w:rPr>
          <w:rFonts w:hint="default" w:ascii="宋体" w:hAnsi="宋体" w:eastAsia="宋体" w:cs="宋体"/>
          <w:b/>
          <w:bCs/>
          <w:color w:val="auto"/>
          <w:kern w:val="0"/>
          <w:sz w:val="24"/>
          <w:szCs w:val="24"/>
          <w:highlight w:val="none"/>
          <w:lang w:val="en-US" w:eastAsia="zh-CN" w:bidi="zh-CN"/>
        </w:rPr>
        <w:t>递交地址：中山市小榄镇兆隆路一号东升医院行政楼七楼采购办。</w:t>
      </w:r>
    </w:p>
    <w:p w14:paraId="37D7F3CF">
      <w:pPr>
        <w:keepNext w:val="0"/>
        <w:keepLines w:val="0"/>
        <w:pageBreakBefore w:val="0"/>
        <w:widowControl w:val="0"/>
        <w:tabs>
          <w:tab w:val="left" w:pos="243"/>
        </w:tabs>
        <w:kinsoku/>
        <w:wordWrap/>
        <w:overflowPunct/>
        <w:topLinePunct w:val="0"/>
        <w:autoSpaceDE w:val="0"/>
        <w:autoSpaceDN w:val="0"/>
        <w:bidi w:val="0"/>
        <w:adjustRightInd/>
        <w:snapToGrid/>
        <w:spacing w:before="157" w:beforeLines="50" w:line="420" w:lineRule="exact"/>
        <w:ind w:right="-17" w:firstLine="482" w:firstLineChars="200"/>
        <w:jc w:val="left"/>
        <w:textAlignment w:val="auto"/>
        <w:rPr>
          <w:rFonts w:hint="default" w:ascii="宋体" w:hAnsi="宋体" w:eastAsia="宋体" w:cs="宋体"/>
          <w:b/>
          <w:bCs/>
          <w:color w:val="auto"/>
          <w:kern w:val="0"/>
          <w:sz w:val="24"/>
          <w:szCs w:val="24"/>
          <w:highlight w:val="none"/>
          <w:lang w:val="en-US" w:eastAsia="zh-CN" w:bidi="zh-CN"/>
        </w:rPr>
      </w:pPr>
      <w:r>
        <w:rPr>
          <w:rFonts w:hint="default" w:ascii="宋体" w:hAnsi="宋体" w:eastAsia="宋体" w:cs="宋体"/>
          <w:b/>
          <w:bCs/>
          <w:color w:val="auto"/>
          <w:kern w:val="0"/>
          <w:sz w:val="24"/>
          <w:szCs w:val="24"/>
          <w:highlight w:val="none"/>
          <w:lang w:val="en-US" w:eastAsia="zh-CN" w:bidi="zh-CN"/>
        </w:rPr>
        <w:t>超过项目截止时间为止，逾期送达或者未送达指定地点或未按要求密封和加写标记的投标文件，招标人均不予受理。</w:t>
      </w:r>
    </w:p>
    <w:p w14:paraId="2E347728">
      <w:pPr>
        <w:keepNext w:val="0"/>
        <w:keepLines w:val="0"/>
        <w:pageBreakBefore w:val="0"/>
        <w:widowControl w:val="0"/>
        <w:tabs>
          <w:tab w:val="left" w:pos="243"/>
        </w:tabs>
        <w:kinsoku/>
        <w:wordWrap/>
        <w:overflowPunct/>
        <w:topLinePunct w:val="0"/>
        <w:autoSpaceDE w:val="0"/>
        <w:autoSpaceDN w:val="0"/>
        <w:bidi w:val="0"/>
        <w:adjustRightInd/>
        <w:snapToGrid/>
        <w:spacing w:before="157" w:beforeLines="50" w:line="420" w:lineRule="exact"/>
        <w:ind w:right="-17" w:firstLine="482" w:firstLineChars="200"/>
        <w:jc w:val="left"/>
        <w:textAlignment w:val="auto"/>
        <w:rPr>
          <w:rFonts w:hint="default" w:ascii="宋体" w:hAnsi="宋体" w:eastAsia="宋体" w:cs="宋体"/>
          <w:b/>
          <w:bCs/>
          <w:color w:val="auto"/>
          <w:kern w:val="0"/>
          <w:sz w:val="24"/>
          <w:szCs w:val="24"/>
          <w:highlight w:val="none"/>
          <w:lang w:val="en-US" w:eastAsia="zh-CN" w:bidi="zh-CN"/>
        </w:rPr>
      </w:pPr>
      <w:r>
        <w:rPr>
          <w:rFonts w:hint="default" w:ascii="宋体" w:hAnsi="宋体" w:eastAsia="宋体" w:cs="宋体"/>
          <w:b/>
          <w:bCs/>
          <w:color w:val="auto"/>
          <w:kern w:val="0"/>
          <w:sz w:val="24"/>
          <w:szCs w:val="24"/>
          <w:highlight w:val="none"/>
          <w:lang w:val="en-US" w:eastAsia="zh-CN" w:bidi="zh-CN"/>
        </w:rPr>
        <w:t>供应商应在医院采购平台</w:t>
      </w:r>
      <w:r>
        <w:rPr>
          <w:rFonts w:hint="default" w:ascii="宋体" w:hAnsi="宋体" w:eastAsia="宋体" w:cs="宋体"/>
          <w:b/>
          <w:bCs/>
          <w:color w:val="auto"/>
          <w:kern w:val="0"/>
          <w:sz w:val="24"/>
          <w:szCs w:val="24"/>
          <w:highlight w:val="none"/>
          <w:lang w:val="en-US" w:eastAsia="zh-CN" w:bidi="zh-CN"/>
        </w:rPr>
        <w:fldChar w:fldCharType="begin"/>
      </w:r>
      <w:r>
        <w:rPr>
          <w:rFonts w:hint="default" w:ascii="宋体" w:hAnsi="宋体" w:eastAsia="宋体" w:cs="宋体"/>
          <w:b/>
          <w:bCs/>
          <w:color w:val="auto"/>
          <w:kern w:val="0"/>
          <w:sz w:val="24"/>
          <w:szCs w:val="24"/>
          <w:highlight w:val="none"/>
          <w:lang w:val="en-US" w:eastAsia="zh-CN" w:bidi="zh-CN"/>
        </w:rPr>
        <w:instrText xml:space="preserve"> HYPERLINK "https://www.cotenders.cn/" </w:instrText>
      </w:r>
      <w:r>
        <w:rPr>
          <w:rFonts w:hint="default" w:ascii="宋体" w:hAnsi="宋体" w:eastAsia="宋体" w:cs="宋体"/>
          <w:b/>
          <w:bCs/>
          <w:color w:val="auto"/>
          <w:kern w:val="0"/>
          <w:sz w:val="24"/>
          <w:szCs w:val="24"/>
          <w:highlight w:val="none"/>
          <w:lang w:val="en-US" w:eastAsia="zh-CN" w:bidi="zh-CN"/>
        </w:rPr>
        <w:fldChar w:fldCharType="separate"/>
      </w:r>
      <w:r>
        <w:rPr>
          <w:rFonts w:hint="default" w:ascii="宋体" w:hAnsi="宋体" w:eastAsia="宋体" w:cs="宋体"/>
          <w:b/>
          <w:bCs/>
          <w:color w:val="auto"/>
          <w:kern w:val="0"/>
          <w:sz w:val="24"/>
          <w:szCs w:val="24"/>
          <w:highlight w:val="none"/>
          <w:lang w:val="en-US" w:eastAsia="zh-CN" w:bidi="zh-CN"/>
        </w:rPr>
        <w:t>https://www.cotenders.cn/</w:t>
      </w:r>
      <w:r>
        <w:rPr>
          <w:rFonts w:hint="default" w:ascii="宋体" w:hAnsi="宋体" w:eastAsia="宋体" w:cs="宋体"/>
          <w:b/>
          <w:bCs/>
          <w:color w:val="auto"/>
          <w:kern w:val="0"/>
          <w:sz w:val="24"/>
          <w:szCs w:val="24"/>
          <w:highlight w:val="none"/>
          <w:lang w:val="en-US" w:eastAsia="zh-CN" w:bidi="zh-CN"/>
        </w:rPr>
        <w:fldChar w:fldCharType="end"/>
      </w:r>
      <w:r>
        <w:rPr>
          <w:rFonts w:hint="default" w:ascii="宋体" w:hAnsi="宋体" w:eastAsia="宋体" w:cs="宋体"/>
          <w:b/>
          <w:bCs/>
          <w:color w:val="auto"/>
          <w:kern w:val="0"/>
          <w:sz w:val="24"/>
          <w:szCs w:val="24"/>
          <w:highlight w:val="none"/>
          <w:lang w:val="en-US" w:eastAsia="zh-CN" w:bidi="zh-CN"/>
        </w:rPr>
        <w:t>完成项目响应登记并上传电子文件。</w:t>
      </w:r>
    </w:p>
    <w:p w14:paraId="4AA5ACFC">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firstLine="482" w:firstLineChars="200"/>
        <w:jc w:val="left"/>
        <w:textAlignment w:val="auto"/>
        <w:rPr>
          <w:rFonts w:hint="default" w:ascii="宋体" w:hAnsi="宋体" w:eastAsia="宋体" w:cs="宋体"/>
          <w:b/>
          <w:bCs/>
          <w:color w:val="auto"/>
          <w:kern w:val="0"/>
          <w:sz w:val="24"/>
          <w:szCs w:val="24"/>
          <w:highlight w:val="none"/>
          <w:lang w:val="en-US" w:eastAsia="zh-CN" w:bidi="zh-CN"/>
        </w:rPr>
      </w:pPr>
    </w:p>
    <w:p w14:paraId="1563E9B3">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firstLine="480" w:firstLineChars="200"/>
        <w:jc w:val="left"/>
        <w:textAlignment w:val="auto"/>
        <w:rPr>
          <w:rFonts w:hint="default" w:ascii="宋体" w:hAnsi="宋体" w:eastAsia="宋体" w:cs="宋体"/>
          <w:b w:val="0"/>
          <w:bCs w:val="0"/>
          <w:color w:val="auto"/>
          <w:kern w:val="0"/>
          <w:sz w:val="24"/>
          <w:szCs w:val="24"/>
          <w:highlight w:val="none"/>
          <w:lang w:val="en-US" w:eastAsia="zh-CN" w:bidi="zh-CN"/>
        </w:rPr>
      </w:pPr>
      <w:r>
        <w:rPr>
          <w:rFonts w:hint="default" w:ascii="宋体" w:hAnsi="宋体" w:eastAsia="宋体" w:cs="宋体"/>
          <w:b w:val="0"/>
          <w:bCs w:val="0"/>
          <w:color w:val="auto"/>
          <w:kern w:val="0"/>
          <w:sz w:val="24"/>
          <w:szCs w:val="24"/>
          <w:highlight w:val="none"/>
          <w:lang w:val="en-US" w:eastAsia="zh-CN" w:bidi="zh-CN"/>
        </w:rPr>
        <w:t>联系人：杨老师</w:t>
      </w:r>
    </w:p>
    <w:p w14:paraId="659D6904">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firstLine="480" w:firstLineChars="200"/>
        <w:jc w:val="left"/>
        <w:textAlignment w:val="auto"/>
        <w:rPr>
          <w:rFonts w:hint="default" w:ascii="宋体" w:hAnsi="宋体" w:eastAsia="宋体" w:cs="宋体"/>
          <w:b w:val="0"/>
          <w:bCs w:val="0"/>
          <w:color w:val="auto"/>
          <w:kern w:val="0"/>
          <w:sz w:val="24"/>
          <w:szCs w:val="24"/>
          <w:highlight w:val="none"/>
          <w:lang w:val="en-US" w:eastAsia="zh-CN" w:bidi="zh-CN"/>
        </w:rPr>
      </w:pPr>
      <w:r>
        <w:rPr>
          <w:rFonts w:hint="default" w:ascii="宋体" w:hAnsi="宋体" w:eastAsia="宋体" w:cs="宋体"/>
          <w:b w:val="0"/>
          <w:bCs w:val="0"/>
          <w:color w:val="auto"/>
          <w:kern w:val="0"/>
          <w:sz w:val="24"/>
          <w:szCs w:val="24"/>
          <w:highlight w:val="none"/>
          <w:lang w:val="en-US" w:eastAsia="zh-CN" w:bidi="zh-CN"/>
        </w:rPr>
        <w:t>联系电话：0760-22896930</w:t>
      </w:r>
    </w:p>
    <w:p w14:paraId="1461E17D">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firstLine="480" w:firstLineChars="200"/>
        <w:jc w:val="left"/>
        <w:textAlignment w:val="auto"/>
        <w:rPr>
          <w:rFonts w:hint="default" w:ascii="宋体" w:hAnsi="宋体" w:eastAsia="宋体" w:cs="宋体"/>
          <w:b w:val="0"/>
          <w:bCs w:val="0"/>
          <w:color w:val="auto"/>
          <w:kern w:val="0"/>
          <w:sz w:val="24"/>
          <w:szCs w:val="24"/>
          <w:highlight w:val="none"/>
          <w:lang w:val="en-US" w:eastAsia="zh-CN" w:bidi="zh-CN"/>
        </w:rPr>
      </w:pPr>
      <w:r>
        <w:rPr>
          <w:rFonts w:hint="default" w:ascii="宋体" w:hAnsi="宋体" w:eastAsia="宋体" w:cs="宋体"/>
          <w:b w:val="0"/>
          <w:bCs w:val="0"/>
          <w:color w:val="auto"/>
          <w:kern w:val="0"/>
          <w:sz w:val="24"/>
          <w:szCs w:val="24"/>
          <w:highlight w:val="none"/>
          <w:lang w:val="en-US" w:eastAsia="zh-CN" w:bidi="zh-CN"/>
        </w:rPr>
        <w:t>纪检联系人：吴老师</w:t>
      </w:r>
    </w:p>
    <w:p w14:paraId="5236571B">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firstLine="480" w:firstLineChars="200"/>
        <w:jc w:val="left"/>
        <w:textAlignment w:val="auto"/>
        <w:rPr>
          <w:rFonts w:hint="default" w:ascii="宋体" w:hAnsi="宋体" w:eastAsia="宋体" w:cs="宋体"/>
          <w:b w:val="0"/>
          <w:bCs w:val="0"/>
          <w:color w:val="auto"/>
          <w:kern w:val="0"/>
          <w:sz w:val="24"/>
          <w:szCs w:val="24"/>
          <w:highlight w:val="none"/>
          <w:lang w:val="en-US" w:eastAsia="zh-CN" w:bidi="zh-CN"/>
        </w:rPr>
      </w:pPr>
      <w:r>
        <w:rPr>
          <w:rFonts w:hint="default" w:ascii="宋体" w:hAnsi="宋体" w:eastAsia="宋体" w:cs="宋体"/>
          <w:b w:val="0"/>
          <w:bCs w:val="0"/>
          <w:color w:val="auto"/>
          <w:kern w:val="0"/>
          <w:sz w:val="24"/>
          <w:szCs w:val="24"/>
          <w:highlight w:val="none"/>
          <w:lang w:val="en-US" w:eastAsia="zh-CN" w:bidi="zh-CN"/>
        </w:rPr>
        <w:t>联系电话：0760-222825236</w:t>
      </w:r>
    </w:p>
    <w:p w14:paraId="0E607425">
      <w:pPr>
        <w:keepNext w:val="0"/>
        <w:keepLines w:val="0"/>
        <w:pageBreakBefore w:val="0"/>
        <w:widowControl w:val="0"/>
        <w:tabs>
          <w:tab w:val="left" w:pos="243"/>
        </w:tabs>
        <w:kinsoku/>
        <w:wordWrap/>
        <w:overflowPunct/>
        <w:topLinePunct w:val="0"/>
        <w:autoSpaceDE w:val="0"/>
        <w:autoSpaceDN w:val="0"/>
        <w:bidi w:val="0"/>
        <w:adjustRightInd/>
        <w:snapToGrid/>
        <w:spacing w:line="420" w:lineRule="exact"/>
        <w:ind w:right="-15"/>
        <w:jc w:val="left"/>
        <w:textAlignment w:val="auto"/>
        <w:rPr>
          <w:rFonts w:hint="default" w:ascii="宋体" w:hAnsi="宋体" w:eastAsia="宋体" w:cs="宋体"/>
          <w:color w:val="auto"/>
          <w:kern w:val="0"/>
          <w:sz w:val="24"/>
          <w:szCs w:val="24"/>
          <w:highlight w:val="none"/>
          <w:lang w:val="en-US" w:eastAsia="zh-CN" w:bidi="zh-CN"/>
        </w:rPr>
      </w:pPr>
    </w:p>
    <w:sectPr>
      <w:footerReference r:id="rId3" w:type="default"/>
      <w:pgSz w:w="11906" w:h="16838"/>
      <w:pgMar w:top="1100" w:right="1123" w:bottom="1100" w:left="1123" w:header="851" w:footer="765" w:gutter="0"/>
      <w:paperSrc/>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A45B1">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F8DE11B">
                          <w:pPr>
                            <w:pStyle w:val="3"/>
                            <w:rPr>
                              <w:sz w:val="21"/>
                              <w:szCs w:val="32"/>
                            </w:rPr>
                          </w:pPr>
                          <w:r>
                            <w:rPr>
                              <w:sz w:val="21"/>
                              <w:szCs w:val="32"/>
                            </w:rPr>
                            <w:fldChar w:fldCharType="begin"/>
                          </w:r>
                          <w:r>
                            <w:rPr>
                              <w:sz w:val="21"/>
                              <w:szCs w:val="32"/>
                            </w:rPr>
                            <w:instrText xml:space="preserve"> PAGE  \* MERGEFORMAT </w:instrText>
                          </w:r>
                          <w:r>
                            <w:rPr>
                              <w:sz w:val="21"/>
                              <w:szCs w:val="32"/>
                            </w:rPr>
                            <w:fldChar w:fldCharType="separate"/>
                          </w:r>
                          <w:r>
                            <w:rPr>
                              <w:sz w:val="21"/>
                              <w:szCs w:val="32"/>
                            </w:rPr>
                            <w:t>1</w:t>
                          </w:r>
                          <w:r>
                            <w:rPr>
                              <w:sz w:val="21"/>
                              <w:szCs w:val="32"/>
                            </w:rPr>
                            <w:fldChar w:fldCharType="end"/>
                          </w:r>
                          <w:r>
                            <w:rPr>
                              <w:sz w:val="21"/>
                              <w:szCs w:val="32"/>
                            </w:rPr>
                            <w:t xml:space="preserve"> / </w:t>
                          </w:r>
                          <w:r>
                            <w:rPr>
                              <w:sz w:val="21"/>
                              <w:szCs w:val="32"/>
                            </w:rPr>
                            <w:fldChar w:fldCharType="begin"/>
                          </w:r>
                          <w:r>
                            <w:rPr>
                              <w:sz w:val="21"/>
                              <w:szCs w:val="32"/>
                            </w:rPr>
                            <w:instrText xml:space="preserve"> NUMPAGES  \* MERGEFORMAT </w:instrText>
                          </w:r>
                          <w:r>
                            <w:rPr>
                              <w:sz w:val="21"/>
                              <w:szCs w:val="32"/>
                            </w:rPr>
                            <w:fldChar w:fldCharType="separate"/>
                          </w:r>
                          <w:r>
                            <w:rPr>
                              <w:sz w:val="21"/>
                              <w:szCs w:val="32"/>
                            </w:rPr>
                            <w:t>5</w:t>
                          </w:r>
                          <w:r>
                            <w:rPr>
                              <w:sz w:val="21"/>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5F8DE11B">
                    <w:pPr>
                      <w:pStyle w:val="3"/>
                      <w:rPr>
                        <w:sz w:val="21"/>
                        <w:szCs w:val="32"/>
                      </w:rPr>
                    </w:pPr>
                    <w:r>
                      <w:rPr>
                        <w:sz w:val="21"/>
                        <w:szCs w:val="32"/>
                      </w:rPr>
                      <w:fldChar w:fldCharType="begin"/>
                    </w:r>
                    <w:r>
                      <w:rPr>
                        <w:sz w:val="21"/>
                        <w:szCs w:val="32"/>
                      </w:rPr>
                      <w:instrText xml:space="preserve"> PAGE  \* MERGEFORMAT </w:instrText>
                    </w:r>
                    <w:r>
                      <w:rPr>
                        <w:sz w:val="21"/>
                        <w:szCs w:val="32"/>
                      </w:rPr>
                      <w:fldChar w:fldCharType="separate"/>
                    </w:r>
                    <w:r>
                      <w:rPr>
                        <w:sz w:val="21"/>
                        <w:szCs w:val="32"/>
                      </w:rPr>
                      <w:t>1</w:t>
                    </w:r>
                    <w:r>
                      <w:rPr>
                        <w:sz w:val="21"/>
                        <w:szCs w:val="32"/>
                      </w:rPr>
                      <w:fldChar w:fldCharType="end"/>
                    </w:r>
                    <w:r>
                      <w:rPr>
                        <w:sz w:val="21"/>
                        <w:szCs w:val="32"/>
                      </w:rPr>
                      <w:t xml:space="preserve"> / </w:t>
                    </w:r>
                    <w:r>
                      <w:rPr>
                        <w:sz w:val="21"/>
                        <w:szCs w:val="32"/>
                      </w:rPr>
                      <w:fldChar w:fldCharType="begin"/>
                    </w:r>
                    <w:r>
                      <w:rPr>
                        <w:sz w:val="21"/>
                        <w:szCs w:val="32"/>
                      </w:rPr>
                      <w:instrText xml:space="preserve"> NUMPAGES  \* MERGEFORMAT </w:instrText>
                    </w:r>
                    <w:r>
                      <w:rPr>
                        <w:sz w:val="21"/>
                        <w:szCs w:val="32"/>
                      </w:rPr>
                      <w:fldChar w:fldCharType="separate"/>
                    </w:r>
                    <w:r>
                      <w:rPr>
                        <w:sz w:val="21"/>
                        <w:szCs w:val="32"/>
                      </w:rPr>
                      <w:t>5</w:t>
                    </w:r>
                    <w:r>
                      <w:rPr>
                        <w:sz w:val="21"/>
                        <w:szCs w:val="32"/>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BE7935"/>
    <w:rsid w:val="137350BE"/>
    <w:rsid w:val="15380B35"/>
    <w:rsid w:val="1AEC1C75"/>
    <w:rsid w:val="1C2500DC"/>
    <w:rsid w:val="1E7A2FF0"/>
    <w:rsid w:val="24A2583C"/>
    <w:rsid w:val="25C31339"/>
    <w:rsid w:val="25D21E61"/>
    <w:rsid w:val="29762687"/>
    <w:rsid w:val="36D30A85"/>
    <w:rsid w:val="36ED08D2"/>
    <w:rsid w:val="39190A66"/>
    <w:rsid w:val="3D8D2082"/>
    <w:rsid w:val="48BE7935"/>
    <w:rsid w:val="49FA54F3"/>
    <w:rsid w:val="4A965D14"/>
    <w:rsid w:val="54B167A5"/>
    <w:rsid w:val="54EF45FD"/>
    <w:rsid w:val="5A226F67"/>
    <w:rsid w:val="5B494C8C"/>
    <w:rsid w:val="6021667B"/>
    <w:rsid w:val="6170330B"/>
    <w:rsid w:val="65835754"/>
    <w:rsid w:val="677274D5"/>
    <w:rsid w:val="6A5671F1"/>
    <w:rsid w:val="6AF74155"/>
    <w:rsid w:val="71B615C9"/>
    <w:rsid w:val="71DD2F5E"/>
    <w:rsid w:val="76842C31"/>
    <w:rsid w:val="780368D5"/>
    <w:rsid w:val="790F3FC0"/>
    <w:rsid w:val="797F3E53"/>
    <w:rsid w:val="7CF83011"/>
    <w:rsid w:val="7D5E4F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adjustRightInd w:val="0"/>
      <w:snapToGrid w:val="0"/>
      <w:spacing w:line="360" w:lineRule="auto"/>
      <w:ind w:firstLine="170"/>
      <w:jc w:val="center"/>
    </w:pPr>
    <w:rPr>
      <w:rFonts w:ascii="宋体" w:hAnsi="宋体"/>
      <w:b/>
      <w:color w:val="000000"/>
      <w:sz w:val="44"/>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6">
    <w:name w:val="Body Text First Indent 2"/>
    <w:basedOn w:val="2"/>
    <w:qFormat/>
    <w:uiPriority w:val="0"/>
    <w:pPr>
      <w:adjustRightInd/>
      <w:snapToGrid/>
      <w:spacing w:after="120" w:line="240" w:lineRule="auto"/>
      <w:ind w:left="420" w:leftChars="200" w:firstLine="420" w:firstLineChars="200"/>
      <w:jc w:val="both"/>
    </w:pPr>
    <w:rPr>
      <w:rFonts w:ascii="Times New Roman" w:hAnsi="Times New Roman"/>
      <w:b w:val="0"/>
      <w:color w:val="auto"/>
      <w:kern w:val="0"/>
      <w:sz w:val="21"/>
      <w:szCs w:val="20"/>
    </w:rPr>
  </w:style>
  <w:style w:type="character" w:styleId="9">
    <w:name w:val="Strong"/>
    <w:basedOn w:val="8"/>
    <w:qFormat/>
    <w:uiPriority w:val="0"/>
    <w:rPr>
      <w:b/>
    </w:rPr>
  </w:style>
  <w:style w:type="character" w:styleId="10">
    <w:name w:val="Hyperlink"/>
    <w:basedOn w:val="8"/>
    <w:uiPriority w:val="0"/>
    <w:rPr>
      <w:color w:val="0000FF"/>
      <w:u w:val="single"/>
    </w:rPr>
  </w:style>
  <w:style w:type="character" w:customStyle="1" w:styleId="11">
    <w:name w:val="font21"/>
    <w:basedOn w:val="8"/>
    <w:qFormat/>
    <w:uiPriority w:val="0"/>
    <w:rPr>
      <w:rFonts w:hint="default" w:ascii="Times New Roman" w:hAnsi="Times New Roman" w:cs="Times New Roman"/>
      <w:color w:val="000000"/>
      <w:sz w:val="21"/>
      <w:szCs w:val="21"/>
      <w:u w:val="none"/>
    </w:rPr>
  </w:style>
  <w:style w:type="character" w:customStyle="1" w:styleId="12">
    <w:name w:val="font11"/>
    <w:basedOn w:val="8"/>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3522</Words>
  <Characters>3662</Characters>
  <Lines>0</Lines>
  <Paragraphs>0</Paragraphs>
  <TotalTime>39</TotalTime>
  <ScaleCrop>false</ScaleCrop>
  <LinksUpToDate>false</LinksUpToDate>
  <CharactersWithSpaces>3713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2026-08-13T09:36:00Z</dcterms:created>
  <dc:creator>18924981193</dc:creator>
  <cp:lastModifiedBy>Lily</cp:lastModifiedBy>
  <cp:lastPrinted>2026-08-24T04:14:00Z</cp:lastPrinted>
  <dcterms:modified xsi:type="dcterms:W3CDTF">2026-09-17T08:13:19Z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ECD9783E55DD49D9808B8081E48D2377_13</vt:lpwstr>
  </property>
  <property fmtid="{D5CDD505-2E9C-101B-9397-08002B2CF9AE}" pid="4" name="KSOTemplateDocerSaveRecord">
    <vt:lpwstr>eyJoZGlkIjoiZjMxODI1ZDk1NTM3ZThjZDIyMDM0N2Q4Njc3ODMwMjMiLCJ1c2VySWQiOiIyNjI5MDY5MzEifQ==</vt:lpwstr>
  </property>
</Properties>
</file>