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8"/>
          <w:rFonts w:hint="eastAsia" w:ascii="宋体" w:hAnsi="宋体" w:eastAsia="宋体" w:cs="宋体"/>
          <w:b/>
          <w:bCs/>
          <w:sz w:val="32"/>
          <w:szCs w:val="28"/>
        </w:rPr>
      </w:pPr>
    </w:p>
    <w:p w14:paraId="0C8D5C73">
      <w:pPr>
        <w:spacing w:line="360" w:lineRule="auto"/>
        <w:jc w:val="center"/>
        <w:outlineLvl w:val="1"/>
        <w:rPr>
          <w:rStyle w:val="18"/>
          <w:rFonts w:hint="eastAsia" w:ascii="宋体" w:hAnsi="宋体" w:eastAsia="宋体" w:cs="宋体"/>
          <w:b/>
          <w:bCs/>
          <w:sz w:val="32"/>
          <w:szCs w:val="28"/>
          <w:lang w:val="en-US" w:eastAsia="zh-CN"/>
        </w:rPr>
      </w:pPr>
    </w:p>
    <w:p w14:paraId="268FE1B6">
      <w:pPr>
        <w:spacing w:line="360" w:lineRule="auto"/>
        <w:jc w:val="center"/>
        <w:outlineLvl w:val="1"/>
        <w:rPr>
          <w:rStyle w:val="18"/>
          <w:rFonts w:hint="eastAsia" w:ascii="宋体" w:hAnsi="宋体" w:eastAsia="宋体" w:cs="宋体"/>
          <w:b/>
          <w:bCs/>
          <w:sz w:val="32"/>
          <w:szCs w:val="28"/>
          <w:lang w:val="en-US" w:eastAsia="zh-CN"/>
        </w:rPr>
      </w:pPr>
    </w:p>
    <w:p w14:paraId="2F3D57A4">
      <w:pPr>
        <w:spacing w:line="360" w:lineRule="auto"/>
        <w:jc w:val="center"/>
        <w:outlineLvl w:val="1"/>
        <w:rPr>
          <w:rStyle w:val="18"/>
          <w:rFonts w:hint="eastAsia" w:ascii="宋体" w:hAnsi="宋体" w:eastAsia="宋体" w:cs="宋体"/>
          <w:b/>
          <w:bCs/>
          <w:sz w:val="32"/>
          <w:szCs w:val="28"/>
          <w:lang w:val="en-US" w:eastAsia="zh-CN"/>
        </w:rPr>
      </w:pPr>
    </w:p>
    <w:p w14:paraId="0D63EF51">
      <w:pPr>
        <w:pStyle w:val="4"/>
        <w:rPr>
          <w:rStyle w:val="18"/>
          <w:rFonts w:hint="eastAsia" w:ascii="宋体" w:hAnsi="宋体" w:eastAsia="宋体" w:cs="宋体"/>
          <w:b/>
          <w:bCs/>
          <w:sz w:val="32"/>
          <w:szCs w:val="28"/>
          <w:lang w:val="en-US" w:eastAsia="zh-CN"/>
        </w:rPr>
      </w:pPr>
    </w:p>
    <w:p w14:paraId="26170796">
      <w:pPr>
        <w:pStyle w:val="11"/>
        <w:rPr>
          <w:rStyle w:val="18"/>
          <w:rFonts w:hint="eastAsia" w:ascii="宋体" w:hAnsi="宋体" w:eastAsia="宋体" w:cs="宋体"/>
          <w:b/>
          <w:bCs/>
          <w:sz w:val="32"/>
          <w:szCs w:val="28"/>
          <w:lang w:val="en-US" w:eastAsia="zh-CN"/>
        </w:rPr>
      </w:pPr>
    </w:p>
    <w:p w14:paraId="5F9B338A">
      <w:pPr>
        <w:pStyle w:val="11"/>
        <w:rPr>
          <w:rStyle w:val="18"/>
          <w:rFonts w:hint="eastAsia" w:ascii="宋体" w:hAnsi="宋体" w:eastAsia="宋体" w:cs="宋体"/>
          <w:b/>
          <w:bCs/>
          <w:sz w:val="32"/>
          <w:szCs w:val="28"/>
          <w:lang w:val="en-US" w:eastAsia="zh-CN"/>
        </w:rPr>
      </w:pPr>
    </w:p>
    <w:p w14:paraId="0B850935">
      <w:pPr>
        <w:pStyle w:val="11"/>
        <w:rPr>
          <w:rStyle w:val="18"/>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8"/>
          <w:rFonts w:hint="eastAsia" w:ascii="宋体" w:hAnsi="宋体" w:eastAsia="宋体" w:cs="宋体"/>
          <w:b/>
          <w:bCs/>
          <w:sz w:val="48"/>
          <w:szCs w:val="48"/>
          <w:lang w:val="en-US" w:eastAsia="zh-CN"/>
        </w:rPr>
        <w:t>中山市东升医院2026年度纯水和净水设备维保服务项目调研响应文件</w:t>
      </w:r>
    </w:p>
    <w:p w14:paraId="3785F128">
      <w:pPr>
        <w:spacing w:line="360" w:lineRule="auto"/>
        <w:jc w:val="center"/>
        <w:outlineLvl w:val="1"/>
        <w:rPr>
          <w:rStyle w:val="18"/>
          <w:rFonts w:hint="eastAsia" w:ascii="宋体" w:hAnsi="宋体" w:eastAsia="宋体" w:cs="宋体"/>
          <w:b/>
          <w:bCs/>
          <w:sz w:val="32"/>
          <w:szCs w:val="28"/>
        </w:rPr>
      </w:pPr>
    </w:p>
    <w:p w14:paraId="66779CA0">
      <w:pPr>
        <w:spacing w:line="360" w:lineRule="auto"/>
        <w:jc w:val="center"/>
        <w:outlineLvl w:val="1"/>
        <w:rPr>
          <w:rStyle w:val="18"/>
          <w:rFonts w:hint="eastAsia" w:ascii="宋体" w:hAnsi="宋体" w:eastAsia="宋体" w:cs="宋体"/>
          <w:b/>
          <w:bCs/>
          <w:sz w:val="32"/>
          <w:szCs w:val="28"/>
        </w:rPr>
      </w:pPr>
    </w:p>
    <w:p w14:paraId="3ACB86FE">
      <w:pPr>
        <w:spacing w:line="360" w:lineRule="auto"/>
        <w:jc w:val="center"/>
        <w:outlineLvl w:val="1"/>
        <w:rPr>
          <w:rStyle w:val="18"/>
          <w:rFonts w:hint="eastAsia" w:ascii="宋体" w:hAnsi="宋体" w:eastAsia="宋体" w:cs="宋体"/>
          <w:b/>
          <w:bCs/>
          <w:sz w:val="32"/>
          <w:szCs w:val="28"/>
        </w:rPr>
      </w:pPr>
    </w:p>
    <w:p w14:paraId="07D4B0A5">
      <w:pPr>
        <w:spacing w:line="360" w:lineRule="auto"/>
        <w:jc w:val="center"/>
        <w:outlineLvl w:val="1"/>
        <w:rPr>
          <w:rStyle w:val="18"/>
          <w:rFonts w:hint="eastAsia" w:ascii="宋体" w:hAnsi="宋体" w:eastAsia="宋体" w:cs="宋体"/>
          <w:b/>
          <w:bCs/>
          <w:sz w:val="32"/>
          <w:szCs w:val="28"/>
        </w:rPr>
      </w:pPr>
    </w:p>
    <w:p w14:paraId="41060C6E">
      <w:pPr>
        <w:spacing w:line="360" w:lineRule="auto"/>
        <w:jc w:val="center"/>
        <w:outlineLvl w:val="1"/>
        <w:rPr>
          <w:rStyle w:val="18"/>
          <w:rFonts w:hint="eastAsia" w:ascii="宋体" w:hAnsi="宋体" w:eastAsia="宋体" w:cs="宋体"/>
          <w:b/>
          <w:bCs/>
          <w:sz w:val="32"/>
          <w:szCs w:val="28"/>
        </w:rPr>
      </w:pPr>
    </w:p>
    <w:p w14:paraId="43C5CE10">
      <w:pPr>
        <w:pStyle w:val="3"/>
        <w:rPr>
          <w:rStyle w:val="18"/>
          <w:rFonts w:hint="eastAsia" w:ascii="宋体" w:hAnsi="宋体" w:eastAsia="宋体" w:cs="宋体"/>
          <w:b/>
          <w:bCs/>
          <w:sz w:val="32"/>
          <w:szCs w:val="28"/>
        </w:rPr>
      </w:pPr>
    </w:p>
    <w:p w14:paraId="13F4767D">
      <w:pPr>
        <w:spacing w:line="360" w:lineRule="auto"/>
        <w:ind w:firstLine="1680" w:firstLineChars="700"/>
        <w:jc w:val="both"/>
        <w:outlineLvl w:val="1"/>
        <w:rPr>
          <w:rStyle w:val="18"/>
          <w:rFonts w:hint="default" w:ascii="宋体" w:hAnsi="宋体" w:eastAsia="宋体" w:cs="宋体"/>
          <w:b w:val="0"/>
          <w:bCs w:val="0"/>
          <w:sz w:val="24"/>
          <w:szCs w:val="24"/>
          <w:u w:val="single"/>
          <w:lang w:val="en-US" w:eastAsia="zh-CN"/>
        </w:rPr>
      </w:pPr>
      <w:r>
        <w:rPr>
          <w:rStyle w:val="18"/>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8"/>
          <w:rFonts w:hint="eastAsia"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8"/>
          <w:rFonts w:hint="eastAsia"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8"/>
          <w:rFonts w:hint="default"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邮箱：</w:t>
      </w:r>
    </w:p>
    <w:p w14:paraId="319592BB">
      <w:pPr>
        <w:pStyle w:val="3"/>
        <w:rPr>
          <w:rStyle w:val="18"/>
          <w:rFonts w:hint="eastAsia" w:ascii="宋体" w:hAnsi="宋体" w:eastAsia="宋体" w:cs="宋体"/>
          <w:b/>
          <w:bCs/>
          <w:sz w:val="32"/>
          <w:szCs w:val="28"/>
        </w:rPr>
      </w:pPr>
    </w:p>
    <w:p w14:paraId="18276DFC">
      <w:pPr>
        <w:spacing w:line="360" w:lineRule="auto"/>
        <w:jc w:val="left"/>
        <w:outlineLvl w:val="1"/>
        <w:rPr>
          <w:rStyle w:val="18"/>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0CA609BF">
      <w:pPr>
        <w:pStyle w:val="17"/>
        <w:numPr>
          <w:ilvl w:val="0"/>
          <w:numId w:val="0"/>
        </w:numPr>
        <w:spacing w:line="360" w:lineRule="auto"/>
        <w:ind w:leftChars="0"/>
        <w:jc w:val="center"/>
        <w:rPr>
          <w:rFonts w:hint="eastAsia" w:ascii="宋体" w:hAnsi="宋体" w:eastAsia="宋体" w:cs="宋体"/>
          <w:b/>
          <w:bCs/>
          <w:sz w:val="32"/>
          <w:szCs w:val="32"/>
          <w:lang w:val="zh-TW" w:eastAsia="zh-TW"/>
        </w:rPr>
      </w:pPr>
      <w:r>
        <w:rPr>
          <w:rFonts w:hint="eastAsia" w:ascii="宋体" w:hAnsi="宋体" w:eastAsia="宋体" w:cs="宋体"/>
          <w:b/>
          <w:bCs/>
          <w:sz w:val="32"/>
          <w:szCs w:val="32"/>
          <w:lang w:val="zh-TW" w:eastAsia="zh-CN"/>
        </w:rPr>
        <w:t>一、调研</w:t>
      </w:r>
      <w:r>
        <w:rPr>
          <w:rFonts w:hint="eastAsia" w:ascii="宋体" w:hAnsi="宋体" w:eastAsia="宋体" w:cs="宋体"/>
          <w:b/>
          <w:bCs/>
          <w:sz w:val="32"/>
          <w:szCs w:val="32"/>
          <w:lang w:val="zh-TW" w:eastAsia="zh-TW"/>
        </w:rPr>
        <w:t>报价单</w:t>
      </w:r>
    </w:p>
    <w:p w14:paraId="152EF204">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本调研公告将作为后续该项目参数设置及预算确定的重要依据，</w:t>
      </w:r>
      <w:r>
        <w:rPr>
          <w:rFonts w:hint="eastAsia" w:ascii="宋体" w:hAnsi="宋体" w:eastAsia="宋体" w:cs="宋体"/>
          <w:b w:val="0"/>
          <w:bCs w:val="0"/>
          <w:sz w:val="21"/>
          <w:szCs w:val="21"/>
          <w:lang w:val="zh-TW" w:eastAsia="zh-CN"/>
        </w:rPr>
        <w:t>请各意向供应商认真核实情况后提供调研报价</w:t>
      </w:r>
    </w:p>
    <w:p w14:paraId="4498CA15">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6"/>
        <w:gridCol w:w="2812"/>
        <w:gridCol w:w="846"/>
        <w:gridCol w:w="1409"/>
        <w:gridCol w:w="1196"/>
        <w:gridCol w:w="1410"/>
      </w:tblGrid>
      <w:tr w14:paraId="5BBAA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0C02A8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编号</w:t>
            </w:r>
          </w:p>
        </w:tc>
        <w:tc>
          <w:tcPr>
            <w:tcW w:w="123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9AB588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产品名称</w:t>
            </w:r>
          </w:p>
        </w:tc>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5C2E6DD">
            <w:pPr>
              <w:keepNext w:val="0"/>
              <w:keepLines w:val="0"/>
              <w:widowControl/>
              <w:suppressLineNumbers w:val="0"/>
              <w:jc w:val="center"/>
              <w:textAlignment w:val="top"/>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品牌</w:t>
            </w: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6D4EA3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规格型号</w:t>
            </w:r>
          </w:p>
        </w:tc>
        <w:tc>
          <w:tcPr>
            <w:tcW w:w="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281C54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EE99F4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调研报价</w:t>
            </w:r>
          </w:p>
        </w:tc>
      </w:tr>
      <w:tr w14:paraId="7809A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0DA6A1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5901A1F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保安室过滤器滤芯</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72161D72">
            <w:pPr>
              <w:keepNext w:val="0"/>
              <w:keepLines w:val="0"/>
              <w:widowControl/>
              <w:suppressLineNumbers w:val="0"/>
              <w:ind w:firstLineChars="10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726E08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r>
              <w:rPr>
                <w:rStyle w:val="22"/>
                <w:rFonts w:hint="eastAsia" w:ascii="宋体" w:hAnsi="宋体" w:eastAsia="宋体" w:cs="宋体"/>
                <w:sz w:val="21"/>
                <w:szCs w:val="21"/>
                <w:lang w:val="en-US" w:eastAsia="zh-CN" w:bidi="ar"/>
              </w:rPr>
              <w:t>寸</w:t>
            </w:r>
            <w:r>
              <w:rPr>
                <w:rStyle w:val="23"/>
                <w:rFonts w:hint="eastAsia" w:ascii="宋体" w:hAnsi="宋体" w:eastAsia="宋体" w:cs="宋体"/>
                <w:sz w:val="21"/>
                <w:szCs w:val="21"/>
                <w:lang w:val="en-US" w:eastAsia="zh-CN" w:bidi="ar"/>
              </w:rPr>
              <w:t>PPF</w:t>
            </w:r>
          </w:p>
        </w:tc>
        <w:tc>
          <w:tcPr>
            <w:tcW w:w="527" w:type="pct"/>
            <w:tcBorders>
              <w:top w:val="nil"/>
              <w:left w:val="single" w:color="000000" w:sz="8" w:space="0"/>
              <w:bottom w:val="single" w:color="000000" w:sz="8" w:space="0"/>
              <w:right w:val="single" w:color="000000" w:sz="8" w:space="0"/>
            </w:tcBorders>
            <w:shd w:val="clear" w:color="auto" w:fill="auto"/>
            <w:vAlign w:val="center"/>
          </w:tcPr>
          <w:p w14:paraId="758C6B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55EC78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F002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6190C9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5E8E01D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反渗透专用RO膜</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0CEC58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3E3A9B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4040</w:t>
            </w:r>
          </w:p>
        </w:tc>
        <w:tc>
          <w:tcPr>
            <w:tcW w:w="527" w:type="pct"/>
            <w:tcBorders>
              <w:top w:val="nil"/>
              <w:left w:val="single" w:color="000000" w:sz="8" w:space="0"/>
              <w:bottom w:val="single" w:color="000000" w:sz="8" w:space="0"/>
              <w:right w:val="single" w:color="000000" w:sz="8" w:space="0"/>
            </w:tcBorders>
            <w:shd w:val="clear" w:color="auto" w:fill="auto"/>
            <w:vAlign w:val="center"/>
          </w:tcPr>
          <w:p w14:paraId="21C873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19C97D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E9D8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1BA806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3E60CC5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软水树脂</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2C21DE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5FD5C7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7" w:type="pct"/>
            <w:tcBorders>
              <w:top w:val="nil"/>
              <w:left w:val="single" w:color="000000" w:sz="8" w:space="0"/>
              <w:bottom w:val="single" w:color="000000" w:sz="8" w:space="0"/>
              <w:right w:val="single" w:color="000000" w:sz="8" w:space="0"/>
            </w:tcBorders>
            <w:shd w:val="clear" w:color="auto" w:fill="auto"/>
            <w:vAlign w:val="center"/>
          </w:tcPr>
          <w:p w14:paraId="698D94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204C95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005A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E8785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4</w:t>
            </w:r>
          </w:p>
        </w:tc>
        <w:tc>
          <w:tcPr>
            <w:tcW w:w="123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982B31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石英砂滤材</w:t>
            </w:r>
          </w:p>
        </w:tc>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4786F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CF32A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2-4mm</w:t>
            </w:r>
          </w:p>
        </w:tc>
        <w:tc>
          <w:tcPr>
            <w:tcW w:w="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FC9BE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50公斤</w:t>
            </w: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CC157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2B64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2AD85A8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53E62A3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活性炭滤材</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7EA4FB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4C8B16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16目</w:t>
            </w:r>
          </w:p>
        </w:tc>
        <w:tc>
          <w:tcPr>
            <w:tcW w:w="527" w:type="pct"/>
            <w:tcBorders>
              <w:top w:val="nil"/>
              <w:left w:val="single" w:color="000000" w:sz="8" w:space="0"/>
              <w:bottom w:val="single" w:color="000000" w:sz="8" w:space="0"/>
              <w:right w:val="single" w:color="000000" w:sz="8" w:space="0"/>
            </w:tcBorders>
            <w:shd w:val="clear" w:color="auto" w:fill="auto"/>
            <w:vAlign w:val="center"/>
          </w:tcPr>
          <w:p w14:paraId="379110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30公斤</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0DFCFA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BEFA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2D88B9F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1F81AF5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阳树脂滤芯</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6FBAAB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327707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001X7</w:t>
            </w:r>
          </w:p>
        </w:tc>
        <w:tc>
          <w:tcPr>
            <w:tcW w:w="527" w:type="pct"/>
            <w:tcBorders>
              <w:top w:val="nil"/>
              <w:left w:val="single" w:color="000000" w:sz="8" w:space="0"/>
              <w:bottom w:val="single" w:color="000000" w:sz="8" w:space="0"/>
              <w:right w:val="single" w:color="000000" w:sz="8" w:space="0"/>
            </w:tcBorders>
            <w:shd w:val="clear" w:color="auto" w:fill="auto"/>
            <w:vAlign w:val="center"/>
          </w:tcPr>
          <w:p w14:paraId="3E04DA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50升</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22A2AA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EA09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4B8011C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3EEB33C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精滤芯</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6DD533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10EC6D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20寸</w:t>
            </w:r>
          </w:p>
        </w:tc>
        <w:tc>
          <w:tcPr>
            <w:tcW w:w="527" w:type="pct"/>
            <w:tcBorders>
              <w:top w:val="nil"/>
              <w:left w:val="single" w:color="000000" w:sz="8" w:space="0"/>
              <w:bottom w:val="single" w:color="000000" w:sz="8" w:space="0"/>
              <w:right w:val="single" w:color="000000" w:sz="8" w:space="0"/>
            </w:tcBorders>
            <w:shd w:val="clear" w:color="auto" w:fill="auto"/>
            <w:vAlign w:val="center"/>
          </w:tcPr>
          <w:p w14:paraId="46EC03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4266CE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DDC5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2AF7C4D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8</w:t>
            </w:r>
          </w:p>
        </w:tc>
        <w:tc>
          <w:tcPr>
            <w:tcW w:w="2421" w:type="dxa"/>
            <w:tcBorders>
              <w:top w:val="nil"/>
              <w:left w:val="single" w:color="000000" w:sz="8" w:space="0"/>
              <w:bottom w:val="single" w:color="000000" w:sz="8" w:space="0"/>
              <w:right w:val="single" w:color="000000" w:sz="8" w:space="0"/>
            </w:tcBorders>
            <w:shd w:val="clear" w:color="auto" w:fill="auto"/>
            <w:vAlign w:val="center"/>
          </w:tcPr>
          <w:p w14:paraId="44DAE065">
            <w:pPr>
              <w:jc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b/>
                <w:sz w:val="24"/>
              </w:rPr>
              <w:t>不锈钢饮水机滤芯</w:t>
            </w:r>
          </w:p>
        </w:tc>
        <w:tc>
          <w:tcPr>
            <w:tcW w:w="729" w:type="dxa"/>
            <w:tcBorders>
              <w:top w:val="nil"/>
              <w:left w:val="single" w:color="000000" w:sz="8" w:space="0"/>
              <w:bottom w:val="single" w:color="000000" w:sz="8" w:space="0"/>
              <w:right w:val="single" w:color="000000" w:sz="8" w:space="0"/>
            </w:tcBorders>
            <w:shd w:val="clear" w:color="auto" w:fill="auto"/>
            <w:vAlign w:val="center"/>
          </w:tcPr>
          <w:p w14:paraId="162DFED3">
            <w:pPr>
              <w:jc w:val="center"/>
              <w:rPr>
                <w:rFonts w:hint="eastAsia" w:ascii="宋体" w:hAnsi="宋体" w:eastAsia="宋体" w:cs="宋体"/>
                <w:i w:val="0"/>
                <w:iCs w:val="0"/>
                <w:color w:val="000000"/>
                <w:sz w:val="21"/>
                <w:szCs w:val="21"/>
                <w:u w:val="none"/>
              </w:rPr>
            </w:pPr>
          </w:p>
        </w:tc>
        <w:tc>
          <w:tcPr>
            <w:tcW w:w="1213" w:type="dxa"/>
            <w:tcBorders>
              <w:top w:val="nil"/>
              <w:left w:val="single" w:color="000000" w:sz="8" w:space="0"/>
              <w:bottom w:val="single" w:color="000000" w:sz="8" w:space="0"/>
              <w:right w:val="single" w:color="000000" w:sz="8" w:space="0"/>
            </w:tcBorders>
            <w:shd w:val="clear" w:color="auto" w:fill="auto"/>
            <w:vAlign w:val="center"/>
          </w:tcPr>
          <w:p w14:paraId="55D93778">
            <w:pPr>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sz w:val="24"/>
              </w:rPr>
              <w:t>9.5寸</w:t>
            </w:r>
          </w:p>
        </w:tc>
        <w:tc>
          <w:tcPr>
            <w:tcW w:w="1030" w:type="dxa"/>
            <w:tcBorders>
              <w:top w:val="nil"/>
              <w:left w:val="single" w:color="000000" w:sz="8" w:space="0"/>
              <w:bottom w:val="single" w:color="000000" w:sz="8" w:space="0"/>
              <w:right w:val="single" w:color="000000" w:sz="8" w:space="0"/>
            </w:tcBorders>
            <w:shd w:val="clear" w:color="auto" w:fill="auto"/>
            <w:vAlign w:val="center"/>
          </w:tcPr>
          <w:p w14:paraId="3120D4DA">
            <w:pPr>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sz w:val="24"/>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66AFC6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95CB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A37D30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w:t>
            </w:r>
          </w:p>
        </w:tc>
        <w:tc>
          <w:tcPr>
            <w:tcW w:w="123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322548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水处理反渗透</w:t>
            </w:r>
          </w:p>
        </w:tc>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BF01EFF">
            <w:pPr>
              <w:jc w:val="center"/>
              <w:rPr>
                <w:rFonts w:hint="eastAsia" w:ascii="宋体" w:hAnsi="宋体" w:eastAsia="宋体" w:cs="宋体"/>
                <w:i w:val="0"/>
                <w:iCs w:val="0"/>
                <w:color w:val="000000"/>
                <w:sz w:val="21"/>
                <w:szCs w:val="21"/>
                <w:u w:val="none"/>
              </w:rPr>
            </w:pP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BDC70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端盖组件</w:t>
            </w:r>
          </w:p>
        </w:tc>
        <w:tc>
          <w:tcPr>
            <w:tcW w:w="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24123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7E5E7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CF02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6F2188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10</w:t>
            </w:r>
          </w:p>
        </w:tc>
        <w:tc>
          <w:tcPr>
            <w:tcW w:w="123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A8B9D9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软水盐</w:t>
            </w:r>
          </w:p>
        </w:tc>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819C3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ABF20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DES-HO</w:t>
            </w:r>
          </w:p>
          <w:p w14:paraId="167FFF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(10KG)</w:t>
            </w:r>
          </w:p>
        </w:tc>
        <w:tc>
          <w:tcPr>
            <w:tcW w:w="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2BBA7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F733E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DCA1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2E14BD1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11</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2B8AFA4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控制球阀</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3534DD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0C84DB2A">
            <w:pPr>
              <w:jc w:val="center"/>
              <w:rPr>
                <w:rFonts w:hint="eastAsia" w:ascii="宋体" w:hAnsi="宋体" w:eastAsia="宋体" w:cs="宋体"/>
                <w:b/>
                <w:bCs/>
                <w:i w:val="0"/>
                <w:iCs w:val="0"/>
                <w:color w:val="000000"/>
                <w:sz w:val="21"/>
                <w:szCs w:val="21"/>
                <w:u w:val="none"/>
              </w:rPr>
            </w:pPr>
          </w:p>
        </w:tc>
        <w:tc>
          <w:tcPr>
            <w:tcW w:w="527" w:type="pct"/>
            <w:tcBorders>
              <w:top w:val="nil"/>
              <w:left w:val="single" w:color="000000" w:sz="8" w:space="0"/>
              <w:bottom w:val="single" w:color="000000" w:sz="8" w:space="0"/>
              <w:right w:val="single" w:color="000000" w:sz="8" w:space="0"/>
            </w:tcBorders>
            <w:shd w:val="clear" w:color="auto" w:fill="auto"/>
            <w:vAlign w:val="center"/>
          </w:tcPr>
          <w:p w14:paraId="2E3F43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021C48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42B9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0F25C66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12</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387484F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电磁阀自动控制器</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7E62A92D">
            <w:pPr>
              <w:jc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22D3258A">
            <w:pPr>
              <w:jc w:val="center"/>
              <w:rPr>
                <w:rFonts w:hint="eastAsia" w:ascii="宋体" w:hAnsi="宋体" w:eastAsia="宋体" w:cs="宋体"/>
                <w:i w:val="0"/>
                <w:iCs w:val="0"/>
                <w:color w:val="000000"/>
                <w:sz w:val="21"/>
                <w:szCs w:val="21"/>
                <w:u w:val="none"/>
              </w:rPr>
            </w:pPr>
          </w:p>
        </w:tc>
        <w:tc>
          <w:tcPr>
            <w:tcW w:w="527" w:type="pct"/>
            <w:tcBorders>
              <w:top w:val="nil"/>
              <w:left w:val="single" w:color="000000" w:sz="8" w:space="0"/>
              <w:bottom w:val="single" w:color="000000" w:sz="8" w:space="0"/>
              <w:right w:val="single" w:color="000000" w:sz="8" w:space="0"/>
            </w:tcBorders>
            <w:shd w:val="clear" w:color="auto" w:fill="auto"/>
            <w:vAlign w:val="center"/>
          </w:tcPr>
          <w:p w14:paraId="4010C5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79C487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CA9B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10DA982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13</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4A4A2A5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反渗透精密过滤器</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6E8B14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268BFF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20寸</w:t>
            </w:r>
          </w:p>
        </w:tc>
        <w:tc>
          <w:tcPr>
            <w:tcW w:w="527" w:type="pct"/>
            <w:tcBorders>
              <w:top w:val="nil"/>
              <w:left w:val="single" w:color="000000" w:sz="8" w:space="0"/>
              <w:bottom w:val="single" w:color="000000" w:sz="8" w:space="0"/>
              <w:right w:val="single" w:color="000000" w:sz="8" w:space="0"/>
            </w:tcBorders>
            <w:shd w:val="clear" w:color="auto" w:fill="auto"/>
            <w:vAlign w:val="center"/>
          </w:tcPr>
          <w:p w14:paraId="608756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30A0E2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BA82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0740526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14</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47F242E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电脑版控制器</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7968FB11">
            <w:pPr>
              <w:jc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2FE42465">
            <w:pPr>
              <w:jc w:val="center"/>
              <w:rPr>
                <w:rFonts w:hint="eastAsia" w:ascii="宋体" w:hAnsi="宋体" w:eastAsia="宋体" w:cs="宋体"/>
                <w:i w:val="0"/>
                <w:iCs w:val="0"/>
                <w:color w:val="000000"/>
                <w:sz w:val="21"/>
                <w:szCs w:val="21"/>
                <w:u w:val="none"/>
              </w:rPr>
            </w:pPr>
          </w:p>
        </w:tc>
        <w:tc>
          <w:tcPr>
            <w:tcW w:w="527" w:type="pct"/>
            <w:tcBorders>
              <w:top w:val="nil"/>
              <w:left w:val="single" w:color="000000" w:sz="8" w:space="0"/>
              <w:bottom w:val="single" w:color="000000" w:sz="8" w:space="0"/>
              <w:right w:val="single" w:color="000000" w:sz="8" w:space="0"/>
            </w:tcBorders>
            <w:shd w:val="clear" w:color="auto" w:fill="auto"/>
            <w:vAlign w:val="center"/>
          </w:tcPr>
          <w:p w14:paraId="64B9BE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684994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1671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7462B7B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5</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4FA91E0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水箱自动控制器</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62CA21EB">
            <w:pPr>
              <w:jc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1BFB351B">
            <w:pPr>
              <w:jc w:val="center"/>
              <w:rPr>
                <w:rFonts w:hint="eastAsia" w:ascii="宋体" w:hAnsi="宋体" w:eastAsia="宋体" w:cs="宋体"/>
                <w:i w:val="0"/>
                <w:iCs w:val="0"/>
                <w:color w:val="000000"/>
                <w:sz w:val="21"/>
                <w:szCs w:val="21"/>
                <w:u w:val="none"/>
              </w:rPr>
            </w:pPr>
          </w:p>
        </w:tc>
        <w:tc>
          <w:tcPr>
            <w:tcW w:w="527" w:type="pct"/>
            <w:tcBorders>
              <w:top w:val="nil"/>
              <w:left w:val="single" w:color="000000" w:sz="8" w:space="0"/>
              <w:bottom w:val="single" w:color="000000" w:sz="8" w:space="0"/>
              <w:right w:val="single" w:color="000000" w:sz="8" w:space="0"/>
            </w:tcBorders>
            <w:shd w:val="clear" w:color="auto" w:fill="auto"/>
            <w:vAlign w:val="center"/>
          </w:tcPr>
          <w:p w14:paraId="413C48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0BC80A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3170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3540988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6</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3FA47DC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马达泵</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3C9BA157">
            <w:pPr>
              <w:jc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744BFCEC">
            <w:pPr>
              <w:jc w:val="center"/>
              <w:rPr>
                <w:rFonts w:hint="eastAsia" w:ascii="宋体" w:hAnsi="宋体" w:eastAsia="宋体" w:cs="宋体"/>
                <w:i w:val="0"/>
                <w:iCs w:val="0"/>
                <w:color w:val="000000"/>
                <w:sz w:val="21"/>
                <w:szCs w:val="21"/>
                <w:u w:val="none"/>
              </w:rPr>
            </w:pPr>
          </w:p>
        </w:tc>
        <w:tc>
          <w:tcPr>
            <w:tcW w:w="527" w:type="pct"/>
            <w:tcBorders>
              <w:top w:val="nil"/>
              <w:left w:val="single" w:color="000000" w:sz="8" w:space="0"/>
              <w:bottom w:val="single" w:color="000000" w:sz="8" w:space="0"/>
              <w:right w:val="single" w:color="000000" w:sz="8" w:space="0"/>
            </w:tcBorders>
            <w:shd w:val="clear" w:color="auto" w:fill="auto"/>
            <w:vAlign w:val="center"/>
          </w:tcPr>
          <w:p w14:paraId="42D3E6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2E48B4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91F3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3910F6F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7</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2137170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净水设备自动流量器</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47CFB767">
            <w:pPr>
              <w:jc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31B70D7A">
            <w:pPr>
              <w:jc w:val="center"/>
              <w:rPr>
                <w:rFonts w:hint="eastAsia" w:ascii="宋体" w:hAnsi="宋体" w:eastAsia="宋体" w:cs="宋体"/>
                <w:i w:val="0"/>
                <w:iCs w:val="0"/>
                <w:color w:val="000000"/>
                <w:sz w:val="21"/>
                <w:szCs w:val="21"/>
                <w:u w:val="none"/>
              </w:rPr>
            </w:pPr>
          </w:p>
        </w:tc>
        <w:tc>
          <w:tcPr>
            <w:tcW w:w="527" w:type="pct"/>
            <w:tcBorders>
              <w:top w:val="nil"/>
              <w:left w:val="single" w:color="000000" w:sz="8" w:space="0"/>
              <w:bottom w:val="single" w:color="000000" w:sz="8" w:space="0"/>
              <w:right w:val="single" w:color="000000" w:sz="8" w:space="0"/>
            </w:tcBorders>
            <w:shd w:val="clear" w:color="auto" w:fill="auto"/>
            <w:vAlign w:val="center"/>
          </w:tcPr>
          <w:p w14:paraId="3C3A3A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652CF0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bl>
    <w:p w14:paraId="3E3C01B2">
      <w:pPr>
        <w:widowControl/>
        <w:spacing w:line="360" w:lineRule="auto"/>
        <w:jc w:val="left"/>
        <w:rPr>
          <w:rFonts w:hint="eastAsia" w:ascii="宋体" w:hAnsi="宋体" w:eastAsia="宋体" w:cs="宋体"/>
          <w:sz w:val="24"/>
          <w:szCs w:val="24"/>
          <w:lang w:val="zh-TW" w:eastAsia="zh-TW"/>
        </w:rPr>
      </w:pPr>
    </w:p>
    <w:p w14:paraId="5A2D6A19">
      <w:pPr>
        <w:widowControl/>
        <w:spacing w:line="360" w:lineRule="auto"/>
        <w:jc w:val="left"/>
        <w:rPr>
          <w:rFonts w:hint="eastAsia" w:ascii="宋体" w:hAnsi="宋体" w:eastAsia="宋体" w:cs="宋体"/>
          <w:sz w:val="24"/>
          <w:szCs w:val="24"/>
          <w:lang w:val="zh-TW" w:eastAsia="zh-TW"/>
        </w:rPr>
      </w:pPr>
    </w:p>
    <w:p w14:paraId="3F058B46">
      <w:pPr>
        <w:widowControl/>
        <w:spacing w:line="360" w:lineRule="auto"/>
        <w:jc w:val="left"/>
        <w:rPr>
          <w:rFonts w:hint="eastAsia" w:ascii="宋体" w:hAnsi="宋体" w:eastAsia="宋体" w:cs="宋体"/>
          <w:sz w:val="24"/>
          <w:szCs w:val="24"/>
          <w:lang w:val="zh-TW" w:eastAsia="zh-TW"/>
        </w:rPr>
      </w:pPr>
    </w:p>
    <w:p w14:paraId="67C27B39">
      <w:pPr>
        <w:widowControl/>
        <w:spacing w:line="360" w:lineRule="auto"/>
        <w:jc w:val="left"/>
        <w:rPr>
          <w:rFonts w:hint="eastAsia" w:ascii="宋体" w:hAnsi="宋体" w:eastAsia="宋体" w:cs="宋体"/>
          <w:sz w:val="24"/>
          <w:szCs w:val="24"/>
          <w:lang w:val="zh-TW" w:eastAsia="zh-TW"/>
        </w:rPr>
      </w:pPr>
    </w:p>
    <w:p w14:paraId="42E9A151">
      <w:pPr>
        <w:widowControl/>
        <w:spacing w:line="360" w:lineRule="auto"/>
        <w:jc w:val="left"/>
        <w:rPr>
          <w:rFonts w:hint="eastAsia" w:ascii="宋体" w:hAnsi="宋体" w:eastAsia="宋体" w:cs="宋体"/>
          <w:sz w:val="24"/>
          <w:szCs w:val="24"/>
          <w:lang w:val="zh-TW" w:eastAsia="zh-TW"/>
        </w:rPr>
      </w:pPr>
    </w:p>
    <w:p w14:paraId="4959D44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供应商名称（供应商公章）：</w:t>
      </w:r>
    </w:p>
    <w:p w14:paraId="6C56CCB4">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032F6822">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2E86D20B">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719297F1">
      <w:pPr>
        <w:spacing w:line="360" w:lineRule="auto"/>
        <w:rPr>
          <w:rStyle w:val="18"/>
          <w:rFonts w:hint="eastAsia" w:ascii="宋体" w:hAnsi="宋体" w:eastAsia="宋体" w:cs="宋体"/>
          <w:b/>
          <w:bCs/>
          <w:sz w:val="21"/>
          <w:szCs w:val="21"/>
        </w:rPr>
      </w:pPr>
    </w:p>
    <w:p w14:paraId="52FA8535">
      <w:pPr>
        <w:spacing w:line="360" w:lineRule="auto"/>
        <w:rPr>
          <w:rStyle w:val="18"/>
          <w:rFonts w:hint="eastAsia" w:ascii="宋体" w:hAnsi="宋体" w:eastAsia="宋体" w:cs="宋体"/>
          <w:b/>
          <w:bCs/>
          <w:sz w:val="21"/>
          <w:szCs w:val="21"/>
        </w:rPr>
      </w:pPr>
    </w:p>
    <w:p w14:paraId="68F87679">
      <w:pPr>
        <w:spacing w:line="360" w:lineRule="auto"/>
        <w:rPr>
          <w:rStyle w:val="18"/>
          <w:rFonts w:hint="eastAsia" w:ascii="宋体" w:hAnsi="宋体" w:eastAsia="宋体" w:cs="宋体"/>
          <w:b/>
          <w:bCs/>
          <w:sz w:val="21"/>
          <w:szCs w:val="21"/>
          <w:lang w:eastAsia="zh-CN"/>
        </w:rPr>
      </w:pPr>
    </w:p>
    <w:p w14:paraId="4255724F">
      <w:pPr>
        <w:spacing w:line="360" w:lineRule="auto"/>
        <w:rPr>
          <w:rStyle w:val="18"/>
          <w:rFonts w:hint="eastAsia" w:ascii="宋体" w:hAnsi="宋体" w:eastAsia="宋体" w:cs="宋体"/>
          <w:b/>
          <w:bCs/>
          <w:sz w:val="21"/>
          <w:szCs w:val="21"/>
          <w:lang w:eastAsia="zh-CN"/>
        </w:rPr>
      </w:pPr>
    </w:p>
    <w:p w14:paraId="5B763102">
      <w:pPr>
        <w:spacing w:line="360" w:lineRule="auto"/>
        <w:rPr>
          <w:rFonts w:hint="eastAsia" w:ascii="宋体" w:hAnsi="宋体" w:eastAsia="宋体" w:cs="宋体"/>
          <w:b/>
          <w:bCs/>
          <w:color w:val="auto"/>
          <w:sz w:val="21"/>
          <w:szCs w:val="21"/>
          <w:lang w:eastAsia="zh-CN"/>
        </w:rPr>
      </w:pPr>
      <w:r>
        <w:rPr>
          <w:rStyle w:val="18"/>
          <w:rFonts w:hint="eastAsia" w:ascii="宋体" w:hAnsi="宋体" w:eastAsia="宋体" w:cs="宋体"/>
          <w:b/>
          <w:bCs/>
          <w:sz w:val="21"/>
          <w:szCs w:val="21"/>
          <w:lang w:eastAsia="zh-CN"/>
        </w:rPr>
        <w:t>二、</w:t>
      </w:r>
      <w:r>
        <w:rPr>
          <w:rStyle w:val="18"/>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40F1FFBB">
      <w:pPr>
        <w:pStyle w:val="16"/>
        <w:rPr>
          <w:rFonts w:hint="eastAsia"/>
        </w:rPr>
      </w:pPr>
    </w:p>
    <w:p w14:paraId="24B6E3FE">
      <w:pPr>
        <w:pStyle w:val="16"/>
        <w:rPr>
          <w:rFonts w:hint="eastAsia"/>
        </w:rPr>
      </w:pPr>
    </w:p>
    <w:p w14:paraId="060E39A7">
      <w:pPr>
        <w:pStyle w:val="16"/>
        <w:rPr>
          <w:rFonts w:hint="eastAsia"/>
        </w:rPr>
      </w:pPr>
    </w:p>
    <w:p w14:paraId="39D5D4C8">
      <w:pPr>
        <w:pStyle w:val="11"/>
        <w:spacing w:line="360" w:lineRule="auto"/>
        <w:ind w:left="0" w:leftChars="0" w:firstLine="0" w:firstLineChars="0"/>
        <w:jc w:val="both"/>
        <w:outlineLvl w:val="1"/>
        <w:rPr>
          <w:rFonts w:hint="eastAsia" w:ascii="宋体" w:hAnsi="宋体" w:eastAsia="宋体" w:cs="宋体"/>
          <w:color w:val="auto"/>
          <w:sz w:val="21"/>
          <w:szCs w:val="21"/>
        </w:rPr>
      </w:pPr>
      <w:bookmarkStart w:id="0" w:name="_Toc20589"/>
      <w:bookmarkStart w:id="1" w:name="_Toc15526"/>
      <w:bookmarkStart w:id="2" w:name="_Toc27661"/>
      <w:bookmarkStart w:id="3" w:name="_Toc12015"/>
      <w:bookmarkStart w:id="4" w:name="_Toc25638"/>
      <w:bookmarkStart w:id="5" w:name="_Toc11351"/>
      <w:r>
        <w:rPr>
          <w:rStyle w:val="18"/>
          <w:rFonts w:hint="eastAsia" w:ascii="宋体" w:hAnsi="宋体" w:eastAsia="宋体" w:cs="宋体"/>
          <w:b/>
          <w:bCs/>
          <w:sz w:val="21"/>
          <w:szCs w:val="21"/>
          <w:lang w:val="en-US" w:eastAsia="zh-CN"/>
        </w:rPr>
        <w:t>三、</w:t>
      </w:r>
      <w:r>
        <w:rPr>
          <w:rStyle w:val="18"/>
          <w:rFonts w:hint="eastAsia" w:ascii="宋体" w:hAnsi="宋体" w:eastAsia="宋体" w:cs="宋体"/>
          <w:b/>
          <w:bCs/>
          <w:sz w:val="21"/>
          <w:szCs w:val="21"/>
        </w:rPr>
        <w:t>法定代表人身份证明书</w:t>
      </w:r>
      <w:bookmarkEnd w:id="0"/>
      <w:bookmarkEnd w:id="1"/>
      <w:bookmarkEnd w:id="2"/>
      <w:bookmarkEnd w:id="3"/>
      <w:bookmarkEnd w:id="4"/>
      <w:bookmarkEnd w:id="5"/>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7"/>
        <w:rPr>
          <w:rFonts w:hint="eastAsia" w:ascii="宋体" w:hAnsi="宋体" w:eastAsia="宋体" w:cs="宋体"/>
          <w:lang w:eastAsia="zh-CN"/>
        </w:rPr>
      </w:pPr>
    </w:p>
    <w:p w14:paraId="2E8967E4">
      <w:pPr>
        <w:pStyle w:val="16"/>
        <w:spacing w:line="360" w:lineRule="auto"/>
        <w:jc w:val="center"/>
        <w:rPr>
          <w:rStyle w:val="18"/>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E56384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753478A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中山市东升医院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BF2380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szCs w:val="24"/>
        </w:rPr>
        <w:t>本公司郑重</w:t>
      </w:r>
      <w:r>
        <w:rPr>
          <w:rFonts w:hint="eastAsia" w:ascii="宋体" w:hAnsi="宋体" w:eastAsia="宋体" w:cs="宋体"/>
          <w:sz w:val="24"/>
          <w:szCs w:val="24"/>
          <w:lang w:eastAsia="zh-CN"/>
        </w:rPr>
        <w:t>声明</w:t>
      </w:r>
      <w:r>
        <w:rPr>
          <w:rFonts w:hint="eastAsia" w:ascii="宋体" w:hAnsi="宋体" w:eastAsia="宋体" w:cs="宋体"/>
          <w:sz w:val="24"/>
          <w:szCs w:val="24"/>
        </w:rPr>
        <w:t>本公司在参加本次</w:t>
      </w:r>
      <w:r>
        <w:rPr>
          <w:rFonts w:hint="eastAsia" w:ascii="宋体" w:hAnsi="宋体" w:eastAsia="宋体" w:cs="宋体"/>
          <w:i w:val="0"/>
          <w:iCs w:val="0"/>
          <w:caps w:val="0"/>
          <w:color w:val="000000"/>
          <w:spacing w:val="0"/>
          <w:sz w:val="24"/>
          <w:szCs w:val="24"/>
          <w:u w:val="single"/>
          <w:shd w:val="clear" w:fill="FFFFFF"/>
        </w:rPr>
        <w:t>中山市东升医院2026年度纯水和净水设备维保服务项目</w:t>
      </w:r>
      <w:r>
        <w:rPr>
          <w:rFonts w:hint="eastAsia" w:ascii="宋体" w:hAnsi="宋体" w:eastAsia="宋体" w:cs="宋体"/>
          <w:sz w:val="24"/>
          <w:szCs w:val="24"/>
          <w:u w:val="single"/>
          <w:lang w:eastAsia="zh-CN"/>
        </w:rPr>
        <w:t>调研</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3BFFE0A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bookmarkStart w:id="6" w:name="_Toc16435"/>
      <w:bookmarkStart w:id="7" w:name="_Toc2041"/>
      <w:bookmarkStart w:id="8" w:name="_Toc1074"/>
      <w:bookmarkStart w:id="9" w:name="_Toc12967"/>
      <w:bookmarkStart w:id="10" w:name="_Toc26969"/>
      <w:bookmarkStart w:id="11" w:name="_Toc23967"/>
    </w:p>
    <w:p w14:paraId="5DDD7D9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248C81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68F4F41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32AC12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6E41D3E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bookmarkEnd w:id="6"/>
    <w:bookmarkEnd w:id="7"/>
    <w:bookmarkEnd w:id="8"/>
    <w:bookmarkEnd w:id="9"/>
    <w:bookmarkEnd w:id="10"/>
    <w:bookmarkEnd w:id="11"/>
    <w:p w14:paraId="43379772">
      <w:pPr>
        <w:keepNext w:val="0"/>
        <w:keepLines w:val="0"/>
        <w:pageBreakBefore w:val="0"/>
        <w:numPr>
          <w:ilvl w:val="0"/>
          <w:numId w:val="0"/>
        </w:numPr>
        <w:shd w:val="clea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spacing w:val="7"/>
          <w:sz w:val="20"/>
          <w:szCs w:val="20"/>
          <w:lang w:eastAsia="zh-CN"/>
        </w:rPr>
      </w:pPr>
    </w:p>
    <w:p w14:paraId="1AD104C4">
      <w:pPr>
        <w:keepNext w:val="0"/>
        <w:keepLines w:val="0"/>
        <w:pageBreakBefore w:val="0"/>
        <w:numPr>
          <w:ilvl w:val="0"/>
          <w:numId w:val="0"/>
        </w:numPr>
        <w:shd w:val="clea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sz w:val="20"/>
          <w:szCs w:val="20"/>
          <w:lang w:val="en-US" w:eastAsia="zh-CN"/>
        </w:rPr>
      </w:pPr>
      <w:r>
        <w:rPr>
          <w:rFonts w:hint="eastAsia" w:ascii="宋体" w:hAnsi="宋体" w:eastAsia="宋体" w:cs="宋体"/>
          <w:b/>
          <w:bCs/>
          <w:spacing w:val="7"/>
          <w:sz w:val="20"/>
          <w:szCs w:val="20"/>
          <w:lang w:eastAsia="zh-CN"/>
        </w:rPr>
        <w:t>六</w:t>
      </w:r>
      <w:r>
        <w:rPr>
          <w:rFonts w:ascii="宋体" w:hAnsi="宋体" w:eastAsia="宋体" w:cs="宋体"/>
          <w:b/>
          <w:bCs/>
          <w:spacing w:val="7"/>
          <w:sz w:val="20"/>
          <w:szCs w:val="20"/>
          <w:lang w:eastAsia="zh-CN"/>
        </w:rPr>
        <w:t>、采购需求偏离表</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4"/>
        <w:spacing w:line="286" w:lineRule="auto"/>
        <w:rPr>
          <w:lang w:eastAsia="zh-CN"/>
        </w:rPr>
      </w:pPr>
    </w:p>
    <w:p w14:paraId="65E86C6A">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keepNext w:val="0"/>
        <w:keepLines w:val="0"/>
        <w:pageBreakBefore w:val="0"/>
        <w:widowControl/>
        <w:kinsoku w:val="0"/>
        <w:wordWrap/>
        <w:overflowPunct/>
        <w:topLinePunct w:val="0"/>
        <w:autoSpaceDE w:val="0"/>
        <w:autoSpaceDN w:val="0"/>
        <w:bidi w:val="0"/>
        <w:adjustRightInd w:val="0"/>
        <w:snapToGrid w:val="0"/>
        <w:spacing w:before="95" w:beforeLines="30" w:line="227"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20"/>
        <w:tblpPr w:leftFromText="180" w:rightFromText="180" w:vertAnchor="text" w:horzAnchor="page" w:tblpX="1521" w:tblpY="472"/>
        <w:tblOverlap w:val="never"/>
        <w:tblW w:w="861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61"/>
        <w:gridCol w:w="5547"/>
        <w:gridCol w:w="1425"/>
        <w:gridCol w:w="978"/>
      </w:tblGrid>
      <w:tr w14:paraId="37EB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661" w:type="dxa"/>
            <w:vAlign w:val="center"/>
          </w:tcPr>
          <w:p w14:paraId="61DC7371">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547" w:type="dxa"/>
            <w:vAlign w:val="center"/>
          </w:tcPr>
          <w:p w14:paraId="2A5AABAD">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425" w:type="dxa"/>
            <w:vAlign w:val="center"/>
          </w:tcPr>
          <w:p w14:paraId="43FB0302">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33305874">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7C9B8E9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978" w:type="dxa"/>
            <w:vAlign w:val="center"/>
          </w:tcPr>
          <w:p w14:paraId="0584520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62DEE52A">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r>
      <w:tr w14:paraId="0B83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661" w:type="dxa"/>
            <w:vAlign w:val="center"/>
          </w:tcPr>
          <w:p w14:paraId="5F3B1345">
            <w:pPr>
              <w:spacing w:before="65" w:line="270" w:lineRule="exact"/>
              <w:jc w:val="center"/>
              <w:rPr>
                <w:rFonts w:ascii="宋体" w:hAnsi="宋体" w:eastAsia="宋体" w:cs="宋体"/>
              </w:rPr>
            </w:pPr>
            <w:r>
              <w:rPr>
                <w:rFonts w:hint="eastAsia" w:ascii="宋体" w:hAnsi="宋体" w:eastAsia="宋体" w:cs="宋体"/>
                <w:position w:val="1"/>
              </w:rPr>
              <w:t>1</w:t>
            </w:r>
          </w:p>
        </w:tc>
        <w:tc>
          <w:tcPr>
            <w:tcW w:w="5547" w:type="dxa"/>
          </w:tcPr>
          <w:p w14:paraId="0BDA22E0">
            <w:pPr>
              <w:pStyle w:val="17"/>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rPr>
            </w:pPr>
            <w:r>
              <w:rPr>
                <w:rFonts w:hint="eastAsia" w:ascii="宋体" w:hAnsi="宋体" w:eastAsia="宋体" w:cs="宋体"/>
                <w:b/>
                <w:bCs w:val="0"/>
                <w:sz w:val="28"/>
                <w:szCs w:val="28"/>
              </w:rPr>
              <w:t>维修保养</w:t>
            </w:r>
            <w:r>
              <w:rPr>
                <w:rFonts w:hint="eastAsia" w:ascii="宋体" w:hAnsi="宋体" w:cs="宋体"/>
                <w:b/>
                <w:bCs w:val="0"/>
                <w:sz w:val="28"/>
                <w:szCs w:val="28"/>
                <w:lang w:eastAsia="zh-CN"/>
              </w:rPr>
              <w:t>清单</w:t>
            </w:r>
            <w:r>
              <w:rPr>
                <w:rFonts w:hint="eastAsia" w:ascii="宋体" w:hAnsi="宋体" w:eastAsia="宋体" w:cs="宋体"/>
                <w:b/>
                <w:bCs w:val="0"/>
                <w:sz w:val="28"/>
                <w:szCs w:val="28"/>
              </w:rPr>
              <w:t>：</w:t>
            </w:r>
          </w:p>
          <w:tbl>
            <w:tblPr>
              <w:tblStyle w:val="13"/>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7"/>
              <w:gridCol w:w="1062"/>
              <w:gridCol w:w="751"/>
              <w:gridCol w:w="926"/>
              <w:gridCol w:w="509"/>
              <w:gridCol w:w="1722"/>
            </w:tblGrid>
            <w:tr w14:paraId="7959A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F3A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D88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设备名称</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B545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品牌</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2D6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型号/规格</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9E1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15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48B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安装位置</w:t>
                  </w:r>
                </w:p>
              </w:tc>
            </w:tr>
            <w:tr w14:paraId="6AEBE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6C4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BBA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全自动纯水机</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9165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老肯医疗</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D89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D1B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5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D6B2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综合楼二楼胃镜室内</w:t>
                  </w:r>
                </w:p>
              </w:tc>
            </w:tr>
            <w:tr w14:paraId="05162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23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38E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反渗透水处理机</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A83D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江苏迈尔</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C39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MERO-500L/h</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D61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5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EB8B7">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t>坦背供应室内</w:t>
                  </w:r>
                </w:p>
              </w:tc>
            </w:tr>
            <w:tr w14:paraId="7ECBA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A26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805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不锈钢饮水机</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8852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康丽源</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A8910">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K-3E</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E5827">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5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BFD54">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t>综合楼二楼血透室对面</w:t>
                  </w:r>
                </w:p>
              </w:tc>
            </w:tr>
            <w:tr w14:paraId="6DD0E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B316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984C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不锈钢饮水机</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539B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康丽源</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E8402">
                  <w:pPr>
                    <w:jc w:val="center"/>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J0</w:t>
                  </w:r>
                  <w:r>
                    <w:rPr>
                      <w:rFonts w:hint="eastAsia" w:ascii="宋体" w:hAnsi="宋体" w:eastAsia="宋体" w:cs="宋体"/>
                      <w:i w:val="0"/>
                      <w:iCs w:val="0"/>
                      <w:color w:val="000000"/>
                      <w:sz w:val="22"/>
                      <w:szCs w:val="22"/>
                      <w:u w:val="none"/>
                      <w:lang w:val="en-US" w:eastAsia="zh-CN"/>
                    </w:rPr>
                    <w:t>-3E</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97B17">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5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5E827">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t>综合楼一楼急诊科输液室内</w:t>
                  </w:r>
                </w:p>
              </w:tc>
            </w:tr>
          </w:tbl>
          <w:p w14:paraId="50AD51A0">
            <w:pPr>
              <w:pStyle w:val="17"/>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lang w:eastAsia="zh-CN"/>
              </w:rPr>
            </w:pPr>
            <w:r>
              <w:rPr>
                <w:rFonts w:hint="eastAsia" w:ascii="宋体" w:hAnsi="宋体" w:cs="宋体"/>
                <w:b/>
                <w:bCs w:val="0"/>
                <w:sz w:val="28"/>
                <w:szCs w:val="28"/>
                <w:lang w:eastAsia="zh-CN"/>
              </w:rPr>
              <w:t>注：采购人如增添纯水和净水设备，服务期内按照成交价格进行维保服务</w:t>
            </w:r>
          </w:p>
          <w:p w14:paraId="0EE06F0C">
            <w:pPr>
              <w:pStyle w:val="10"/>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eastAsia="宋体" w:cs="宋体"/>
                <w:sz w:val="20"/>
                <w:szCs w:val="20"/>
                <w:lang w:val="en-US" w:eastAsia="zh-CN"/>
              </w:rPr>
              <w:t>1.</w:t>
            </w:r>
            <w:r>
              <w:rPr>
                <w:rFonts w:hint="eastAsia" w:ascii="宋体" w:hAnsi="宋体" w:eastAsia="宋体" w:cs="宋体"/>
                <w:sz w:val="20"/>
                <w:szCs w:val="20"/>
              </w:rPr>
              <w:t>维保期限：本项目服务期为一年，定期更换纯水和净水设备配件及设备维修。</w:t>
            </w:r>
          </w:p>
          <w:p w14:paraId="4D7CA957">
            <w:pPr>
              <w:pStyle w:val="10"/>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eastAsia="宋体" w:cs="宋体"/>
                <w:sz w:val="20"/>
                <w:szCs w:val="20"/>
                <w:lang w:val="en-US" w:eastAsia="zh-CN"/>
              </w:rPr>
              <w:t>2</w:t>
            </w:r>
            <w:r>
              <w:rPr>
                <w:rFonts w:hint="eastAsia" w:ascii="宋体" w:hAnsi="宋体" w:eastAsia="宋体" w:cs="宋体"/>
                <w:sz w:val="20"/>
                <w:szCs w:val="20"/>
              </w:rPr>
              <w:t>.响应要求：成交供应商接到采购人通知应在30分钟响应，4小时内到达现场，并提供 24小时应急故障报修服务。</w:t>
            </w:r>
          </w:p>
          <w:p w14:paraId="2B8DA667">
            <w:pPr>
              <w:pStyle w:val="10"/>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eastAsia="宋体" w:cs="宋体"/>
                <w:sz w:val="20"/>
                <w:szCs w:val="20"/>
                <w:lang w:val="en-US" w:eastAsia="zh-CN"/>
              </w:rPr>
              <w:t>3</w:t>
            </w:r>
            <w:r>
              <w:rPr>
                <w:rFonts w:hint="eastAsia" w:ascii="宋体" w:hAnsi="宋体" w:eastAsia="宋体" w:cs="宋体"/>
                <w:sz w:val="20"/>
                <w:szCs w:val="20"/>
              </w:rPr>
              <w:t>.★响应供应商资质要求：需具有相关营业范围。</w:t>
            </w:r>
          </w:p>
          <w:p w14:paraId="48DFA2C2">
            <w:pPr>
              <w:pStyle w:val="10"/>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eastAsia="宋体" w:cs="宋体"/>
                <w:sz w:val="20"/>
                <w:szCs w:val="20"/>
                <w:lang w:val="en-US" w:eastAsia="zh-CN"/>
              </w:rPr>
              <w:t>4</w:t>
            </w:r>
            <w:r>
              <w:rPr>
                <w:rFonts w:hint="eastAsia" w:ascii="宋体" w:hAnsi="宋体" w:eastAsia="宋体" w:cs="宋体"/>
                <w:sz w:val="20"/>
                <w:szCs w:val="20"/>
              </w:rPr>
              <w:t>.成交供应商不得以任何方式转包或分包本项目。</w:t>
            </w:r>
          </w:p>
        </w:tc>
        <w:tc>
          <w:tcPr>
            <w:tcW w:w="1425" w:type="dxa"/>
          </w:tcPr>
          <w:p w14:paraId="03ED26DE">
            <w:pPr>
              <w:pStyle w:val="21"/>
              <w:rPr>
                <w:rFonts w:ascii="宋体" w:hAnsi="宋体" w:eastAsia="宋体" w:cs="宋体"/>
                <w:lang w:eastAsia="zh-CN"/>
              </w:rPr>
            </w:pPr>
          </w:p>
        </w:tc>
        <w:tc>
          <w:tcPr>
            <w:tcW w:w="978" w:type="dxa"/>
          </w:tcPr>
          <w:p w14:paraId="314D7EEC">
            <w:pPr>
              <w:pStyle w:val="21"/>
              <w:rPr>
                <w:rFonts w:ascii="宋体" w:hAnsi="宋体" w:eastAsia="宋体" w:cs="宋体"/>
                <w:lang w:eastAsia="zh-CN"/>
              </w:rPr>
            </w:pPr>
          </w:p>
        </w:tc>
      </w:tr>
      <w:tr w14:paraId="14053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61" w:type="dxa"/>
            <w:vAlign w:val="center"/>
          </w:tcPr>
          <w:p w14:paraId="6B8C066E">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547" w:type="dxa"/>
          </w:tcPr>
          <w:p w14:paraId="539A20F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服务技术要求：</w:t>
            </w:r>
          </w:p>
          <w:p w14:paraId="2FAFAFE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1.成交供应商需对中山市东升医院视纯水和净水设备进行日常维修、维护保养工作。</w:t>
            </w:r>
          </w:p>
          <w:p w14:paraId="1990CE6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2.成交供应商应严格遵守系统各项设备运行管理规程，保证各设备处于良好状态。</w:t>
            </w:r>
          </w:p>
          <w:p w14:paraId="4715BD4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每个季度对维保范围内的设备进行检查，例行巡检保养内容包括但不限于：检查各级滤芯、反渗透膜、树脂等耗材的使用状态；检查管路、阀门、泵体有无渗漏或异常；记录产水量、水质（电导率/电阻率）等关键运行参数；对设备进行必要的清洁、润滑和校准。每次巡检后须提交书面巡检报告，记录设备运行状态、发现问题及处理建议。并交采购人主管部门管理人员验收并签字确认。</w:t>
            </w:r>
          </w:p>
          <w:p w14:paraId="11282C1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4.成交供应商需在服务开始前提交项目维保应急预案及详细年度、季度工作计划至采购人主管部门审核备案，并做好维修及保养记录。</w:t>
            </w:r>
          </w:p>
          <w:p w14:paraId="6B188F5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5.成交供应商应为采购人对系统及其零配件的采购、安装、更换、搬迁设备提出技术建议及方案。</w:t>
            </w:r>
          </w:p>
          <w:p w14:paraId="1B9C303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6.成交供应商应根据实际情况对科室设备操作员不定期的提供一定程度的硬件应用及专业知识的培训,并随时解答两大系统相关提问。</w:t>
            </w:r>
          </w:p>
          <w:p w14:paraId="4C85406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7.成交供应商应切实加强现场管理,并接受采购人的监督管理，确保服务到位。成交供应商确保在采购人单位内的作业符合国家和地方的安全作业规范，并负责所派技术人员的人身意外险及其它意外风险。 由于成交供应商原因造成安全事故的发生，一切责任及损失由成交供应商负责。</w:t>
            </w:r>
          </w:p>
          <w:p w14:paraId="41F9726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8.成交供应商不得对采购人使用的系统人为增设限制和阻碍。</w:t>
            </w:r>
          </w:p>
          <w:p w14:paraId="1A6EB4D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9.服务期满后，成交供应商应为下一任成交供应商提供技术支持，并在交接完毕后方可撤场。如服务期满后，下一任成交供应商未进驻前，采购人有权要求成交供应商按原条款要求继续提供服务至下一任成交供应商进驻并完成交接为止，成交供应商应按照采购人要求予以配合，否则采购人有权扣除成交供应商的服务费或进行维权。</w:t>
            </w:r>
          </w:p>
          <w:p w14:paraId="299E92B4">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10.在服务过程中，成交供应商必须先对采购人损坏的配件进行全力维修，如确认无法维修而需要更换时，成交供应商应提前通知采购人并经采购人确认后方可更换，并将换下的旧配件交给采购人确认处理。如未核实直接更换或该配件可维修并不需更换的，采购人有权拒绝支付该配件费用，且成交供应商应以该配件原价的 2 倍赔付给采购人。成交供应商应按照以下配件表的价格为采购人更换，成交供应商应负责安装，采购人只支付配件费不再另行支付任何费用。</w:t>
            </w:r>
          </w:p>
        </w:tc>
        <w:tc>
          <w:tcPr>
            <w:tcW w:w="1425" w:type="dxa"/>
          </w:tcPr>
          <w:p w14:paraId="69CF45F5">
            <w:pPr>
              <w:pStyle w:val="21"/>
              <w:rPr>
                <w:rFonts w:ascii="宋体" w:hAnsi="宋体" w:eastAsia="宋体" w:cs="宋体"/>
                <w:lang w:eastAsia="zh-CN"/>
              </w:rPr>
            </w:pPr>
          </w:p>
        </w:tc>
        <w:tc>
          <w:tcPr>
            <w:tcW w:w="978" w:type="dxa"/>
          </w:tcPr>
          <w:p w14:paraId="4B1E84E1">
            <w:pPr>
              <w:pStyle w:val="21"/>
              <w:rPr>
                <w:rFonts w:ascii="宋体" w:hAnsi="宋体" w:eastAsia="宋体" w:cs="宋体"/>
                <w:lang w:eastAsia="zh-CN"/>
              </w:rPr>
            </w:pPr>
          </w:p>
        </w:tc>
      </w:tr>
      <w:tr w14:paraId="7C20B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002DA8E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547" w:type="dxa"/>
          </w:tcPr>
          <w:p w14:paraId="374B2BE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报修服务响应时间及故障解决要求</w:t>
            </w:r>
          </w:p>
          <w:p w14:paraId="46FE5F0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1.报修响应时间：</w:t>
            </w:r>
          </w:p>
          <w:p w14:paraId="73E3341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①在 4 小时内赶到现场处理；</w:t>
            </w:r>
          </w:p>
          <w:p w14:paraId="36320FF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②故障修复时间：不超过 24 小时（如超过 24 小时的，成交供应商应提前像采购人说明客观具体情况）。</w:t>
            </w:r>
          </w:p>
          <w:p w14:paraId="6689AE1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2.成交供应商提供 7×24 小时应急故障报修服务。</w:t>
            </w:r>
          </w:p>
          <w:p w14:paraId="7DC108E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3.故障解决方式</w:t>
            </w:r>
          </w:p>
          <w:p w14:paraId="658BD26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①普通故障：更换常用配件的硬件故障等；进行现场修复，填写故障处理记录。</w:t>
            </w:r>
          </w:p>
          <w:p w14:paraId="3E40783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②特殊故障：非常用或无配件、确实难以判断的故障等， 以备机替换或与采购人协调尽快解决。</w:t>
            </w:r>
          </w:p>
          <w:p w14:paraId="07397AF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③不锈钢饮水机备机的使用：在配件紧缺或判断不能在 24 小时内修复的情况下，更换设备或使用备用设备。</w:t>
            </w:r>
          </w:p>
          <w:p w14:paraId="450CD94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④送修设备：在下 1 个工作日内提交检测结果，5 个工作日内修复送回。故障设备在保修期内保养或更换配件；对于更换的部件，保证是各品牌厂家提供的具有相同功能并附有该品牌标签或相关识别码的备件。</w:t>
            </w:r>
          </w:p>
          <w:p w14:paraId="3CD111BD">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⑤设备更换：在故障现场不能修复要采购更换的设备，成交供应商提供相关参数给院方，待采购人采购后，成交供应商有义务免安装费对其进行更换。</w:t>
            </w:r>
          </w:p>
        </w:tc>
        <w:tc>
          <w:tcPr>
            <w:tcW w:w="1425" w:type="dxa"/>
          </w:tcPr>
          <w:p w14:paraId="50520806">
            <w:pPr>
              <w:pStyle w:val="21"/>
              <w:rPr>
                <w:rFonts w:ascii="宋体" w:hAnsi="宋体" w:eastAsia="宋体" w:cs="宋体"/>
                <w:lang w:eastAsia="zh-CN"/>
              </w:rPr>
            </w:pPr>
          </w:p>
        </w:tc>
        <w:tc>
          <w:tcPr>
            <w:tcW w:w="978" w:type="dxa"/>
          </w:tcPr>
          <w:p w14:paraId="27AC7BB1">
            <w:pPr>
              <w:pStyle w:val="21"/>
              <w:rPr>
                <w:rFonts w:ascii="宋体" w:hAnsi="宋体" w:eastAsia="宋体" w:cs="宋体"/>
                <w:lang w:eastAsia="zh-CN"/>
              </w:rPr>
            </w:pPr>
          </w:p>
        </w:tc>
      </w:tr>
      <w:tr w14:paraId="18DF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61" w:type="dxa"/>
            <w:vAlign w:val="center"/>
          </w:tcPr>
          <w:p w14:paraId="71310ABA">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547" w:type="dxa"/>
          </w:tcPr>
          <w:p w14:paraId="74840C2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响应报价要求：</w:t>
            </w:r>
          </w:p>
          <w:p w14:paraId="1E7F619C">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1.本项目实行配件更换按实计费，中标价即为合同价，报价为含税价。报价包含（但不限于）配件费用、成交供应商的员工工资、社会保险、福利、税费、“ 中山市残疾人就业保障金 ”、员工培训费、卫生费用、餐饮、 日常接待、办公费用、投入物资、意外风险、首次进场交接费用等。</w:t>
            </w:r>
          </w:p>
          <w:p w14:paraId="28DB704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2.响应供应商应对维修配件清单的单价最高限价进行下浮率报价。</w:t>
            </w:r>
          </w:p>
        </w:tc>
        <w:tc>
          <w:tcPr>
            <w:tcW w:w="1425" w:type="dxa"/>
          </w:tcPr>
          <w:p w14:paraId="1976FE37">
            <w:pPr>
              <w:pStyle w:val="21"/>
              <w:rPr>
                <w:rFonts w:ascii="宋体" w:hAnsi="宋体" w:eastAsia="宋体" w:cs="宋体"/>
                <w:lang w:eastAsia="zh-CN"/>
              </w:rPr>
            </w:pPr>
          </w:p>
        </w:tc>
        <w:tc>
          <w:tcPr>
            <w:tcW w:w="978" w:type="dxa"/>
          </w:tcPr>
          <w:p w14:paraId="23D2CAC8">
            <w:pPr>
              <w:pStyle w:val="21"/>
              <w:rPr>
                <w:rFonts w:ascii="宋体" w:hAnsi="宋体" w:eastAsia="宋体" w:cs="宋体"/>
                <w:lang w:eastAsia="zh-CN"/>
              </w:rPr>
            </w:pPr>
          </w:p>
        </w:tc>
      </w:tr>
      <w:tr w14:paraId="1E183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0" w:hRule="atLeast"/>
        </w:trPr>
        <w:tc>
          <w:tcPr>
            <w:tcW w:w="661" w:type="dxa"/>
            <w:vAlign w:val="center"/>
          </w:tcPr>
          <w:p w14:paraId="2322AC9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547" w:type="dxa"/>
          </w:tcPr>
          <w:p w14:paraId="2A7018B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付款方法</w:t>
            </w:r>
          </w:p>
          <w:p w14:paraId="360F2F1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 签订合同后5个工作日内成交供应商需向采购人提交合同总金额的5%作为履约保证金。履约保证金可以采用银行转账、银行保函、保险保函等非现金形式提交。采购人不得拒收符合规定的保函。保证金的退还为最后一批送货验收合格后60个工作日内一次性无息退还。</w:t>
            </w:r>
          </w:p>
          <w:p w14:paraId="6CD766E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（1）如有违约事项，采购人根据约定条款扣款，剩余款项予以无息退还。</w:t>
            </w:r>
          </w:p>
          <w:p w14:paraId="4B38706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（2）如逾期未缴交履约保证金的，则每逾期一天按履约保证金金额的5‰支付违约金给采购人。</w:t>
            </w:r>
          </w:p>
          <w:p w14:paraId="59368B5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维修配件费用根据实际更换情况，按照最终维修配件清单表的约定下浮价格以及维修配件清单确认表进行月度结算，成交供应商开具有效全额增值税普通发票（含税），采购人收到发票并审核无误后6个月内支付费用。</w:t>
            </w:r>
          </w:p>
          <w:p w14:paraId="337B2A33">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3.成交供应商须开具与响应文件中报价人单位名称、响应报价一致的发票。</w:t>
            </w:r>
          </w:p>
        </w:tc>
        <w:tc>
          <w:tcPr>
            <w:tcW w:w="1425" w:type="dxa"/>
          </w:tcPr>
          <w:p w14:paraId="556D3F97">
            <w:pPr>
              <w:pStyle w:val="21"/>
              <w:rPr>
                <w:rFonts w:ascii="宋体" w:hAnsi="宋体" w:eastAsia="宋体" w:cs="宋体"/>
                <w:lang w:eastAsia="zh-CN"/>
              </w:rPr>
            </w:pPr>
          </w:p>
        </w:tc>
        <w:tc>
          <w:tcPr>
            <w:tcW w:w="978" w:type="dxa"/>
          </w:tcPr>
          <w:p w14:paraId="59D2077F">
            <w:pPr>
              <w:pStyle w:val="21"/>
              <w:rPr>
                <w:rFonts w:ascii="宋体" w:hAnsi="宋体" w:eastAsia="宋体" w:cs="宋体"/>
                <w:lang w:eastAsia="zh-CN"/>
              </w:rPr>
            </w:pPr>
          </w:p>
        </w:tc>
      </w:tr>
      <w:tr w14:paraId="2CDD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66" w:hRule="atLeast"/>
        </w:trPr>
        <w:tc>
          <w:tcPr>
            <w:tcW w:w="661" w:type="dxa"/>
            <w:vAlign w:val="center"/>
          </w:tcPr>
          <w:p w14:paraId="728B229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547" w:type="dxa"/>
          </w:tcPr>
          <w:p w14:paraId="3868D372">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违约责任</w:t>
            </w:r>
          </w:p>
          <w:p w14:paraId="2881999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1.如成交供应商在合同签订后未按期支付履约保证金的，须每日按应缴款总额的 5‰向采购人支付违约金。</w:t>
            </w:r>
          </w:p>
          <w:p w14:paraId="1621ADE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2.若采购人逾期付款，须每日按应收款总额的 5‰向成交供应商支付违约金，并保留向采购人追收应收取的服务费及违约金的权利。</w:t>
            </w:r>
          </w:p>
          <w:p w14:paraId="32920C1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3.因成交供应商维护处理不及时或失误原因造成的采购人损失（含经济损失等），成交供应商除应赔偿采购人的全部实际损失外，还应按合同总价的 20%向采购人支付违约金。</w:t>
            </w:r>
          </w:p>
          <w:p w14:paraId="14110A4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4.成交供应商未按照响应时间到场进行故障处理的，如到达现场时间内未在 4 小时内赶到现场处理，每次扣罚 300 元。</w:t>
            </w:r>
          </w:p>
          <w:p w14:paraId="0FBB9D2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5.双方对本合同（含涉及本合同相关通知和函电） 内容应严格履行保密义务，未经一方书面同意或许可，均不得在任何时候以任何方式和理由向第三人泄露，否则，任何一方应赔偿由此给对方造成的一切损失。</w:t>
            </w:r>
          </w:p>
          <w:p w14:paraId="0A747F6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6.成交供应商给采购人造成的损失，采购人可采取必要的途径或方式追索， 由此引起的费用由成交供应商承担，包括但不仅限于律师费、查档费、鉴定费、公证费、交通费、诉讼费、财产保全责任保险费等。</w:t>
            </w:r>
          </w:p>
          <w:p w14:paraId="650B5DF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7.成交供应商未能按时提供服务的，每拖延一天，需向采购人支付合同总价的 5‰违约金。如拖延七个自然日成交供应商仍未能履行的，采购人有权单方终止合同，并不承担任何责任。且成交供应商应向采购人支付合同总价 20%的惩罚性违约金，造成采购人损失的，成交供应商应向甲方承担赔偿责任。</w:t>
            </w:r>
          </w:p>
          <w:p w14:paraId="04E6F09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8.如成交供应商违反本项目招标文件中需求书的“★ ”号条款属于根本违约，采购人可单方面解除合同。</w:t>
            </w:r>
          </w:p>
          <w:p w14:paraId="4EDF1BE2">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9.其它违约责任按《中华人民共和国民法典》处理。</w:t>
            </w:r>
          </w:p>
        </w:tc>
        <w:tc>
          <w:tcPr>
            <w:tcW w:w="1425" w:type="dxa"/>
          </w:tcPr>
          <w:p w14:paraId="309C6D61">
            <w:pPr>
              <w:pStyle w:val="21"/>
              <w:rPr>
                <w:rFonts w:ascii="宋体" w:hAnsi="宋体" w:eastAsia="宋体" w:cs="宋体"/>
                <w:lang w:eastAsia="zh-CN"/>
              </w:rPr>
            </w:pPr>
          </w:p>
        </w:tc>
        <w:tc>
          <w:tcPr>
            <w:tcW w:w="978" w:type="dxa"/>
          </w:tcPr>
          <w:p w14:paraId="3DA9A9F7">
            <w:pPr>
              <w:pStyle w:val="21"/>
              <w:rPr>
                <w:rFonts w:ascii="宋体" w:hAnsi="宋体" w:eastAsia="宋体" w:cs="宋体"/>
                <w:lang w:eastAsia="zh-CN"/>
              </w:rPr>
            </w:pPr>
          </w:p>
        </w:tc>
      </w:tr>
    </w:tbl>
    <w:p w14:paraId="37718A46">
      <w:pPr>
        <w:pStyle w:val="11"/>
        <w:spacing w:line="360" w:lineRule="auto"/>
        <w:ind w:firstLine="0"/>
        <w:rPr>
          <w:rFonts w:hint="eastAsia" w:ascii="宋体" w:hAnsi="宋体" w:eastAsia="宋体" w:cs="宋体"/>
          <w:lang w:val="zh-TW" w:eastAsia="zh-TW"/>
        </w:rPr>
      </w:pPr>
    </w:p>
    <w:p w14:paraId="457DE2F7">
      <w:pPr>
        <w:pStyle w:val="11"/>
        <w:spacing w:line="360" w:lineRule="auto"/>
        <w:ind w:firstLine="0"/>
        <w:rPr>
          <w:rFonts w:hint="eastAsia" w:ascii="宋体" w:hAnsi="宋体" w:eastAsia="宋体" w:cs="宋体"/>
          <w:lang w:val="zh-TW" w:eastAsia="zh-TW"/>
        </w:rPr>
      </w:pPr>
    </w:p>
    <w:p w14:paraId="65C9DAD4">
      <w:pPr>
        <w:pStyle w:val="11"/>
        <w:spacing w:line="360" w:lineRule="auto"/>
        <w:ind w:firstLine="0"/>
        <w:rPr>
          <w:rFonts w:hint="eastAsia" w:ascii="宋体" w:hAnsi="宋体" w:eastAsia="宋体" w:cs="宋体"/>
          <w:lang w:val="zh-TW" w:eastAsia="zh-TW"/>
        </w:rPr>
      </w:pPr>
    </w:p>
    <w:p w14:paraId="683383F9">
      <w:pPr>
        <w:pStyle w:val="11"/>
        <w:spacing w:line="360" w:lineRule="auto"/>
        <w:ind w:firstLine="0"/>
        <w:rPr>
          <w:rFonts w:hint="eastAsia" w:ascii="宋体" w:hAnsi="宋体" w:eastAsia="宋体" w:cs="宋体"/>
          <w:lang w:val="zh-TW" w:eastAsia="zh-TW"/>
        </w:rPr>
      </w:pPr>
    </w:p>
    <w:p w14:paraId="5F9F44FE">
      <w:pPr>
        <w:pStyle w:val="17"/>
        <w:numPr>
          <w:ilvl w:val="0"/>
          <w:numId w:val="0"/>
        </w:numPr>
        <w:ind w:leftChars="0"/>
        <w:rPr>
          <w:rFonts w:hint="eastAsia" w:hAnsi="宋体" w:cs="宋体"/>
          <w:b/>
          <w:bCs/>
          <w:color w:val="auto"/>
          <w:kern w:val="2"/>
          <w:sz w:val="21"/>
          <w:szCs w:val="21"/>
          <w:lang w:val="en-US" w:eastAsia="zh-CN" w:bidi="ar-SA"/>
        </w:rPr>
      </w:pPr>
    </w:p>
    <w:p w14:paraId="683D3C9F">
      <w:pPr>
        <w:pStyle w:val="17"/>
        <w:numPr>
          <w:ilvl w:val="0"/>
          <w:numId w:val="0"/>
        </w:numPr>
        <w:ind w:leftChars="0"/>
        <w:rPr>
          <w:rFonts w:hint="eastAsia" w:hAnsi="宋体" w:cs="宋体"/>
          <w:b/>
          <w:bCs/>
          <w:color w:val="auto"/>
          <w:kern w:val="2"/>
          <w:sz w:val="21"/>
          <w:szCs w:val="21"/>
          <w:lang w:val="en-US" w:eastAsia="zh-CN" w:bidi="ar-SA"/>
        </w:rPr>
      </w:pPr>
    </w:p>
    <w:p w14:paraId="7062CED9">
      <w:pPr>
        <w:pStyle w:val="17"/>
        <w:numPr>
          <w:ilvl w:val="0"/>
          <w:numId w:val="0"/>
        </w:numPr>
        <w:ind w:leftChars="0"/>
        <w:rPr>
          <w:rFonts w:hint="eastAsia" w:hAnsi="宋体" w:cs="宋体"/>
          <w:b/>
          <w:bCs/>
          <w:color w:val="auto"/>
          <w:kern w:val="2"/>
          <w:sz w:val="21"/>
          <w:szCs w:val="21"/>
          <w:lang w:val="en-US" w:eastAsia="zh-CN" w:bidi="ar-SA"/>
        </w:rPr>
      </w:pPr>
    </w:p>
    <w:p w14:paraId="1F418DEA">
      <w:pPr>
        <w:pStyle w:val="17"/>
        <w:numPr>
          <w:ilvl w:val="0"/>
          <w:numId w:val="0"/>
        </w:numPr>
        <w:ind w:leftChars="0"/>
        <w:rPr>
          <w:rFonts w:hint="eastAsia" w:hAnsi="宋体" w:cs="宋体"/>
          <w:b/>
          <w:bCs/>
          <w:color w:val="auto"/>
          <w:kern w:val="2"/>
          <w:sz w:val="21"/>
          <w:szCs w:val="21"/>
          <w:lang w:val="en-US" w:eastAsia="zh-CN" w:bidi="ar-SA"/>
        </w:rPr>
      </w:pPr>
    </w:p>
    <w:p w14:paraId="5BE74A72">
      <w:pPr>
        <w:pStyle w:val="17"/>
        <w:numPr>
          <w:ilvl w:val="0"/>
          <w:numId w:val="0"/>
        </w:numPr>
        <w:ind w:leftChars="0"/>
        <w:rPr>
          <w:rFonts w:hint="eastAsia" w:hAnsi="宋体" w:cs="宋体"/>
          <w:b/>
          <w:bCs/>
          <w:color w:val="auto"/>
          <w:kern w:val="2"/>
          <w:sz w:val="21"/>
          <w:szCs w:val="21"/>
          <w:lang w:val="en-US" w:eastAsia="zh-CN" w:bidi="ar-SA"/>
        </w:rPr>
      </w:pPr>
    </w:p>
    <w:p w14:paraId="007642B9">
      <w:pPr>
        <w:pStyle w:val="17"/>
        <w:numPr>
          <w:ilvl w:val="0"/>
          <w:numId w:val="0"/>
        </w:numPr>
        <w:ind w:leftChars="0"/>
        <w:rPr>
          <w:rFonts w:hint="eastAsia" w:hAnsi="宋体" w:cs="宋体"/>
          <w:b/>
          <w:bCs/>
          <w:color w:val="auto"/>
          <w:kern w:val="2"/>
          <w:sz w:val="21"/>
          <w:szCs w:val="21"/>
          <w:lang w:val="en-US" w:eastAsia="zh-CN" w:bidi="ar-SA"/>
        </w:rPr>
      </w:pPr>
    </w:p>
    <w:p w14:paraId="3A6FD4A7">
      <w:pPr>
        <w:pStyle w:val="17"/>
        <w:numPr>
          <w:ilvl w:val="0"/>
          <w:numId w:val="0"/>
        </w:numPr>
        <w:ind w:leftChars="0"/>
        <w:rPr>
          <w:rFonts w:hint="eastAsia" w:hAnsi="宋体" w:cs="宋体"/>
          <w:b/>
          <w:bCs/>
          <w:color w:val="auto"/>
          <w:kern w:val="2"/>
          <w:sz w:val="21"/>
          <w:szCs w:val="21"/>
          <w:lang w:val="en-US" w:eastAsia="zh-CN" w:bidi="ar-SA"/>
        </w:rPr>
      </w:pPr>
    </w:p>
    <w:p w14:paraId="51DE071A">
      <w:pPr>
        <w:pStyle w:val="17"/>
        <w:numPr>
          <w:ilvl w:val="0"/>
          <w:numId w:val="0"/>
        </w:numPr>
        <w:ind w:leftChars="0"/>
        <w:rPr>
          <w:rFonts w:hint="eastAsia" w:hAnsi="宋体" w:cs="宋体"/>
          <w:b/>
          <w:bCs/>
          <w:color w:val="auto"/>
          <w:kern w:val="2"/>
          <w:sz w:val="21"/>
          <w:szCs w:val="21"/>
          <w:lang w:val="en-US" w:eastAsia="zh-CN" w:bidi="ar-SA"/>
        </w:rPr>
      </w:pPr>
    </w:p>
    <w:p w14:paraId="23A19254">
      <w:pPr>
        <w:pStyle w:val="17"/>
        <w:numPr>
          <w:ilvl w:val="0"/>
          <w:numId w:val="0"/>
        </w:numPr>
        <w:ind w:leftChars="0"/>
        <w:rPr>
          <w:rFonts w:hint="eastAsia" w:hAnsi="宋体" w:cs="宋体"/>
          <w:b/>
          <w:bCs/>
          <w:color w:val="auto"/>
          <w:kern w:val="2"/>
          <w:sz w:val="21"/>
          <w:szCs w:val="21"/>
          <w:lang w:val="en-US" w:eastAsia="zh-CN" w:bidi="ar-SA"/>
        </w:rPr>
      </w:pPr>
    </w:p>
    <w:p w14:paraId="57B3868D">
      <w:pPr>
        <w:pStyle w:val="17"/>
        <w:numPr>
          <w:ilvl w:val="0"/>
          <w:numId w:val="0"/>
        </w:numPr>
        <w:ind w:leftChars="0"/>
        <w:rPr>
          <w:rStyle w:val="18"/>
          <w:rFonts w:hint="eastAsia" w:hAnsi="宋体" w:cs="宋体" w:asciiTheme="minorHAnsi"/>
          <w:b/>
          <w:bCs/>
          <w:color w:val="auto"/>
          <w:kern w:val="2"/>
          <w:sz w:val="21"/>
          <w:szCs w:val="21"/>
          <w:lang w:val="en-US" w:eastAsia="zh-CN"/>
        </w:rPr>
      </w:pPr>
      <w:bookmarkStart w:id="12" w:name="_GoBack"/>
      <w:bookmarkEnd w:id="12"/>
      <w:r>
        <w:rPr>
          <w:rFonts w:hint="eastAsia" w:hAnsi="宋体" w:cs="宋体"/>
          <w:b/>
          <w:bCs/>
          <w:color w:val="auto"/>
          <w:kern w:val="2"/>
          <w:sz w:val="21"/>
          <w:szCs w:val="21"/>
          <w:lang w:val="en-US" w:eastAsia="zh-CN" w:bidi="ar-SA"/>
        </w:rPr>
        <w:t>七</w:t>
      </w:r>
      <w:r>
        <w:rPr>
          <w:rStyle w:val="18"/>
          <w:rFonts w:hint="eastAsia" w:hAnsi="宋体" w:cs="宋体" w:asciiTheme="minorHAnsi"/>
          <w:b/>
          <w:bCs/>
          <w:color w:val="auto"/>
          <w:kern w:val="2"/>
          <w:sz w:val="21"/>
          <w:szCs w:val="21"/>
          <w:lang w:val="en-US" w:eastAsia="zh-CN"/>
        </w:rPr>
        <w:t>、供应商认为需要提供的其他材料（如有）</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585D4359">
      <w:pPr>
        <w:spacing w:line="360" w:lineRule="auto"/>
        <w:jc w:val="left"/>
        <w:rPr>
          <w:rFonts w:hint="default" w:ascii="宋体" w:hAnsi="宋体" w:eastAsia="宋体" w:cs="宋体"/>
          <w:sz w:val="24"/>
          <w:szCs w:val="24"/>
          <w:u w:val="none"/>
          <w:lang w:val="en-US" w:eastAsia="zh-CN"/>
        </w:rPr>
      </w:pPr>
    </w:p>
    <w:sectPr>
      <w:headerReference r:id="rId4" w:type="default"/>
      <w:pgSz w:w="11906" w:h="16838"/>
      <w:pgMar w:top="1157" w:right="1800" w:bottom="1157"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94D472E"/>
    <w:rsid w:val="0CA21D1B"/>
    <w:rsid w:val="187F3307"/>
    <w:rsid w:val="1E840AC7"/>
    <w:rsid w:val="20E33B6F"/>
    <w:rsid w:val="20FE31B4"/>
    <w:rsid w:val="28DF6635"/>
    <w:rsid w:val="2A417081"/>
    <w:rsid w:val="2DA35FBA"/>
    <w:rsid w:val="335464C2"/>
    <w:rsid w:val="336E7A0B"/>
    <w:rsid w:val="36E33B5E"/>
    <w:rsid w:val="3824441B"/>
    <w:rsid w:val="3E6B5D05"/>
    <w:rsid w:val="490E789E"/>
    <w:rsid w:val="490F4F35"/>
    <w:rsid w:val="4B7A033A"/>
    <w:rsid w:val="4C551B83"/>
    <w:rsid w:val="53BC3594"/>
    <w:rsid w:val="558C4184"/>
    <w:rsid w:val="602E5C55"/>
    <w:rsid w:val="6051490F"/>
    <w:rsid w:val="612D28B6"/>
    <w:rsid w:val="6B4C6025"/>
    <w:rsid w:val="6BB6035B"/>
    <w:rsid w:val="6C561999"/>
    <w:rsid w:val="70922C0A"/>
    <w:rsid w:val="72D245E7"/>
    <w:rsid w:val="76BE71B6"/>
    <w:rsid w:val="79D14349"/>
    <w:rsid w:val="7B8E386D"/>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5">
    <w:name w:val="Default Paragraph Font"/>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widowControl w:val="0"/>
      <w:spacing w:line="360" w:lineRule="auto"/>
      <w:ind w:left="608" w:hanging="608"/>
      <w:jc w:val="both"/>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2"/>
    <w:basedOn w:val="1"/>
    <w:link w:val="18"/>
    <w:autoRedefine/>
    <w:qFormat/>
    <w:uiPriority w:val="0"/>
    <w:pPr>
      <w:spacing w:after="120" w:line="480" w:lineRule="auto"/>
      <w:ind w:left="420" w:leftChars="200"/>
    </w:pPr>
    <w:rPr>
      <w:szCs w:val="20"/>
    </w:rPr>
  </w:style>
  <w:style w:type="paragraph" w:styleId="8">
    <w:name w:val="footer"/>
    <w:basedOn w:val="1"/>
    <w:qFormat/>
    <w:uiPriority w:val="99"/>
    <w:pPr>
      <w:tabs>
        <w:tab w:val="center" w:pos="4153"/>
        <w:tab w:val="right" w:pos="8306"/>
      </w:tabs>
      <w:snapToGrid w:val="0"/>
      <w:jc w:val="left"/>
    </w:pPr>
    <w:rPr>
      <w:sz w:val="18"/>
    </w:rPr>
  </w:style>
  <w:style w:type="paragraph" w:styleId="9">
    <w:name w:val="toc 1"/>
    <w:basedOn w:val="1"/>
    <w:next w:val="1"/>
    <w:qFormat/>
    <w:uiPriority w:val="39"/>
  </w:style>
  <w:style w:type="paragraph" w:styleId="10">
    <w:name w:val="Normal (Web)"/>
    <w:basedOn w:val="1"/>
    <w:qFormat/>
    <w:uiPriority w:val="99"/>
    <w:pPr>
      <w:widowControl/>
      <w:spacing w:before="100" w:beforeAutospacing="1" w:after="100" w:afterAutospacing="1"/>
      <w:jc w:val="left"/>
    </w:pPr>
    <w:rPr>
      <w:rFonts w:ascii="宋体" w:hAnsi="宋体"/>
      <w:kern w:val="0"/>
      <w:sz w:val="24"/>
    </w:rPr>
  </w:style>
  <w:style w:type="paragraph" w:styleId="11">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2">
    <w:name w:val="Body Text First Indent 2"/>
    <w:basedOn w:val="5"/>
    <w:qFormat/>
    <w:uiPriority w:val="0"/>
    <w:pPr>
      <w:snapToGrid w:val="0"/>
      <w:spacing w:after="120" w:afterLines="0"/>
      <w:ind w:left="420" w:firstLine="420" w:firstLineChars="200"/>
    </w:pPr>
    <w:rPr>
      <w:rFonts w:ascii="Tahoma" w:hAnsi="Tahoma"/>
      <w:kern w:val="2"/>
      <w:szCs w:val="24"/>
    </w:rPr>
  </w:style>
  <w:style w:type="table" w:styleId="14">
    <w:name w:val="Table Grid"/>
    <w:basedOn w:val="13"/>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7">
    <w:name w:val="List Paragraph"/>
    <w:basedOn w:val="1"/>
    <w:autoRedefine/>
    <w:qFormat/>
    <w:uiPriority w:val="34"/>
    <w:pPr>
      <w:ind w:firstLine="420" w:firstLineChars="200"/>
    </w:pPr>
    <w:rPr>
      <w:rFonts w:ascii="Calibri" w:hAnsi="Calibri"/>
      <w:szCs w:val="22"/>
    </w:rPr>
  </w:style>
  <w:style w:type="character" w:customStyle="1" w:styleId="18">
    <w:name w:val="正文文本缩进 2 Char"/>
    <w:link w:val="7"/>
    <w:autoRedefine/>
    <w:qFormat/>
    <w:uiPriority w:val="0"/>
    <w:rPr>
      <w:szCs w:val="20"/>
    </w:rPr>
  </w:style>
  <w:style w:type="paragraph" w:customStyle="1" w:styleId="19">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宋体" w:hAnsi="宋体" w:eastAsia="宋体" w:cs="宋体"/>
      <w:sz w:val="25"/>
      <w:szCs w:val="25"/>
      <w:lang w:val="en-US" w:eastAsia="en-US" w:bidi="ar-SA"/>
    </w:rPr>
  </w:style>
  <w:style w:type="character" w:customStyle="1" w:styleId="22">
    <w:name w:val="font41"/>
    <w:basedOn w:val="15"/>
    <w:qFormat/>
    <w:uiPriority w:val="0"/>
    <w:rPr>
      <w:rFonts w:hint="eastAsia" w:ascii="宋体" w:hAnsi="宋体" w:eastAsia="宋体" w:cs="宋体"/>
      <w:color w:val="000000"/>
      <w:sz w:val="24"/>
      <w:szCs w:val="24"/>
      <w:u w:val="none"/>
    </w:rPr>
  </w:style>
  <w:style w:type="character" w:customStyle="1" w:styleId="23">
    <w:name w:val="font31"/>
    <w:basedOn w:val="15"/>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5981</Words>
  <Characters>6112</Characters>
  <Lines>0</Lines>
  <Paragraphs>0</Paragraphs>
  <TotalTime>0</TotalTime>
  <ScaleCrop>false</ScaleCrop>
  <LinksUpToDate>false</LinksUpToDate>
  <CharactersWithSpaces>6515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18924981193</cp:lastModifiedBy>
  <dcterms:modified xsi:type="dcterms:W3CDTF">2026-09-28T09:43:44Z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ADDCDE4F86FD49D0BAE74623170F1A00_13</vt:lpwstr>
  </property>
  <property fmtid="{D5CDD505-2E9C-101B-9397-08002B2CF9AE}" pid="4" name="KSOTemplateDocerSaveRecord">
    <vt:lpwstr>eyJoZGlkIjoiMDI1YTQ0MGQ2NDc4NmQ3MjU4NTFkMzZmNDA5NDM5ODgiLCJ1c2VySWQiOiI3MDcxOTEyNjEifQ==</vt:lpwstr>
  </property>
</Properties>
</file>