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45DC106">
      <w:pPr>
        <w:spacing w:before="153" w:line="295" w:lineRule="auto"/>
        <w:ind w:right="191"/>
        <w:jc w:val="center"/>
        <w:outlineLvl w:val="0"/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中山市东升医院脉动真空灭菌柜性能</w:t>
      </w: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检测项目（二次）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spacing w:before="229" w:line="378" w:lineRule="auto"/>
        <w:ind w:left="120" w:right="113" w:firstLine="421"/>
        <w:jc w:val="both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4AE4FFC3">
      <w:pPr>
        <w:spacing w:before="76"/>
      </w:pPr>
    </w:p>
    <w:p w14:paraId="145C478F">
      <w:pPr>
        <w:spacing w:before="76"/>
      </w:pPr>
    </w:p>
    <w:p w14:paraId="06CE8DBD">
      <w:pPr>
        <w:spacing w:before="76"/>
      </w:pPr>
    </w:p>
    <w:tbl>
      <w:tblPr>
        <w:tblStyle w:val="9"/>
        <w:tblW w:w="852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413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13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  <w:jc w:val="center"/>
        </w:trPr>
        <w:tc>
          <w:tcPr>
            <w:tcW w:w="3164" w:type="dxa"/>
            <w:vAlign w:val="center"/>
          </w:tcPr>
          <w:p w14:paraId="1CB2EC33">
            <w:pPr>
              <w:ind w:left="142" w:right="108"/>
              <w:jc w:val="center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中山市东升医院脉动</w:t>
            </w:r>
          </w:p>
          <w:p w14:paraId="3FA842E8">
            <w:pPr>
              <w:ind w:left="142" w:right="108"/>
              <w:jc w:val="center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真空灭菌柜性能</w:t>
            </w:r>
          </w:p>
          <w:p w14:paraId="15FE9704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检测项目（二次）</w:t>
            </w:r>
          </w:p>
        </w:tc>
        <w:tc>
          <w:tcPr>
            <w:tcW w:w="2943" w:type="dxa"/>
            <w:vAlign w:val="center"/>
          </w:tcPr>
          <w:p w14:paraId="7DDAFCE5">
            <w:pPr>
              <w:tabs>
                <w:tab w:val="left" w:pos="1770"/>
              </w:tabs>
              <w:jc w:val="center"/>
              <w:outlineLvl w:val="0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413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CFDB52E">
      <w:pPr>
        <w:pStyle w:val="3"/>
        <w:spacing w:line="371" w:lineRule="auto"/>
      </w:pPr>
    </w:p>
    <w:p w14:paraId="2E5522CF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0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报价金额必须为固定报价，不接受区间报价，报价范围不能为负数，否则将被认定为无效投标。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供应商须按要求填写所有信息，报价的金额最多保留一位小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数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点，不得随意更改本表格式。</w:t>
      </w:r>
    </w:p>
    <w:p w14:paraId="31EE09CF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00" w:lineRule="exact"/>
        <w:ind w:left="0" w:leftChars="0" w:firstLine="0" w:firstLineChars="0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本项目的评审采用最低价法方式，在符合项目需求的前提下，选取最低价格为中选供应商。</w:t>
      </w:r>
    </w:p>
    <w:p w14:paraId="06173646">
      <w:pPr>
        <w:pStyle w:val="3"/>
        <w:spacing w:line="247" w:lineRule="auto"/>
        <w:rPr>
          <w:lang w:eastAsia="zh-CN"/>
        </w:rPr>
      </w:pPr>
    </w:p>
    <w:p w14:paraId="5E5536D4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43346DB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FE1AE2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B7B6E8C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E8D04A3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BE7F949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DBCA2B2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F66F77B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324" w:lineRule="auto"/>
        <w:ind w:left="23" w:firstLine="480" w:firstLineChars="200"/>
        <w:textAlignment w:val="baseline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中山市东升医院脉动真空灭菌柜性能检测项目（二次）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相关经营范围的营业执照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23D54E56">
      <w:pPr>
        <w:spacing w:before="41" w:line="228" w:lineRule="auto"/>
        <w:ind w:left="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六、无围标、串标行为声明函</w:t>
      </w:r>
    </w:p>
    <w:p w14:paraId="46DEA0D5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1F6E8CF2">
      <w:pPr>
        <w:pStyle w:val="3"/>
        <w:spacing w:line="373" w:lineRule="auto"/>
        <w:rPr>
          <w:lang w:eastAsia="zh-CN"/>
        </w:rPr>
      </w:pPr>
    </w:p>
    <w:p w14:paraId="2C9DDB3A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中山市东升医院脉动真空灭菌柜性能检测项目（二次）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78416D8E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700E896B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63FEBB2B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60B46159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0DC68F00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2D76146D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0F1DD6B1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121D321">
      <w:pPr>
        <w:pStyle w:val="3"/>
        <w:spacing w:line="283" w:lineRule="auto"/>
        <w:rPr>
          <w:lang w:eastAsia="zh-CN"/>
        </w:rPr>
      </w:pPr>
    </w:p>
    <w:p w14:paraId="6F145D85">
      <w:pPr>
        <w:pStyle w:val="3"/>
        <w:spacing w:line="284" w:lineRule="auto"/>
        <w:rPr>
          <w:lang w:eastAsia="zh-CN"/>
        </w:rPr>
      </w:pPr>
    </w:p>
    <w:p w14:paraId="0CB32484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49D56D4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593E03F9">
      <w:pPr>
        <w:pStyle w:val="3"/>
        <w:spacing w:line="277" w:lineRule="auto"/>
        <w:rPr>
          <w:lang w:eastAsia="zh-CN"/>
        </w:rPr>
      </w:pPr>
    </w:p>
    <w:p w14:paraId="130A4A24">
      <w:pPr>
        <w:pStyle w:val="3"/>
        <w:spacing w:line="277" w:lineRule="auto"/>
        <w:rPr>
          <w:lang w:eastAsia="zh-CN"/>
        </w:rPr>
      </w:pPr>
    </w:p>
    <w:p w14:paraId="379E201F">
      <w:pPr>
        <w:pStyle w:val="3"/>
        <w:spacing w:line="277" w:lineRule="auto"/>
        <w:rPr>
          <w:lang w:eastAsia="zh-CN"/>
        </w:rPr>
      </w:pPr>
    </w:p>
    <w:p w14:paraId="4C47DA1B">
      <w:pPr>
        <w:pStyle w:val="3"/>
        <w:spacing w:line="278" w:lineRule="auto"/>
        <w:rPr>
          <w:lang w:eastAsia="zh-CN"/>
        </w:rPr>
      </w:pPr>
    </w:p>
    <w:p w14:paraId="4CD07A94">
      <w:pPr>
        <w:pStyle w:val="3"/>
        <w:spacing w:line="278" w:lineRule="auto"/>
        <w:rPr>
          <w:lang w:eastAsia="zh-CN"/>
        </w:rPr>
      </w:pPr>
    </w:p>
    <w:p w14:paraId="7A912B19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1B57311D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3B366163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5589425E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有效的《中华人民共和国特种设备检验检测机构核准证》（且核准项目应覆盖压力容器检验）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0" w:lineRule="exact"/>
        <w:ind w:left="26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有效的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u w:val="single"/>
          <w:lang w:val="en-US" w:eastAsia="zh-CN"/>
        </w:rPr>
        <w:t>CMA资质认定证书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（且能力附表应包含“压力蒸汽灭菌器”或相关温度、压力、时间参数检测）</w:t>
      </w:r>
    </w:p>
    <w:p w14:paraId="1C0313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C76AC98">
      <w:pPr>
        <w:tabs>
          <w:tab w:val="left" w:pos="206"/>
        </w:tabs>
        <w:spacing w:before="40" w:line="378" w:lineRule="auto"/>
        <w:ind w:left="23" w:firstLine="5"/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lang w:val="en-US" w:eastAsia="zh-CN"/>
        </w:rPr>
        <w:t>九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、提供  近 12 个月内任何 1 个月编制的财务报表复印件</w:t>
      </w:r>
    </w:p>
    <w:p w14:paraId="302E7261">
      <w:pP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br w:type="page"/>
      </w:r>
    </w:p>
    <w:p w14:paraId="096A66DB">
      <w:pPr>
        <w:pStyle w:val="2"/>
        <w:rPr>
          <w:sz w:val="20"/>
          <w:szCs w:val="20"/>
          <w:lang w:eastAsia="zh-CN"/>
        </w:rPr>
      </w:pPr>
      <w:r>
        <w:rPr>
          <w:rFonts w:hint="eastAsia"/>
          <w:sz w:val="20"/>
          <w:szCs w:val="20"/>
          <w:lang w:val="en-US" w:eastAsia="zh-CN"/>
        </w:rPr>
        <w:t>十</w:t>
      </w:r>
      <w:r>
        <w:rPr>
          <w:sz w:val="20"/>
          <w:szCs w:val="20"/>
          <w:lang w:eastAsia="zh-CN"/>
        </w:rPr>
        <w:t>、近 12 个月内任何时间的纳税证明资料复印件，如依法免税的，应提供相应文件证明</w:t>
      </w:r>
      <w:r>
        <w:rPr>
          <w:rFonts w:hint="eastAsia"/>
          <w:sz w:val="20"/>
          <w:szCs w:val="20"/>
          <w:lang w:eastAsia="zh-CN"/>
        </w:rPr>
        <w:t>。</w:t>
      </w:r>
    </w:p>
    <w:p w14:paraId="119D6574">
      <w:pPr>
        <w:pStyle w:val="2"/>
        <w:rPr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lang w:val="en-US" w:eastAsia="zh-CN"/>
        </w:rPr>
        <w:t>十一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二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三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24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0" w:line="24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hint="eastAsia" w:ascii="Calibri" w:hAnsi="Calibri" w:eastAsia="Calibri" w:cs="Calibri"/>
          <w:spacing w:val="8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24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hint="eastAsia" w:ascii="Calibri" w:hAnsi="Calibri" w:eastAsia="Calibri" w:cs="Calibri"/>
          <w:spacing w:val="7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其中带★的参数是必须完全响应的参数。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加注“▲”的内容为重点评标项目，投标供应商必须对该标识项目按照要求进行真实应答描述。但不作为无效投标条款。</w:t>
      </w:r>
    </w:p>
    <w:p w14:paraId="32B81A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1" w:line="240" w:lineRule="exact"/>
        <w:textAlignment w:val="baseline"/>
        <w:rPr>
          <w:rFonts w:ascii="宋体" w:hAnsi="宋体" w:eastAsia="宋体" w:cs="宋体"/>
          <w:spacing w:val="7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hint="eastAsia" w:ascii="Calibri" w:hAnsi="Calibri" w:eastAsia="Calibri" w:cs="Calibri"/>
          <w:spacing w:val="8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以30条条款计算满足率）</w:t>
      </w:r>
    </w:p>
    <w:p w14:paraId="1BEB5AA2">
      <w:pPr>
        <w:spacing w:before="163"/>
        <w:rPr>
          <w:lang w:eastAsia="zh-CN"/>
        </w:rPr>
      </w:pPr>
    </w:p>
    <w:tbl>
      <w:tblPr>
        <w:tblStyle w:val="9"/>
        <w:tblW w:w="9915" w:type="dxa"/>
        <w:tblInd w:w="-58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675"/>
        <w:gridCol w:w="5834"/>
        <w:gridCol w:w="1425"/>
        <w:gridCol w:w="990"/>
        <w:gridCol w:w="991"/>
      </w:tblGrid>
      <w:tr w14:paraId="1C4472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962" w:hRule="atLeast"/>
        </w:trPr>
        <w:tc>
          <w:tcPr>
            <w:tcW w:w="675" w:type="dxa"/>
            <w:vAlign w:val="center"/>
          </w:tcPr>
          <w:p w14:paraId="5BDB5D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834" w:type="dxa"/>
            <w:vAlign w:val="center"/>
          </w:tcPr>
          <w:p w14:paraId="3674397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425" w:type="dxa"/>
            <w:vAlign w:val="center"/>
          </w:tcPr>
          <w:p w14:paraId="5310B7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1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完全响应或</w:t>
            </w:r>
          </w:p>
          <w:p w14:paraId="53D5C9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1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</w:rPr>
              <w:t>正/负偏离</w:t>
            </w:r>
          </w:p>
        </w:tc>
        <w:tc>
          <w:tcPr>
            <w:tcW w:w="990" w:type="dxa"/>
            <w:vAlign w:val="center"/>
          </w:tcPr>
          <w:p w14:paraId="095715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189B2D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991" w:type="dxa"/>
            <w:vAlign w:val="center"/>
          </w:tcPr>
          <w:p w14:paraId="224991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对应</w:t>
            </w:r>
          </w:p>
          <w:p w14:paraId="641845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452F0D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962" w:hRule="atLeast"/>
        </w:trPr>
        <w:tc>
          <w:tcPr>
            <w:tcW w:w="675" w:type="dxa"/>
            <w:vAlign w:val="center"/>
          </w:tcPr>
          <w:p w14:paraId="65A6A3D8">
            <w:pPr>
              <w:spacing w:before="65" w:line="270" w:lineRule="exact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834" w:type="dxa"/>
          </w:tcPr>
          <w:p w14:paraId="7C4381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一、项目概况</w:t>
            </w:r>
          </w:p>
          <w:p w14:paraId="5FE281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项目名称：中山市东升医院脉动真空灭菌柜性能检测项目（二次）</w:t>
            </w:r>
          </w:p>
          <w:p w14:paraId="18F31B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项目编号：FW-ZB-XDGY-2026029</w:t>
            </w:r>
          </w:p>
          <w:p w14:paraId="7052C3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项目预算：6000元（总价包干、含税价）</w:t>
            </w:r>
          </w:p>
          <w:p w14:paraId="7415C9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 检测项目明细：两台脉动真空灭菌柜共4套常用程序：BD程序和无菌衣程序的性能检测(泄露试验、B-D试验、空载热分布试验{工作压力测试}、满载热穿透试验{工作压力测试}）</w:t>
            </w:r>
          </w:p>
          <w:p w14:paraId="4C9D1CD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未经采购人同意，成交供应商不得以任何方式转包或分包本项目。</w:t>
            </w:r>
          </w:p>
          <w:p w14:paraId="2637B4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ascii="宋体" w:hAnsi="宋体" w:eastAsia="宋体" w:cs="宋体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文件中标有“★”的地方均被视为重要的响应条款，供应商必须完全响应。若有一项带“★”的要求未响应或不满足，将不通过资格性、符合性审查。加注“▲”的内容为重点评标项目，投标供应商必须对该标识项目按照要求进行真实应答描述。但不作为无效投标条款。</w:t>
            </w:r>
          </w:p>
        </w:tc>
        <w:tc>
          <w:tcPr>
            <w:tcW w:w="1425" w:type="dxa"/>
          </w:tcPr>
          <w:p w14:paraId="5B3B314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28582A36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3F436C1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52F080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537" w:hRule="atLeast"/>
        </w:trPr>
        <w:tc>
          <w:tcPr>
            <w:tcW w:w="675" w:type="dxa"/>
            <w:vAlign w:val="center"/>
          </w:tcPr>
          <w:p w14:paraId="2D18E0F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834" w:type="dxa"/>
          </w:tcPr>
          <w:p w14:paraId="6DC620C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二、项目要求</w:t>
            </w:r>
          </w:p>
          <w:p w14:paraId="646E937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★1. 根据2016年发布的《中华人民共和国卫生行业标准WS 310.3-2016》中4.4.2.1.2条款中规定：压力蒸汽灭菌器应每年用温度压力检测仪监测温度、压力和时间等参数，检测仪探头放置与最难灭菌位置。</w:t>
            </w:r>
          </w:p>
          <w:p w14:paraId="66D23CC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为检测提供准确、科学的数据，并对检测结果负责。</w:t>
            </w:r>
          </w:p>
          <w:p w14:paraId="7A3D895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按照检测要求记录检测数据，完成检测数据计算分析及结果报告编写和文印工作。</w:t>
            </w:r>
          </w:p>
          <w:p w14:paraId="7D694EC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★4. 检测后能出具CMA资质认定证书（检验检测机构资质认定）覆盖范围内的检验检测报告纸质版和PDF电子版。</w:t>
            </w:r>
          </w:p>
          <w:p w14:paraId="14805CA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▲5. 负责检测现场的安全检测工作，杜绝安全事故。</w:t>
            </w:r>
          </w:p>
          <w:p w14:paraId="432D5E7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▲6. 至少要提供的资质资料：营业执照、有效的《中华人民共和国特种设备检验检测机构核准证》（且核准项目应覆盖压力容器检验）、有效的CMA资质认定证书（且能力附表应包含“压力蒸汽灭菌器”或相关温度、压力、时间参数检测）。</w:t>
            </w:r>
          </w:p>
        </w:tc>
        <w:tc>
          <w:tcPr>
            <w:tcW w:w="1425" w:type="dxa"/>
          </w:tcPr>
          <w:p w14:paraId="11B334C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0566467E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2916394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6D1AA4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508" w:hRule="atLeast"/>
        </w:trPr>
        <w:tc>
          <w:tcPr>
            <w:tcW w:w="675" w:type="dxa"/>
            <w:vAlign w:val="center"/>
          </w:tcPr>
          <w:p w14:paraId="7A7E1C2D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834" w:type="dxa"/>
          </w:tcPr>
          <w:p w14:paraId="3B058ED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三、检测内容（包括但不限于）</w:t>
            </w:r>
          </w:p>
          <w:p w14:paraId="3B66C78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安全检测</w:t>
            </w:r>
          </w:p>
          <w:p w14:paraId="4CE56FA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（1）灭菌器被人员操作时的安全检测</w:t>
            </w:r>
          </w:p>
          <w:p w14:paraId="6EBCBA7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（2）灭菌器运行时对环境安全检测</w:t>
            </w:r>
          </w:p>
          <w:p w14:paraId="4A53C19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供应介质的压力检查(供水、供蒸汽、压缩空气)</w:t>
            </w:r>
          </w:p>
          <w:p w14:paraId="7F46850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传感器校验</w:t>
            </w:r>
          </w:p>
          <w:p w14:paraId="3E1D912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（1）检测记录传感器偏移量(控制用温度压感器、控制用压力传感器、夹套温度传感器、记录用温度压感器、记录用压力传感器)</w:t>
            </w:r>
          </w:p>
          <w:p w14:paraId="57812B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（2）检验传感器(控制用温度压感器、控制用压力传感器、夹套温度传感器记录用温度压感器、记录用压力传感器)</w:t>
            </w:r>
          </w:p>
          <w:p w14:paraId="76821F8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（3）校正腔体压力开关</w:t>
            </w:r>
          </w:p>
          <w:p w14:paraId="142852F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（4）灭菌时间有效性检测</w:t>
            </w:r>
          </w:p>
          <w:p w14:paraId="70A64F8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 常用难灭菌物品热穿透性测试</w:t>
            </w:r>
          </w:p>
          <w:p w14:paraId="09B8022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（1）日常物品难度分类。</w:t>
            </w:r>
          </w:p>
          <w:p w14:paraId="28E2EDF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（2）1次难灭菌器物品热穿透测试</w:t>
            </w:r>
          </w:p>
          <w:p w14:paraId="2086F85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（3）干燥效果测试</w:t>
            </w:r>
          </w:p>
          <w:p w14:paraId="0ABF79A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数据整理分析与报告</w:t>
            </w:r>
            <w:bookmarkStart w:id="0" w:name="_GoBack"/>
            <w:bookmarkEnd w:id="0"/>
          </w:p>
        </w:tc>
        <w:tc>
          <w:tcPr>
            <w:tcW w:w="1425" w:type="dxa"/>
          </w:tcPr>
          <w:p w14:paraId="6483D143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774B4E9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0EB4FEE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B6EEC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158" w:hRule="atLeast"/>
        </w:trPr>
        <w:tc>
          <w:tcPr>
            <w:tcW w:w="675" w:type="dxa"/>
            <w:vAlign w:val="center"/>
          </w:tcPr>
          <w:p w14:paraId="66BBC161">
            <w:pPr>
              <w:spacing w:before="65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834" w:type="dxa"/>
          </w:tcPr>
          <w:p w14:paraId="272938B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四、付款方式</w:t>
            </w:r>
          </w:p>
          <w:p w14:paraId="4047ACE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检测费用以人民币通过银行转账方式结算，分两期付款：</w:t>
            </w:r>
          </w:p>
          <w:p w14:paraId="42EF9DE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第一期：检测方完成现场检测和出具检测报告后，院方收到检测报告及发票后1个月内支付检测费用50%；</w:t>
            </w:r>
          </w:p>
          <w:p w14:paraId="75D8AE4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第二期：剩余50%检测费用在6个月内支付。</w:t>
            </w:r>
          </w:p>
        </w:tc>
        <w:tc>
          <w:tcPr>
            <w:tcW w:w="1425" w:type="dxa"/>
          </w:tcPr>
          <w:p w14:paraId="193D876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091A4CD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705B311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4E46B6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468" w:hRule="atLeast"/>
        </w:trPr>
        <w:tc>
          <w:tcPr>
            <w:tcW w:w="675" w:type="dxa"/>
            <w:vAlign w:val="center"/>
          </w:tcPr>
          <w:p w14:paraId="7F4016B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834" w:type="dxa"/>
          </w:tcPr>
          <w:p w14:paraId="5864F6C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五、违约责任与赔偿</w:t>
            </w:r>
          </w:p>
          <w:p w14:paraId="72F50D8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逾期违约</w:t>
            </w:r>
          </w:p>
          <w:p w14:paraId="206B9D2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（1）若检测方未按本项目要求时间完成全部检测并提交合格报告，每逾期1个自然日，按合同总金额的1%向医院支付违约金；逾期超过7个自然日，医院有权单方面解除合同，检测方需退还已收全部款项，并按合同总金额的20%支付违约金，同时承担因逾期造成的医院合规风险、院感防控风险等相关损失。</w:t>
            </w:r>
          </w:p>
          <w:p w14:paraId="0F93291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（2）若因检测方原因导致检测中断、无法按计划完成，需提前10个工作日书面告知医院，协商调整检测时间；未经协商擅自中断检测，视为严重违约，医院有权扣除合同总金额的30%作为违约金，并保留追究相关责任的权利。</w:t>
            </w:r>
          </w:p>
          <w:p w14:paraId="11BFC12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资质与合规违约</w:t>
            </w:r>
          </w:p>
          <w:p w14:paraId="3B04B6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若检测方提供虚假、过期、不完整（包括但不限于缺少有效的特种设备核准证或CMA证书）或CMA能力范围不覆盖本次检测项目的资质文件，或检测过程不符合国家强制标准、行业规范要求，一经查实，医院有权立即终止合作，检测方需全额退还已收款项，并按合同总金额的50%支付违约金，同时承担由此引发的一切法律责任与合规风险。</w:t>
            </w:r>
          </w:p>
          <w:p w14:paraId="1607D89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3. 报告与数据违约</w:t>
            </w:r>
          </w:p>
          <w:p w14:paraId="63A5819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若检测方出具的报告存在数据造假、内容错误、未加盖CMA章、未按规范要求编制等问题，需在3个工作日内免费重新检测并出具合格报告，同时按合同总金额的20%支付违约金；若重新检测仍不合格，医院有权解除合同，检测方需全额退款并按合同总金额的50%支付违约金。</w:t>
            </w:r>
          </w:p>
          <w:p w14:paraId="2CCBB4E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4. 费用与合同约定</w:t>
            </w:r>
          </w:p>
          <w:p w14:paraId="4C62CE4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首次检测不合格产生的复检、技术支持等所有费用，均包含在本项目预算内，医院不额外支付任何费用。</w:t>
            </w:r>
          </w:p>
        </w:tc>
        <w:tc>
          <w:tcPr>
            <w:tcW w:w="1425" w:type="dxa"/>
          </w:tcPr>
          <w:p w14:paraId="400EB20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4379F7B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70CDD97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61035A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289" w:hRule="atLeast"/>
        </w:trPr>
        <w:tc>
          <w:tcPr>
            <w:tcW w:w="675" w:type="dxa"/>
            <w:vAlign w:val="center"/>
          </w:tcPr>
          <w:p w14:paraId="1F8C68BB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val="en-US" w:eastAsia="zh-CN"/>
              </w:rPr>
              <w:t>6</w:t>
            </w:r>
          </w:p>
        </w:tc>
        <w:tc>
          <w:tcPr>
            <w:tcW w:w="5834" w:type="dxa"/>
          </w:tcPr>
          <w:p w14:paraId="2B8C894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六、评审方式</w:t>
            </w:r>
          </w:p>
          <w:p w14:paraId="23DB4F3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exact"/>
              <w:ind w:firstLine="400" w:firstLineChars="200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本项目的评审采用最低价法方式（格式详见响应文件模板中（一）报价单），在符合项目需求的前提下，选取最低价格为中选供应商，如有两家或以上供应商相同报价时，由评审专家按服务方案优劣等综合因素择优选取。</w:t>
            </w:r>
          </w:p>
        </w:tc>
        <w:tc>
          <w:tcPr>
            <w:tcW w:w="1425" w:type="dxa"/>
          </w:tcPr>
          <w:p w14:paraId="726F089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0" w:type="dxa"/>
          </w:tcPr>
          <w:p w14:paraId="2E1A1AF2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1" w:type="dxa"/>
          </w:tcPr>
          <w:p w14:paraId="018FA40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678982BE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1665E696">
      <w:pPr>
        <w:spacing w:before="41" w:line="227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十四、承诺函（格式自拟）；须承诺：1.根据2016年发布的《中华人民共和国卫生行业标准WS 310.3-2016》中4.4.2.1.2条款中规定：压力蒸汽灭菌器应每年用温度压力检测仪监测温度、压力和时间等参数，检测仪探头放置与最难灭菌位置:2.检测后能出具CMA资质认定证书（检验检测机构资质认定）覆盖范围内的检验检测报告纸质版和PDF电子版。</w:t>
      </w:r>
    </w:p>
    <w:p w14:paraId="48BE8673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br w:type="page"/>
      </w:r>
    </w:p>
    <w:p w14:paraId="37C98485">
      <w:pPr>
        <w:spacing w:before="41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、项目整体实施方案（格式自拟）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十六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认为需要提供的其他材料（如无、可删）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1701" w:bottom="907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4F55503"/>
    <w:rsid w:val="05D250F6"/>
    <w:rsid w:val="07DE22A7"/>
    <w:rsid w:val="0A1B60BD"/>
    <w:rsid w:val="0A382368"/>
    <w:rsid w:val="0E881903"/>
    <w:rsid w:val="0E9C78E3"/>
    <w:rsid w:val="10063231"/>
    <w:rsid w:val="126C008B"/>
    <w:rsid w:val="13666B31"/>
    <w:rsid w:val="16DD5993"/>
    <w:rsid w:val="17342F98"/>
    <w:rsid w:val="18C80C4B"/>
    <w:rsid w:val="1A2A55D2"/>
    <w:rsid w:val="1E9D0594"/>
    <w:rsid w:val="1EA21FDF"/>
    <w:rsid w:val="1EDF5020"/>
    <w:rsid w:val="20607AD1"/>
    <w:rsid w:val="20BE2A44"/>
    <w:rsid w:val="22732647"/>
    <w:rsid w:val="23487B36"/>
    <w:rsid w:val="2695736E"/>
    <w:rsid w:val="26B446CD"/>
    <w:rsid w:val="295E287B"/>
    <w:rsid w:val="2E4E00D9"/>
    <w:rsid w:val="303651EF"/>
    <w:rsid w:val="34FB4D56"/>
    <w:rsid w:val="35A042B7"/>
    <w:rsid w:val="36073C0B"/>
    <w:rsid w:val="38A61FE4"/>
    <w:rsid w:val="3B082DE1"/>
    <w:rsid w:val="3EA37D2A"/>
    <w:rsid w:val="3EB26D88"/>
    <w:rsid w:val="3F301AC1"/>
    <w:rsid w:val="3F314B61"/>
    <w:rsid w:val="40070C31"/>
    <w:rsid w:val="40671DCB"/>
    <w:rsid w:val="40C03509"/>
    <w:rsid w:val="410906FA"/>
    <w:rsid w:val="48681F60"/>
    <w:rsid w:val="4A4831FA"/>
    <w:rsid w:val="4AD416BE"/>
    <w:rsid w:val="4AEA4ACB"/>
    <w:rsid w:val="4C030C69"/>
    <w:rsid w:val="50573AD2"/>
    <w:rsid w:val="5178029F"/>
    <w:rsid w:val="556A1102"/>
    <w:rsid w:val="5774562F"/>
    <w:rsid w:val="583062A5"/>
    <w:rsid w:val="58514D81"/>
    <w:rsid w:val="5D861D83"/>
    <w:rsid w:val="5E5E5F4E"/>
    <w:rsid w:val="692B7560"/>
    <w:rsid w:val="6E273416"/>
    <w:rsid w:val="71ED4D1B"/>
    <w:rsid w:val="73252077"/>
    <w:rsid w:val="7372318C"/>
    <w:rsid w:val="75E87F4B"/>
    <w:rsid w:val="782E64D9"/>
    <w:rsid w:val="790F76AC"/>
    <w:rsid w:val="7A657D9C"/>
    <w:rsid w:val="7CBE4AD3"/>
    <w:rsid w:val="7DE524A4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8">
    <w:name w:val="Strong"/>
    <w:basedOn w:val="7"/>
    <w:qFormat/>
    <w:uiPriority w:val="0"/>
    <w:rPr>
      <w:b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</w:style>
  <w:style w:type="character" w:customStyle="1" w:styleId="11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19</Pages>
  <Words>4783</Words>
  <Characters>5018</Characters>
  <Lines>55</Lines>
  <Paragraphs>15</Paragraphs>
  <TotalTime>143</TotalTime>
  <ScaleCrop>false</ScaleCrop>
  <LinksUpToDate>false</LinksUpToDate>
  <CharactersWithSpaces>5372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cp:lastPrinted>2026-06-12T04:04:16Z</cp:lastPrinted>
  <dcterms:modified xsi:type="dcterms:W3CDTF">2026-06-12T06:30:03Z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615208E863F54028A28B808C60B4BF72_13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