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789D0ABF">
      <w:pPr>
        <w:keepNext w:val="0"/>
        <w:keepLines w:val="0"/>
        <w:pageBreakBefore w:val="0"/>
        <w:widowControl/>
        <w:kinsoku w:val="0"/>
        <w:wordWrap/>
        <w:overflowPunct/>
        <w:topLinePunct w:val="0"/>
        <w:autoSpaceDE w:val="0"/>
        <w:autoSpaceDN w:val="0"/>
        <w:bidi w:val="0"/>
        <w:adjustRightInd w:val="0"/>
        <w:snapToGrid w:val="0"/>
        <w:spacing w:line="296" w:lineRule="auto"/>
        <w:ind w:right="193"/>
        <w:jc w:val="center"/>
        <w:textAlignment w:val="baseline"/>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中山市东升医院2026-2028年度医疗综合楼水箱清洗、消毒及水样化验项目</w:t>
      </w:r>
    </w:p>
    <w:p w14:paraId="61EA706F">
      <w:pPr>
        <w:keepNext w:val="0"/>
        <w:keepLines w:val="0"/>
        <w:pageBreakBefore w:val="0"/>
        <w:widowControl/>
        <w:kinsoku w:val="0"/>
        <w:wordWrap/>
        <w:overflowPunct/>
        <w:topLinePunct w:val="0"/>
        <w:autoSpaceDE w:val="0"/>
        <w:autoSpaceDN w:val="0"/>
        <w:bidi w:val="0"/>
        <w:adjustRightInd w:val="0"/>
        <w:snapToGrid w:val="0"/>
        <w:spacing w:line="296" w:lineRule="auto"/>
        <w:ind w:right="193"/>
        <w:jc w:val="center"/>
        <w:textAlignment w:val="baseline"/>
        <w:outlineLvl w:val="0"/>
        <w:rPr>
          <w:rFonts w:ascii="宋体" w:hAnsi="宋体" w:eastAsia="宋体" w:cs="宋体"/>
          <w:sz w:val="47"/>
          <w:szCs w:val="47"/>
          <w:lang w:eastAsia="zh-CN"/>
        </w:rPr>
      </w:pP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24" w:lineRule="auto"/>
        <w:jc w:val="center"/>
        <w:textAlignment w:val="baseline"/>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145C478F">
      <w:pPr>
        <w:keepNext w:val="0"/>
        <w:keepLines w:val="0"/>
        <w:pageBreakBefore w:val="0"/>
        <w:widowControl/>
        <w:kinsoku w:val="0"/>
        <w:wordWrap/>
        <w:overflowPunct/>
        <w:topLinePunct w:val="0"/>
        <w:autoSpaceDE w:val="0"/>
        <w:autoSpaceDN w:val="0"/>
        <w:bidi w:val="0"/>
        <w:adjustRightInd w:val="0"/>
        <w:snapToGrid w:val="0"/>
        <w:spacing w:after="0" w:afterLines="30" w:line="320" w:lineRule="exact"/>
        <w:ind w:left="119" w:right="113" w:firstLine="420"/>
        <w:jc w:val="both"/>
        <w:textAlignment w:val="baseline"/>
        <w:rPr>
          <w:rFonts w:ascii="宋体" w:hAnsi="宋体" w:eastAsia="宋体" w:cs="宋体"/>
          <w:spacing w:val="9"/>
          <w:sz w:val="21"/>
          <w:szCs w:val="21"/>
        </w:rPr>
      </w:pPr>
      <w:r>
        <w:rPr>
          <w:rFonts w:ascii="宋体" w:hAnsi="宋体" w:eastAsia="宋体" w:cs="宋体"/>
          <w:spacing w:val="12"/>
          <w:sz w:val="21"/>
          <w:szCs w:val="21"/>
          <w:lang w:eastAsia="zh-CN"/>
        </w:rPr>
        <w:t>我单位作为参选人,对此次评审活动中我方所承诺的条款已经完全明确,也深知所承诺</w:t>
      </w:r>
      <w:r>
        <w:rPr>
          <w:rFonts w:ascii="宋体" w:hAnsi="宋体" w:eastAsia="宋体" w:cs="宋体"/>
          <w:spacing w:val="7"/>
          <w:sz w:val="21"/>
          <w:szCs w:val="21"/>
          <w:lang w:eastAsia="zh-CN"/>
        </w:rPr>
        <w:t>的事项和作出的报价可能给我方带来的风险和后果。如果我方在评审活动中有弄虚作假等违</w:t>
      </w:r>
      <w:r>
        <w:rPr>
          <w:rFonts w:ascii="宋体" w:hAnsi="宋体" w:eastAsia="宋体" w:cs="宋体"/>
          <w:spacing w:val="10"/>
          <w:sz w:val="21"/>
          <w:szCs w:val="21"/>
          <w:lang w:eastAsia="zh-CN"/>
        </w:rPr>
        <w:t>法违规行为，以及中选后因报价低或不执行承诺条款而不履约</w:t>
      </w:r>
      <w:r>
        <w:rPr>
          <w:rFonts w:ascii="宋体" w:hAnsi="宋体" w:eastAsia="宋体" w:cs="宋体"/>
          <w:spacing w:val="9"/>
          <w:sz w:val="21"/>
          <w:szCs w:val="21"/>
          <w:lang w:eastAsia="zh-CN"/>
        </w:rPr>
        <w:t>,本单位愿承担一切责任（包括赔偿损失、取消评审及中选资格等）。</w:t>
      </w:r>
      <w:r>
        <w:rPr>
          <w:rFonts w:ascii="宋体" w:hAnsi="宋体" w:eastAsia="宋体" w:cs="宋体"/>
          <w:spacing w:val="9"/>
          <w:sz w:val="21"/>
          <w:szCs w:val="21"/>
        </w:rPr>
        <w:t>我单位本次报价为：</w:t>
      </w:r>
    </w:p>
    <w:p w14:paraId="0FB0E9D6">
      <w:pPr>
        <w:keepNext w:val="0"/>
        <w:keepLines w:val="0"/>
        <w:pageBreakBefore w:val="0"/>
        <w:widowControl/>
        <w:kinsoku w:val="0"/>
        <w:wordWrap/>
        <w:overflowPunct/>
        <w:topLinePunct w:val="0"/>
        <w:autoSpaceDE w:val="0"/>
        <w:autoSpaceDN w:val="0"/>
        <w:bidi w:val="0"/>
        <w:adjustRightInd w:val="0"/>
        <w:snapToGrid w:val="0"/>
        <w:spacing w:after="0" w:afterLines="30" w:line="320" w:lineRule="exact"/>
        <w:ind w:left="119" w:right="113" w:firstLine="420"/>
        <w:jc w:val="both"/>
        <w:textAlignment w:val="baseline"/>
        <w:rPr>
          <w:rFonts w:ascii="宋体" w:hAnsi="宋体" w:eastAsia="宋体" w:cs="宋体"/>
          <w:spacing w:val="9"/>
          <w:sz w:val="21"/>
          <w:szCs w:val="21"/>
        </w:rPr>
      </w:pPr>
    </w:p>
    <w:tbl>
      <w:tblPr>
        <w:tblStyle w:val="11"/>
        <w:tblW w:w="476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5" w:type="dxa"/>
          <w:left w:w="85" w:type="dxa"/>
          <w:bottom w:w="85" w:type="dxa"/>
          <w:right w:w="85" w:type="dxa"/>
        </w:tblCellMar>
      </w:tblPr>
      <w:tblGrid>
        <w:gridCol w:w="3687"/>
        <w:gridCol w:w="3629"/>
        <w:gridCol w:w="2132"/>
      </w:tblGrid>
      <w:tr w14:paraId="5BB8C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839" w:hRule="atLeast"/>
          <w:jc w:val="center"/>
        </w:trPr>
        <w:tc>
          <w:tcPr>
            <w:tcW w:w="1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16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项目名称</w:t>
            </w:r>
          </w:p>
        </w:tc>
        <w:tc>
          <w:tcPr>
            <w:tcW w:w="19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7F9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报价金额</w:t>
            </w:r>
          </w:p>
          <w:p w14:paraId="514BB0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（元）</w:t>
            </w:r>
          </w:p>
        </w:tc>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5B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备注</w:t>
            </w:r>
          </w:p>
        </w:tc>
      </w:tr>
      <w:tr w14:paraId="7DEF4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1270" w:hRule="exact"/>
          <w:jc w:val="center"/>
        </w:trPr>
        <w:tc>
          <w:tcPr>
            <w:tcW w:w="1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627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中山市东升医院2026-2028年度</w:t>
            </w:r>
          </w:p>
          <w:p w14:paraId="517CBEF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医疗综合楼水箱清洗、消毒</w:t>
            </w:r>
          </w:p>
          <w:p w14:paraId="7A8918A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及水样化验项目</w:t>
            </w:r>
          </w:p>
        </w:tc>
        <w:tc>
          <w:tcPr>
            <w:tcW w:w="19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DCBB">
            <w:pPr>
              <w:keepNext w:val="0"/>
              <w:keepLines w:val="0"/>
              <w:pageBreakBefore w:val="0"/>
              <w:widowControl w:val="0"/>
              <w:kinsoku/>
              <w:wordWrap/>
              <w:overflowPunct/>
              <w:topLinePunct w:val="0"/>
              <w:autoSpaceDE/>
              <w:autoSpaceDN/>
              <w:bidi w:val="0"/>
              <w:adjustRightInd/>
              <w:snapToGrid/>
              <w:spacing w:line="340" w:lineRule="exact"/>
              <w:ind w:firstLine="663" w:firstLineChars="300"/>
              <w:jc w:val="both"/>
              <w:textAlignment w:val="auto"/>
              <w:rPr>
                <w:rFonts w:hint="default" w:ascii="宋体" w:hAnsi="宋体" w:eastAsia="宋体" w:cs="宋体"/>
                <w:b/>
                <w:bCs w:val="0"/>
                <w:snapToGrid/>
                <w:color w:val="auto"/>
                <w:kern w:val="2"/>
                <w:sz w:val="22"/>
                <w:szCs w:val="22"/>
                <w:highlight w:val="none"/>
                <w:u w:val="none"/>
                <w:lang w:val="en-US" w:eastAsia="zh-CN"/>
              </w:rPr>
            </w:pPr>
            <w:r>
              <w:rPr>
                <w:rFonts w:hint="eastAsia" w:ascii="宋体" w:hAnsi="宋体" w:eastAsia="宋体" w:cs="宋体"/>
                <w:b/>
                <w:bCs w:val="0"/>
                <w:snapToGrid/>
                <w:color w:val="auto"/>
                <w:kern w:val="2"/>
                <w:sz w:val="22"/>
                <w:szCs w:val="22"/>
                <w:highlight w:val="none"/>
                <w:u w:val="single"/>
                <w:lang w:val="en-US" w:eastAsia="zh-CN"/>
              </w:rPr>
              <w:t xml:space="preserve">                  </w:t>
            </w:r>
            <w:r>
              <w:rPr>
                <w:rFonts w:hint="eastAsia" w:ascii="宋体" w:hAnsi="宋体" w:eastAsia="宋体" w:cs="宋体"/>
                <w:b/>
                <w:bCs w:val="0"/>
                <w:snapToGrid/>
                <w:color w:val="auto"/>
                <w:kern w:val="2"/>
                <w:sz w:val="22"/>
                <w:szCs w:val="22"/>
                <w:highlight w:val="none"/>
                <w:u w:val="none"/>
                <w:lang w:val="en-US" w:eastAsia="zh-CN"/>
              </w:rPr>
              <w:t xml:space="preserve"> 元</w:t>
            </w:r>
          </w:p>
        </w:tc>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EF1DE">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p>
        </w:tc>
      </w:tr>
    </w:tbl>
    <w:p w14:paraId="605D75D2">
      <w:pPr>
        <w:pStyle w:val="3"/>
        <w:keepNext w:val="0"/>
        <w:keepLines w:val="0"/>
        <w:pageBreakBefore w:val="0"/>
        <w:widowControl/>
        <w:kinsoku w:val="0"/>
        <w:wordWrap/>
        <w:overflowPunct/>
        <w:topLinePunct w:val="0"/>
        <w:autoSpaceDE w:val="0"/>
        <w:autoSpaceDN w:val="0"/>
        <w:bidi w:val="0"/>
        <w:adjustRightInd w:val="0"/>
        <w:snapToGrid w:val="0"/>
        <w:spacing w:before="0" w:beforeLines="80" w:line="220" w:lineRule="exact"/>
        <w:textAlignment w:val="baseline"/>
        <w:rPr>
          <w:rFonts w:ascii="宋体" w:hAnsi="宋体" w:eastAsia="宋体" w:cs="宋体"/>
          <w:b/>
          <w:bCs/>
          <w:spacing w:val="7"/>
          <w:sz w:val="20"/>
          <w:szCs w:val="20"/>
          <w:lang w:eastAsia="zh-CN"/>
        </w:rPr>
      </w:pPr>
    </w:p>
    <w:p w14:paraId="1EFC8127">
      <w:pPr>
        <w:pStyle w:val="3"/>
        <w:keepNext w:val="0"/>
        <w:keepLines w:val="0"/>
        <w:pageBreakBefore w:val="0"/>
        <w:widowControl/>
        <w:kinsoku w:val="0"/>
        <w:wordWrap/>
        <w:overflowPunct/>
        <w:topLinePunct w:val="0"/>
        <w:autoSpaceDE w:val="0"/>
        <w:autoSpaceDN w:val="0"/>
        <w:bidi w:val="0"/>
        <w:adjustRightInd w:val="0"/>
        <w:snapToGrid w:val="0"/>
        <w:spacing w:before="0" w:beforeLines="80" w:line="220" w:lineRule="exact"/>
        <w:textAlignment w:val="baseline"/>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A9CB3C0">
      <w:pPr>
        <w:pStyle w:val="4"/>
        <w:keepNext w:val="0"/>
        <w:keepLines w:val="0"/>
        <w:pageBreakBefore w:val="0"/>
        <w:widowControl w:val="0"/>
        <w:kinsoku/>
        <w:wordWrap/>
        <w:overflowPunct/>
        <w:topLinePunct w:val="0"/>
        <w:autoSpaceDE w:val="0"/>
        <w:autoSpaceDN w:val="0"/>
        <w:bidi w:val="0"/>
        <w:adjustRightInd w:val="0"/>
        <w:snapToGrid/>
        <w:spacing w:before="0" w:beforeLines="50" w:line="24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1. 供应商的报价应当涵盖提供本项目服务所需的全部费用，包括材料费、运输费、人工费、水质化验费、税费以及全部技术服务、售后服务相关费用；报价以人民币为计价单位，须清晰列明单价、小计及总价。</w:t>
      </w:r>
    </w:p>
    <w:p w14:paraId="6CA3651C">
      <w:pPr>
        <w:pStyle w:val="4"/>
        <w:keepNext w:val="0"/>
        <w:keepLines w:val="0"/>
        <w:pageBreakBefore w:val="0"/>
        <w:widowControl w:val="0"/>
        <w:kinsoku/>
        <w:wordWrap/>
        <w:overflowPunct/>
        <w:topLinePunct w:val="0"/>
        <w:autoSpaceDE w:val="0"/>
        <w:autoSpaceDN w:val="0"/>
        <w:bidi w:val="0"/>
        <w:adjustRightInd w:val="0"/>
        <w:snapToGrid/>
        <w:spacing w:before="0" w:beforeLines="50" w:line="24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2. 本项目不接受备选方案，所有响应供应商仅有一次报价机会。</w:t>
      </w:r>
    </w:p>
    <w:p w14:paraId="39C6A957">
      <w:pPr>
        <w:pStyle w:val="4"/>
        <w:keepNext w:val="0"/>
        <w:keepLines w:val="0"/>
        <w:pageBreakBefore w:val="0"/>
        <w:widowControl w:val="0"/>
        <w:kinsoku/>
        <w:wordWrap/>
        <w:overflowPunct/>
        <w:topLinePunct w:val="0"/>
        <w:autoSpaceDE w:val="0"/>
        <w:autoSpaceDN w:val="0"/>
        <w:bidi w:val="0"/>
        <w:adjustRightInd w:val="0"/>
        <w:snapToGrid/>
        <w:spacing w:before="0" w:beforeLines="50" w:line="24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3. 本项目不接受联合体投标，供应商须独家参与投标，成交后必须由中标人自行完成全部服务内容，严禁分包、转包。</w:t>
      </w:r>
    </w:p>
    <w:p w14:paraId="741DC620">
      <w:pPr>
        <w:pStyle w:val="4"/>
        <w:keepNext w:val="0"/>
        <w:keepLines w:val="0"/>
        <w:pageBreakBefore w:val="0"/>
        <w:widowControl w:val="0"/>
        <w:kinsoku/>
        <w:wordWrap/>
        <w:overflowPunct/>
        <w:topLinePunct w:val="0"/>
        <w:autoSpaceDE w:val="0"/>
        <w:autoSpaceDN w:val="0"/>
        <w:bidi w:val="0"/>
        <w:adjustRightInd w:val="0"/>
        <w:snapToGrid/>
        <w:spacing w:before="0" w:beforeLines="50" w:line="24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4. 若响应供应商在报价阶段或项目实施过程中存在报价内容遗漏，其漏报、少报的费用均视为已包含在投标报价之中，中标人不得再向采购人主张收取任何额外费用。</w:t>
      </w:r>
    </w:p>
    <w:p w14:paraId="50B18AB4">
      <w:pPr>
        <w:pStyle w:val="4"/>
        <w:keepNext w:val="0"/>
        <w:keepLines w:val="0"/>
        <w:pageBreakBefore w:val="0"/>
        <w:widowControl w:val="0"/>
        <w:kinsoku/>
        <w:wordWrap/>
        <w:overflowPunct/>
        <w:topLinePunct w:val="0"/>
        <w:autoSpaceDE w:val="0"/>
        <w:autoSpaceDN w:val="0"/>
        <w:bidi w:val="0"/>
        <w:adjustRightInd w:val="0"/>
        <w:snapToGrid/>
        <w:spacing w:before="0" w:beforeLines="50" w:line="240" w:lineRule="exact"/>
        <w:textAlignment w:val="auto"/>
        <w:rPr>
          <w:rFonts w:hint="default" w:ascii="宋体" w:hAnsi="宋体" w:eastAsia="宋体" w:cs="宋体"/>
          <w:b/>
          <w:bCs/>
          <w:spacing w:val="7"/>
          <w:sz w:val="20"/>
          <w:szCs w:val="20"/>
          <w:highlight w:val="none"/>
          <w:lang w:val="en-US" w:eastAsia="zh-CN"/>
        </w:rPr>
      </w:pPr>
      <w:r>
        <w:rPr>
          <w:rFonts w:hint="eastAsia" w:hAnsi="宋体" w:cs="宋体"/>
          <w:b/>
          <w:bCs/>
          <w:spacing w:val="7"/>
          <w:sz w:val="20"/>
          <w:szCs w:val="20"/>
          <w:highlight w:val="none"/>
          <w:lang w:val="en-US" w:eastAsia="zh-CN"/>
        </w:rPr>
        <w:t>5. 本项目采用经评审的最低投标价法开展评审工作，在满足采购需求书实质性要求的前提下，确定投标报价最低的投标人为中标候选人（报价格式详见附件二《响应文件模板》）。如有两家或以上供应商相同报价时，以平台响应报名时间更早者为优先。</w:t>
      </w:r>
    </w:p>
    <w:p w14:paraId="135A0D05">
      <w:pPr>
        <w:pStyle w:val="4"/>
        <w:rPr>
          <w:rFonts w:ascii="宋体" w:hAnsi="宋体" w:eastAsia="宋体" w:cs="宋体"/>
          <w:spacing w:val="2"/>
          <w:sz w:val="24"/>
          <w:szCs w:val="24"/>
          <w:lang w:eastAsia="zh-CN"/>
        </w:rPr>
      </w:pPr>
      <w:bookmarkStart w:id="0" w:name="_GoBack"/>
      <w:bookmarkEnd w:id="0"/>
    </w:p>
    <w:p w14:paraId="07D5336F">
      <w:pPr>
        <w:pStyle w:val="4"/>
        <w:rPr>
          <w:rFonts w:ascii="宋体" w:hAnsi="宋体" w:eastAsia="宋体" w:cs="宋体"/>
          <w:spacing w:val="2"/>
          <w:sz w:val="24"/>
          <w:szCs w:val="24"/>
          <w:lang w:eastAsia="zh-CN"/>
        </w:rPr>
      </w:pPr>
    </w:p>
    <w:p w14:paraId="613E1D43">
      <w:pPr>
        <w:pStyle w:val="4"/>
        <w:rPr>
          <w:rFonts w:ascii="宋体" w:hAnsi="宋体" w:eastAsia="宋体" w:cs="宋体"/>
          <w:spacing w:val="2"/>
          <w:sz w:val="24"/>
          <w:szCs w:val="24"/>
          <w:lang w:eastAsia="zh-CN"/>
        </w:rPr>
      </w:pPr>
    </w:p>
    <w:p w14:paraId="7DB6925F">
      <w:pPr>
        <w:pStyle w:val="4"/>
        <w:rPr>
          <w:rFonts w:ascii="宋体" w:hAnsi="宋体" w:eastAsia="宋体" w:cs="宋体"/>
          <w:spacing w:val="2"/>
          <w:sz w:val="24"/>
          <w:szCs w:val="24"/>
          <w:lang w:eastAsia="zh-CN"/>
        </w:rPr>
      </w:pPr>
    </w:p>
    <w:p w14:paraId="73290A1F">
      <w:pPr>
        <w:pStyle w:val="4"/>
        <w:rPr>
          <w:rFonts w:ascii="宋体" w:hAnsi="宋体" w:eastAsia="宋体" w:cs="宋体"/>
          <w:spacing w:val="2"/>
          <w:sz w:val="24"/>
          <w:szCs w:val="24"/>
          <w:lang w:eastAsia="zh-CN"/>
        </w:rPr>
      </w:pPr>
    </w:p>
    <w:p w14:paraId="65645BEB">
      <w:pPr>
        <w:keepNext w:val="0"/>
        <w:keepLines w:val="0"/>
        <w:pageBreakBefore w:val="0"/>
        <w:widowControl/>
        <w:kinsoku w:val="0"/>
        <w:wordWrap/>
        <w:overflowPunct/>
        <w:topLinePunct w:val="0"/>
        <w:autoSpaceDE w:val="0"/>
        <w:autoSpaceDN w:val="0"/>
        <w:bidi w:val="0"/>
        <w:adjustRightInd w:val="0"/>
        <w:snapToGrid w:val="0"/>
        <w:spacing w:line="460" w:lineRule="exact"/>
        <w:ind w:left="122"/>
        <w:textAlignment w:val="baseline"/>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keepNext w:val="0"/>
        <w:keepLines w:val="0"/>
        <w:pageBreakBefore w:val="0"/>
        <w:widowControl/>
        <w:kinsoku w:val="0"/>
        <w:wordWrap/>
        <w:overflowPunct/>
        <w:topLinePunct w:val="0"/>
        <w:autoSpaceDE w:val="0"/>
        <w:autoSpaceDN w:val="0"/>
        <w:bidi w:val="0"/>
        <w:adjustRightInd w:val="0"/>
        <w:snapToGrid w:val="0"/>
        <w:spacing w:line="460" w:lineRule="exact"/>
        <w:ind w:left="133" w:right="4812" w:hanging="10"/>
        <w:textAlignment w:val="baseline"/>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keepNext w:val="0"/>
        <w:keepLines w:val="0"/>
        <w:pageBreakBefore w:val="0"/>
        <w:widowControl/>
        <w:kinsoku w:val="0"/>
        <w:wordWrap/>
        <w:overflowPunct/>
        <w:topLinePunct w:val="0"/>
        <w:autoSpaceDE w:val="0"/>
        <w:autoSpaceDN w:val="0"/>
        <w:bidi w:val="0"/>
        <w:adjustRightInd w:val="0"/>
        <w:snapToGrid w:val="0"/>
        <w:spacing w:line="460" w:lineRule="exact"/>
        <w:ind w:left="112"/>
        <w:textAlignment w:val="baseline"/>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ascii="宋体" w:hAnsi="宋体" w:eastAsia="宋体" w:cs="宋体"/>
          <w:sz w:val="24"/>
          <w:szCs w:val="24"/>
          <w:lang w:eastAsia="zh-CN"/>
        </w:rPr>
        <w:sectPr>
          <w:footerReference r:id="rId3" w:type="default"/>
          <w:pgSz w:w="11900" w:h="16840"/>
          <w:pgMar w:top="907" w:right="1077" w:bottom="907" w:left="1077" w:header="0" w:footer="397" w:gutter="0"/>
          <w:pgNumType w:fmt="decimal" w:start="1"/>
          <w:cols w:space="0" w:num="1"/>
          <w:rtlGutter w:val="0"/>
          <w:docGrid w:linePitch="0" w:charSpace="0"/>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360"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中山市东升医院2026-2028年度医疗综合楼水箱清洗、消毒及水样化验项目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304" w:bottom="907" w:left="1304" w:header="0" w:footer="397" w:gutter="0"/>
          <w:pgNumType w:fmt="decimal"/>
          <w:cols w:space="0" w:num="1"/>
          <w:rtlGutter w:val="0"/>
          <w:docGrid w:linePitch="0" w:charSpace="0"/>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397" w:gutter="0"/>
          <w:pgNumType w:fmt="decimal"/>
          <w:cols w:space="0" w:num="1"/>
          <w:rtlGutter w:val="0"/>
          <w:docGrid w:linePitch="0" w:charSpace="0"/>
        </w:sectPr>
      </w:pPr>
    </w:p>
    <w:p w14:paraId="7742BFE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397" w:gutter="0"/>
          <w:pgNumType w:fmt="decimal"/>
          <w:cols w:space="0" w:num="1"/>
          <w:rtlGutter w:val="0"/>
          <w:docGrid w:linePitch="0" w:charSpace="0"/>
        </w:sectPr>
      </w:pPr>
      <w:r>
        <w:rPr>
          <w:rFonts w:hint="eastAsia" w:ascii="宋体" w:hAnsi="宋体" w:eastAsia="宋体" w:cs="宋体"/>
          <w:b/>
          <w:bCs/>
          <w:spacing w:val="7"/>
          <w:sz w:val="20"/>
          <w:szCs w:val="20"/>
          <w:lang w:eastAsia="zh-CN"/>
        </w:rPr>
        <w:t>三、供应商须具备独立承担民事责任的能力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营业执照经营范围需包含“二次供水水池清洁消毒”“代办水质报告”等相关业务），投标时须提供加盖公章的营业执照复印件；分支机构参与投标的，须同时提供总公司及分公司的营业执照复印件，并提交总公司出具给分支机构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5"/>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5"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397" w:gutter="0"/>
          <w:pgNumType w:fmt="decimal"/>
          <w:cols w:space="0" w:num="1"/>
          <w:rtlGutter w:val="0"/>
          <w:docGrid w:linePitch="0" w:charSpace="0"/>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6"/>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6"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397" w:gutter="0"/>
          <w:pgNumType w:fmt="decimal"/>
          <w:cols w:space="0" w:num="1"/>
          <w:rtlGutter w:val="0"/>
          <w:docGrid w:linePitch="0" w:charSpace="0"/>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中山市东升医院2026-2028年度医疗综合楼水箱清洗、消毒及水样化验项目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397" w:gutter="0"/>
          <w:pgNumType w:fmt="decimal"/>
          <w:cols w:space="0" w:num="1"/>
          <w:rtlGutter w:val="0"/>
          <w:docGrid w:linePitch="0" w:charSpace="0"/>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0" w:lineRule="exact"/>
        <w:ind w:left="22" w:right="18" w:firstLine="1"/>
        <w:jc w:val="both"/>
        <w:textAlignment w:val="baseline"/>
        <w:rPr>
          <w:rFonts w:ascii="宋体" w:hAnsi="宋体" w:eastAsia="宋体" w:cs="宋体"/>
          <w:sz w:val="20"/>
          <w:szCs w:val="20"/>
          <w:lang w:eastAsia="zh-CN"/>
        </w:rPr>
      </w:pPr>
      <w:r>
        <w:rPr>
          <w:rFonts w:hint="eastAsia" w:ascii="宋体" w:hAnsi="宋体" w:eastAsia="宋体" w:cs="宋体"/>
          <w:b/>
          <w:bCs/>
          <w:spacing w:val="8"/>
          <w:sz w:val="20"/>
          <w:szCs w:val="20"/>
          <w:lang w:val="en-US" w:eastAsia="zh-CN"/>
        </w:rPr>
        <w:t>七</w:t>
      </w:r>
      <w:r>
        <w:rPr>
          <w:rFonts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供应商未被列入“信用中国”网站(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397" w:gutter="0"/>
          <w:pgNumType w:fmt="decimal"/>
          <w:cols w:space="0" w:num="1"/>
          <w:rtlGutter w:val="0"/>
          <w:docGrid w:linePitch="0" w:charSpace="0"/>
        </w:sectPr>
      </w:pPr>
    </w:p>
    <w:p w14:paraId="1AD104C4">
      <w:pPr>
        <w:spacing w:before="137" w:line="227" w:lineRule="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八</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pacing w:val="8"/>
          <w:sz w:val="20"/>
          <w:szCs w:val="20"/>
          <w:lang w:eastAsia="zh-CN"/>
        </w:rPr>
        <w:t>1</w:t>
      </w:r>
      <w:r>
        <w:rPr>
          <w:rFonts w:hint="eastAsia" w:asciiTheme="minorEastAsia" w:hAnsiTheme="minorEastAsia" w:eastAsiaTheme="minorEastAsia" w:cstheme="minorEastAsia"/>
          <w:spacing w:val="-23"/>
          <w:sz w:val="20"/>
          <w:szCs w:val="20"/>
          <w:lang w:val="en-US" w:eastAsia="zh-CN"/>
        </w:rPr>
        <w:t xml:space="preserve">. </w:t>
      </w:r>
      <w:r>
        <w:rPr>
          <w:rFonts w:hint="eastAsia" w:asciiTheme="minorEastAsia" w:hAnsiTheme="minorEastAsia" w:eastAsiaTheme="minorEastAsia" w:cstheme="minorEastAsia"/>
          <w:spacing w:val="8"/>
          <w:sz w:val="20"/>
          <w:szCs w:val="20"/>
          <w:lang w:eastAsia="zh-CN"/>
        </w:rPr>
        <w:t>请按采购需求的要求逐条响应，正负偏离参数请备</w:t>
      </w:r>
      <w:r>
        <w:rPr>
          <w:rFonts w:hint="eastAsia" w:asciiTheme="minorEastAsia" w:hAnsiTheme="minorEastAsia" w:eastAsiaTheme="minorEastAsia" w:cstheme="minorEastAsia"/>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pacing w:val="7"/>
          <w:sz w:val="20"/>
          <w:szCs w:val="20"/>
          <w:lang w:eastAsia="zh-CN"/>
        </w:rPr>
        <w:t>2</w:t>
      </w:r>
      <w:r>
        <w:rPr>
          <w:rFonts w:hint="eastAsia" w:asciiTheme="minorEastAsia" w:hAnsiTheme="minorEastAsia" w:eastAsiaTheme="minorEastAsia" w:cstheme="minorEastAsia"/>
          <w:spacing w:val="-14"/>
          <w:sz w:val="20"/>
          <w:szCs w:val="20"/>
          <w:lang w:val="en-US" w:eastAsia="zh-CN"/>
        </w:rPr>
        <w:t xml:space="preserve">. </w:t>
      </w:r>
      <w:r>
        <w:rPr>
          <w:rFonts w:hint="eastAsia" w:asciiTheme="minorEastAsia" w:hAnsiTheme="minorEastAsia" w:eastAsiaTheme="minorEastAsia" w:cstheme="minorEastAsia"/>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hint="eastAsia" w:asciiTheme="minorEastAsia" w:hAnsiTheme="minorEastAsia" w:eastAsiaTheme="minorEastAsia" w:cstheme="minorEastAsia"/>
          <w:spacing w:val="7"/>
          <w:sz w:val="20"/>
          <w:szCs w:val="20"/>
          <w:lang w:eastAsia="zh-CN"/>
        </w:rPr>
      </w:pPr>
      <w:r>
        <w:rPr>
          <w:rFonts w:hint="eastAsia" w:asciiTheme="minorEastAsia" w:hAnsiTheme="minorEastAsia" w:eastAsiaTheme="minorEastAsia" w:cstheme="minorEastAsia"/>
          <w:spacing w:val="8"/>
          <w:sz w:val="20"/>
          <w:szCs w:val="20"/>
          <w:lang w:eastAsia="zh-CN"/>
        </w:rPr>
        <w:t>3</w:t>
      </w:r>
      <w:r>
        <w:rPr>
          <w:rFonts w:hint="eastAsia" w:asciiTheme="minorEastAsia" w:hAnsiTheme="minorEastAsia" w:eastAsiaTheme="minorEastAsia" w:cstheme="minorEastAsia"/>
          <w:spacing w:val="-23"/>
          <w:sz w:val="20"/>
          <w:szCs w:val="20"/>
          <w:lang w:val="en-US" w:eastAsia="zh-CN"/>
        </w:rPr>
        <w:t xml:space="preserve">. </w:t>
      </w:r>
      <w:r>
        <w:rPr>
          <w:rFonts w:hint="eastAsia" w:asciiTheme="minorEastAsia" w:hAnsiTheme="minorEastAsia" w:eastAsiaTheme="minorEastAsia" w:cstheme="minorEastAsia"/>
          <w:spacing w:val="8"/>
          <w:sz w:val="20"/>
          <w:szCs w:val="20"/>
          <w:lang w:eastAsia="zh-CN"/>
        </w:rPr>
        <w:t>所投服务的参数满足率≥90%方视为满足</w:t>
      </w:r>
      <w:r>
        <w:rPr>
          <w:rFonts w:hint="eastAsia" w:asciiTheme="minorEastAsia" w:hAnsiTheme="minorEastAsia" w:eastAsiaTheme="minorEastAsia" w:cstheme="minorEastAsia"/>
          <w:spacing w:val="7"/>
          <w:sz w:val="20"/>
          <w:szCs w:val="20"/>
          <w:lang w:eastAsia="zh-CN"/>
        </w:rPr>
        <w:t>需求的合格服务。</w:t>
      </w:r>
    </w:p>
    <w:p w14:paraId="1F83F312">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hint="eastAsia" w:asciiTheme="minorEastAsia" w:hAnsiTheme="minorEastAsia" w:eastAsiaTheme="minorEastAsia" w:cstheme="minorEastAsia"/>
          <w:spacing w:val="7"/>
          <w:sz w:val="20"/>
          <w:szCs w:val="20"/>
          <w:lang w:eastAsia="zh-CN"/>
        </w:rPr>
      </w:pPr>
      <w:r>
        <w:rPr>
          <w:rFonts w:hint="eastAsia" w:asciiTheme="minorEastAsia" w:hAnsiTheme="minorEastAsia" w:eastAsiaTheme="minorEastAsia" w:cstheme="minorEastAsia"/>
          <w:spacing w:val="7"/>
          <w:sz w:val="20"/>
          <w:szCs w:val="20"/>
          <w:lang w:val="en-US" w:eastAsia="zh-CN"/>
        </w:rPr>
        <w:t>4.供应商未在偏离表中列明的偏离，视为无偏离；若响应文件实际内容与偏离表不一致以偏离表为准。</w:t>
      </w:r>
    </w:p>
    <w:tbl>
      <w:tblPr>
        <w:tblStyle w:val="14"/>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0BDC1B7C">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一、项目概况</w:t>
            </w:r>
          </w:p>
          <w:p w14:paraId="30385CB9">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项目名称：中山市东升医院2026-2028年度医疗综合楼水箱清洗、消毒及水样化验项目</w:t>
            </w:r>
          </w:p>
          <w:p w14:paraId="242F1AD3">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项目编号：FW-CW-CW-2026089</w:t>
            </w:r>
          </w:p>
          <w:p w14:paraId="38C59AF8">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预算金额：36900元（含税价）</w:t>
            </w:r>
          </w:p>
          <w:p w14:paraId="42EBB0A8">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项目概要：对中山市东升医院水箱（详见下表清单内容）开展清洗、消毒、水样化验工作，并代办水质报告。</w:t>
            </w:r>
          </w:p>
          <w:p w14:paraId="58DF80A9">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项目服务期限：本项目服务期限共三年，采用“1+1+1”的执行方式，即首先签订一年期合同，首年合同期满后，若采购人对中标人提供的服务满意且考核合格，经采购人同意，本项目服务期限自动延期；若采购人对中标人提供的服务不满意（考核结果低于75分），采购人有权单方终止合同。（考评标准详见附件一：《水箱清洗消毒服务质量考评表》）</w:t>
            </w:r>
          </w:p>
          <w:p w14:paraId="265F8C2E">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 清单内容：</w:t>
            </w:r>
          </w:p>
          <w:tbl>
            <w:tblPr>
              <w:tblStyle w:val="14"/>
              <w:tblW w:w="499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99"/>
              <w:gridCol w:w="1946"/>
              <w:gridCol w:w="811"/>
              <w:gridCol w:w="728"/>
              <w:gridCol w:w="944"/>
              <w:gridCol w:w="589"/>
            </w:tblGrid>
            <w:tr w14:paraId="0C603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477" w:hRule="atLeast"/>
                <w:jc w:val="center"/>
              </w:trPr>
              <w:tc>
                <w:tcPr>
                  <w:tcW w:w="368" w:type="pct"/>
                  <w:vAlign w:val="center"/>
                </w:tcPr>
                <w:p w14:paraId="6FBC22E0">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序号</w:t>
                  </w:r>
                </w:p>
              </w:tc>
              <w:tc>
                <w:tcPr>
                  <w:tcW w:w="1795" w:type="pct"/>
                  <w:vAlign w:val="center"/>
                </w:tcPr>
                <w:p w14:paraId="769468DE">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内容</w:t>
                  </w:r>
                </w:p>
              </w:tc>
              <w:tc>
                <w:tcPr>
                  <w:tcW w:w="748" w:type="pct"/>
                  <w:vAlign w:val="center"/>
                </w:tcPr>
                <w:p w14:paraId="28F95F89">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数量</w:t>
                  </w:r>
                </w:p>
                <w:p w14:paraId="1B9FEEAB">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（个）</w:t>
                  </w:r>
                </w:p>
              </w:tc>
              <w:tc>
                <w:tcPr>
                  <w:tcW w:w="672" w:type="pct"/>
                  <w:vAlign w:val="center"/>
                </w:tcPr>
                <w:p w14:paraId="3793AF3D">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总容量</w:t>
                  </w:r>
                </w:p>
                <w:p w14:paraId="747C09D6">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（m³ )</w:t>
                  </w:r>
                </w:p>
              </w:tc>
              <w:tc>
                <w:tcPr>
                  <w:tcW w:w="871" w:type="pct"/>
                  <w:vAlign w:val="center"/>
                </w:tcPr>
                <w:p w14:paraId="04AE5C19">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频次</w:t>
                  </w:r>
                </w:p>
              </w:tc>
              <w:tc>
                <w:tcPr>
                  <w:tcW w:w="543" w:type="pct"/>
                  <w:vAlign w:val="center"/>
                </w:tcPr>
                <w:p w14:paraId="3B41E114">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服务</w:t>
                  </w:r>
                </w:p>
                <w:p w14:paraId="5C7B6BE5">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年份</w:t>
                  </w:r>
                </w:p>
              </w:tc>
            </w:tr>
            <w:tr w14:paraId="0879D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8" w:hRule="exact"/>
                <w:jc w:val="center"/>
              </w:trPr>
              <w:tc>
                <w:tcPr>
                  <w:tcW w:w="368" w:type="pct"/>
                  <w:vAlign w:val="center"/>
                </w:tcPr>
                <w:p w14:paraId="681B1050">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1795" w:type="pct"/>
                  <w:vAlign w:val="center"/>
                </w:tcPr>
                <w:p w14:paraId="01D1332D">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医疗综合楼负一楼生活水池</w:t>
                  </w:r>
                </w:p>
              </w:tc>
              <w:tc>
                <w:tcPr>
                  <w:tcW w:w="748" w:type="pct"/>
                  <w:vAlign w:val="center"/>
                </w:tcPr>
                <w:p w14:paraId="1375AF84">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672" w:type="pct"/>
                  <w:vAlign w:val="center"/>
                </w:tcPr>
                <w:p w14:paraId="23788592">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52.5</w:t>
                  </w:r>
                </w:p>
              </w:tc>
              <w:tc>
                <w:tcPr>
                  <w:tcW w:w="871" w:type="pct"/>
                  <w:vAlign w:val="center"/>
                </w:tcPr>
                <w:p w14:paraId="35D96173">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每季度一次</w:t>
                  </w:r>
                </w:p>
              </w:tc>
              <w:tc>
                <w:tcPr>
                  <w:tcW w:w="543" w:type="pct"/>
                  <w:vAlign w:val="center"/>
                </w:tcPr>
                <w:p w14:paraId="584BF7D3">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p>
              </w:tc>
            </w:tr>
            <w:tr w14:paraId="47E81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8" w:hRule="exact"/>
                <w:jc w:val="center"/>
              </w:trPr>
              <w:tc>
                <w:tcPr>
                  <w:tcW w:w="368" w:type="pct"/>
                  <w:vAlign w:val="center"/>
                </w:tcPr>
                <w:p w14:paraId="0F24AB94">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p>
              </w:tc>
              <w:tc>
                <w:tcPr>
                  <w:tcW w:w="1795" w:type="pct"/>
                  <w:vAlign w:val="center"/>
                </w:tcPr>
                <w:p w14:paraId="1E6D7BB8">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医疗综合楼十楼天面生活水池</w:t>
                  </w:r>
                </w:p>
              </w:tc>
              <w:tc>
                <w:tcPr>
                  <w:tcW w:w="748" w:type="pct"/>
                  <w:vAlign w:val="center"/>
                </w:tcPr>
                <w:p w14:paraId="6C60CA92">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672" w:type="pct"/>
                  <w:vAlign w:val="center"/>
                </w:tcPr>
                <w:p w14:paraId="5BFE86E6">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18.75</w:t>
                  </w:r>
                </w:p>
              </w:tc>
              <w:tc>
                <w:tcPr>
                  <w:tcW w:w="871" w:type="pct"/>
                  <w:vAlign w:val="center"/>
                </w:tcPr>
                <w:p w14:paraId="3622AFF7">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每季度一次</w:t>
                  </w:r>
                </w:p>
              </w:tc>
              <w:tc>
                <w:tcPr>
                  <w:tcW w:w="543" w:type="pct"/>
                  <w:vAlign w:val="center"/>
                </w:tcPr>
                <w:p w14:paraId="7D8F4C68">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p>
              </w:tc>
            </w:tr>
            <w:tr w14:paraId="0ED90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8" w:hRule="exact"/>
                <w:jc w:val="center"/>
              </w:trPr>
              <w:tc>
                <w:tcPr>
                  <w:tcW w:w="368" w:type="pct"/>
                  <w:vAlign w:val="center"/>
                </w:tcPr>
                <w:p w14:paraId="2E8FA2D9">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p>
              </w:tc>
              <w:tc>
                <w:tcPr>
                  <w:tcW w:w="1795" w:type="pct"/>
                  <w:vAlign w:val="center"/>
                </w:tcPr>
                <w:p w14:paraId="326CE521">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医疗综合楼10楼天面热水水箱</w:t>
                  </w:r>
                </w:p>
              </w:tc>
              <w:tc>
                <w:tcPr>
                  <w:tcW w:w="748" w:type="pct"/>
                  <w:vAlign w:val="center"/>
                </w:tcPr>
                <w:p w14:paraId="6B58E3F6">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p>
              </w:tc>
              <w:tc>
                <w:tcPr>
                  <w:tcW w:w="672" w:type="pct"/>
                  <w:vAlign w:val="center"/>
                </w:tcPr>
                <w:p w14:paraId="66360543">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335.1</w:t>
                  </w:r>
                </w:p>
              </w:tc>
              <w:tc>
                <w:tcPr>
                  <w:tcW w:w="871" w:type="pct"/>
                  <w:vAlign w:val="center"/>
                </w:tcPr>
                <w:p w14:paraId="7ECF874E">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每年一次</w:t>
                  </w:r>
                </w:p>
              </w:tc>
              <w:tc>
                <w:tcPr>
                  <w:tcW w:w="543" w:type="pct"/>
                  <w:vAlign w:val="center"/>
                </w:tcPr>
                <w:p w14:paraId="742F8B53">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p>
              </w:tc>
            </w:tr>
          </w:tbl>
          <w:p w14:paraId="03D10066">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 项目地点：中山市小榄镇兆隆路1号东升医院院内</w:t>
            </w:r>
          </w:p>
          <w:p w14:paraId="0834415A">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 项目流程：</w:t>
            </w:r>
          </w:p>
          <w:p w14:paraId="7C07D608">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每次清洗作业前7个自然日，中标人须与采购人联系约定水箱清洗时间。</w:t>
            </w:r>
          </w:p>
          <w:p w14:paraId="1E7CAB66">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水箱外部清洗流程：首先使用高压水枪清理不锈钢水箱顶部积尘，再清扫顶部积水（注：严禁作业人员站立于水箱顶部作业，违规作业引发的安全事故，全部责任由中标人承担），最后完成水箱外周边区域的清洗作业。</w:t>
            </w:r>
          </w:p>
          <w:p w14:paraId="105800FA">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水箱内部清洗流程：当水箱水位排空至剩余0.3-0.5m水位时，利用残留积水开展带水清洗作业，使用高压水枪及专业清洗器具洗刷水箱内壁及箱底，铲除水垢、铁锈，直至内壁触感无滑腻感；随后排出洗刷产生的污水，用水泵抽排清理箱底沙石，再使用清水对水箱内部进行二次冲洗，确保洁净。</w:t>
            </w:r>
          </w:p>
          <w:p w14:paraId="4834DBEA">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（4）水箱消毒作业：使用含氯量为3毫克/升的消毒药物对箱壁全区域喷洒，药物停留时间不少于15分钟后，再使用清水冲洗干净，并抽排全部积水。</w:t>
            </w:r>
          </w:p>
          <w:p w14:paraId="70B4C2F9">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（5）水箱蓄水作业：水箱清洗消毒完成后，首先清理箱内清洗工具，确认水箱内无遗留杂物后，关闭水箱检查口盖并上锁，随后注入自来水，检查水位控制器工作状态是否正常，防止发生溢水事故。</w:t>
            </w:r>
          </w:p>
          <w:p w14:paraId="5460EB48">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（6）作业收尾：清理水箱外围区域环境卫生，冲洗不锈钢水箱外部四周及机座，去除积尘，同时检查溢流管防虫纱网的完好性。</w:t>
            </w:r>
          </w:p>
          <w:p w14:paraId="764CFDE7">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水样采集与化验：作业现场开展余氯检测，检测结果须符合正常范围要求（0.05mg/L≤实测值≤4mg/L）；现场采集水样后，中标人须于24小时内将水样送至具备二次供水检测资质的第三方检测机构进行检测，并代办水质检测报告，于7个工作日内提交加盖CMA章的正式检测报告。</w:t>
            </w:r>
          </w:p>
          <w:p w14:paraId="49BF60DC">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（8）资料整理归档：清洗作业完成后，中标人须如实完整填写清洗记录表，整理清洗作业过程影像资料及消毒剂相关资料，提交采购人归档留存。</w:t>
            </w:r>
          </w:p>
          <w:p w14:paraId="251412EF">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 项目形式：本项目采用定期作业模式，每年定期对蓄水箱开展清洗消毒作业，其中冷水箱每年清洗消毒4次，热水箱每年清洗消毒1次；每次清洗消毒作业完成后，须就对应蓄水箱出具1份合格水质报告，提交的报告应当具备技术审核人员签字并加盖CMA章，具体清洗作业时间由双方另行协商确定。服务期限按照本需求书第一大点第4小点执行，总服务期最长为3年，采用1+1+1模式。（须提供服务承诺函，详见附件二《响应文件模板》）</w:t>
            </w:r>
          </w:p>
          <w:p w14:paraId="5289A18E">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 中标人须提供清洗人员健康证复印件、清洗记录表，以及水池清洗前、清洗后的照片。</w:t>
            </w:r>
          </w:p>
          <w:p w14:paraId="3992146D">
            <w:pPr>
              <w:pStyle w:val="9"/>
              <w:keepNext w:val="0"/>
              <w:keepLines w:val="0"/>
              <w:pageBreakBefore w:val="0"/>
              <w:widowControl w:val="0"/>
              <w:kinsoku/>
              <w:wordWrap/>
              <w:overflowPunct/>
              <w:topLinePunct w:val="0"/>
              <w:autoSpaceDE w:val="0"/>
              <w:autoSpaceDN/>
              <w:bidi w:val="0"/>
              <w:adjustRightInd/>
              <w:snapToGrid/>
              <w:spacing w:before="0" w:beforeAutospacing="0" w:after="0" w:afterAutospacing="0" w:line="230" w:lineRule="exact"/>
              <w:textAlignment w:val="baseline"/>
              <w:rPr>
                <w:rFonts w:ascii="宋体" w:hAnsi="宋体" w:eastAsia="宋体" w:cs="宋体"/>
                <w:sz w:val="20"/>
                <w:szCs w:val="20"/>
              </w:rPr>
            </w:pPr>
            <w:r>
              <w:rPr>
                <w:rFonts w:hint="eastAsia" w:ascii="宋体" w:hAnsi="宋体" w:eastAsia="宋体" w:cs="宋体"/>
                <w:sz w:val="20"/>
                <w:szCs w:val="20"/>
                <w:lang w:val="en-US" w:eastAsia="zh-CN"/>
              </w:rPr>
              <w:t>11. 本采购公告中参数标识说明如下：带★的条款为实质性要求，供应商响应文件中任何一项★条款存在负偏离或未按要求提供证明材料的，其响应文件按无效处理。供应商未在偏离表中列明的偏离，视为无偏离；若响应文件实际内容与偏离表不一致，以偏离表为准。</w:t>
            </w:r>
          </w:p>
        </w:tc>
        <w:tc>
          <w:tcPr>
            <w:tcW w:w="1425" w:type="dxa"/>
          </w:tcPr>
          <w:p w14:paraId="03ED26DE">
            <w:pPr>
              <w:pStyle w:val="15"/>
              <w:rPr>
                <w:rFonts w:ascii="宋体" w:hAnsi="宋体" w:eastAsia="宋体" w:cs="宋体"/>
                <w:lang w:eastAsia="zh-CN"/>
              </w:rPr>
            </w:pPr>
          </w:p>
        </w:tc>
        <w:tc>
          <w:tcPr>
            <w:tcW w:w="978" w:type="dxa"/>
          </w:tcPr>
          <w:p w14:paraId="314D7EEC">
            <w:pPr>
              <w:pStyle w:val="15"/>
              <w:rPr>
                <w:rFonts w:ascii="宋体" w:hAnsi="宋体" w:eastAsia="宋体" w:cs="宋体"/>
                <w:lang w:eastAsia="zh-CN"/>
              </w:rPr>
            </w:pPr>
          </w:p>
        </w:tc>
        <w:tc>
          <w:tcPr>
            <w:tcW w:w="1065" w:type="dxa"/>
          </w:tcPr>
          <w:p w14:paraId="0A9D39B5">
            <w:pPr>
              <w:pStyle w:val="15"/>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6E21E232">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二、报价要求</w:t>
            </w:r>
          </w:p>
          <w:p w14:paraId="0359803C">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供应商的报价应当涵盖提供本项目服务所需的全部费用，包括材料费、运输费、人工费、水质化验费、税费以及全部技术服务、售后服务相关费用；报价以人民币为计价单位，须清晰列明单价、小计及总价。</w:t>
            </w:r>
          </w:p>
          <w:p w14:paraId="4B0EC299">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本项目不接受备选方案，所有响应供应商仅有一次报价机会。</w:t>
            </w:r>
          </w:p>
          <w:p w14:paraId="10C35DC1">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本项目不接受联合体投标，响应供应商须独家参与投标，成交后须由中标人自行完成全部服务内容。未经采购人同意，中标人不得以任何方式转包或分包本项目，违者视为违约，采购人将追究当事人责任，并追偿相应损失。</w:t>
            </w:r>
          </w:p>
          <w:p w14:paraId="0D2C7EED">
            <w:pPr>
              <w:keepNext w:val="0"/>
              <w:keepLines w:val="0"/>
              <w:pageBreakBefore w:val="0"/>
              <w:widowControl w:val="0"/>
              <w:wordWrap/>
              <w:overflowPunct/>
              <w:topLinePunct w:val="0"/>
              <w:autoSpaceDE w:val="0"/>
              <w:bidi w:val="0"/>
              <w:spacing w:line="230" w:lineRule="exact"/>
              <w:textAlignment w:val="baseline"/>
              <w:rPr>
                <w:rFonts w:ascii="宋体" w:hAnsi="宋体" w:eastAsia="宋体" w:cs="宋体"/>
                <w:sz w:val="20"/>
                <w:szCs w:val="20"/>
                <w:lang w:eastAsia="zh-CN"/>
              </w:rPr>
            </w:pPr>
            <w:r>
              <w:rPr>
                <w:rFonts w:hint="eastAsia" w:ascii="宋体" w:hAnsi="宋体" w:eastAsia="宋体" w:cs="宋体"/>
                <w:sz w:val="20"/>
                <w:szCs w:val="20"/>
                <w:lang w:val="en-US" w:eastAsia="zh-CN"/>
              </w:rPr>
              <w:t>4. 若响应供应商在报价阶段或项目实施过程中存在报价内容遗漏，其漏报、少报的费用均视为已包含在投标报价之中，中标人不得再向采购人主张收取任何额外费用。</w:t>
            </w:r>
          </w:p>
        </w:tc>
        <w:tc>
          <w:tcPr>
            <w:tcW w:w="1425" w:type="dxa"/>
          </w:tcPr>
          <w:p w14:paraId="69CF45F5">
            <w:pPr>
              <w:pStyle w:val="15"/>
              <w:rPr>
                <w:rFonts w:ascii="宋体" w:hAnsi="宋体" w:eastAsia="宋体" w:cs="宋体"/>
                <w:lang w:eastAsia="zh-CN"/>
              </w:rPr>
            </w:pPr>
          </w:p>
        </w:tc>
        <w:tc>
          <w:tcPr>
            <w:tcW w:w="978" w:type="dxa"/>
          </w:tcPr>
          <w:p w14:paraId="4B1E84E1">
            <w:pPr>
              <w:pStyle w:val="15"/>
              <w:rPr>
                <w:rFonts w:ascii="宋体" w:hAnsi="宋体" w:eastAsia="宋体" w:cs="宋体"/>
                <w:lang w:eastAsia="zh-CN"/>
              </w:rPr>
            </w:pPr>
          </w:p>
        </w:tc>
        <w:tc>
          <w:tcPr>
            <w:tcW w:w="1065" w:type="dxa"/>
          </w:tcPr>
          <w:p w14:paraId="050D5957">
            <w:pPr>
              <w:pStyle w:val="15"/>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17882868">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三、供应商资格要求</w:t>
            </w:r>
          </w:p>
          <w:p w14:paraId="7F1AE5B1">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响应供应商必须是具有独立承担民事责任的能力：在中华人民共和国境内注册的法人或其他组织或自然人，投标（响应）时提交营业执照（或事业法人登记证或身份证等相关证明） 复印件。分支机构投标的，须提供总公司和分公司营业执照复印件，总公司出具给分支机构的授权书。（提供相关证明文件加盖公章）</w:t>
            </w:r>
          </w:p>
          <w:p w14:paraId="3A59F442">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★响应供应商须具备“二次供水水池清洁消毒”“代办水质报告”相关经营范围。（提供相关证明文件加盖公章）</w:t>
            </w:r>
          </w:p>
          <w:p w14:paraId="2C89F9A1">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响应供应商须具备良好的商业信誉和健全的财务会计制度，并依法履行纳税及缴纳社会保障资金的义务。（在附件二《响应文件模板》提供的承诺函中承诺）</w:t>
            </w:r>
          </w:p>
          <w:p w14:paraId="38C7AD66">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响应供应商在参与公开招标活动中不得存在违法违纪行为并受到处罚。（在附件二《响应文件模板》提供的承诺函中承诺）</w:t>
            </w:r>
          </w:p>
          <w:p w14:paraId="28CC990D">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响应供应商不得存在围标、串标等违规行为。（在附件二《响应文件模板》提供的无围标、串标行为声明函中承诺）</w:t>
            </w:r>
          </w:p>
          <w:p w14:paraId="6757DD8D">
            <w:pPr>
              <w:keepNext w:val="0"/>
              <w:keepLines w:val="0"/>
              <w:pageBreakBefore w:val="0"/>
              <w:widowControl w:val="0"/>
              <w:wordWrap/>
              <w:overflowPunct/>
              <w:topLinePunct w:val="0"/>
              <w:autoSpaceDE w:val="0"/>
              <w:bidi w:val="0"/>
              <w:spacing w:line="230" w:lineRule="exact"/>
              <w:textAlignment w:val="baseline"/>
              <w:rPr>
                <w:rFonts w:ascii="宋体" w:hAnsi="宋体" w:eastAsia="宋体" w:cs="宋体"/>
                <w:sz w:val="20"/>
                <w:szCs w:val="20"/>
                <w:lang w:eastAsia="zh-CN"/>
              </w:rPr>
            </w:pPr>
            <w:r>
              <w:rPr>
                <w:rFonts w:hint="eastAsia" w:ascii="宋体" w:hAnsi="宋体" w:eastAsia="宋体" w:cs="宋体"/>
                <w:sz w:val="20"/>
                <w:szCs w:val="20"/>
                <w:lang w:val="en-US" w:eastAsia="zh-CN"/>
              </w:rPr>
              <w:t>6. 响应供应商须具备水箱清洗消毒相关经验，并提供相关合同资料作为证明。（提供相关证明文件加盖公章）</w:t>
            </w:r>
          </w:p>
        </w:tc>
        <w:tc>
          <w:tcPr>
            <w:tcW w:w="1425" w:type="dxa"/>
          </w:tcPr>
          <w:p w14:paraId="50520806">
            <w:pPr>
              <w:pStyle w:val="15"/>
              <w:rPr>
                <w:rFonts w:ascii="宋体" w:hAnsi="宋体" w:eastAsia="宋体" w:cs="宋体"/>
                <w:lang w:eastAsia="zh-CN"/>
              </w:rPr>
            </w:pPr>
          </w:p>
        </w:tc>
        <w:tc>
          <w:tcPr>
            <w:tcW w:w="978" w:type="dxa"/>
          </w:tcPr>
          <w:p w14:paraId="27AC7BB1">
            <w:pPr>
              <w:pStyle w:val="15"/>
              <w:rPr>
                <w:rFonts w:ascii="宋体" w:hAnsi="宋体" w:eastAsia="宋体" w:cs="宋体"/>
                <w:lang w:eastAsia="zh-CN"/>
              </w:rPr>
            </w:pPr>
          </w:p>
        </w:tc>
        <w:tc>
          <w:tcPr>
            <w:tcW w:w="1065" w:type="dxa"/>
          </w:tcPr>
          <w:p w14:paraId="714423AC">
            <w:pPr>
              <w:pStyle w:val="15"/>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538C562E">
            <w:pPr>
              <w:keepNext w:val="0"/>
              <w:keepLines w:val="0"/>
              <w:pageBreakBefore w:val="0"/>
              <w:widowControl w:val="0"/>
              <w:wordWrap/>
              <w:overflowPunct/>
              <w:topLinePunct w:val="0"/>
              <w:autoSpaceDE w:val="0"/>
              <w:bidi w:val="0"/>
              <w:spacing w:line="230" w:lineRule="exact"/>
              <w:textAlignment w:val="baseline"/>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四、响应时间</w:t>
            </w:r>
          </w:p>
          <w:p w14:paraId="71B40D08">
            <w:pPr>
              <w:keepNext w:val="0"/>
              <w:keepLines w:val="0"/>
              <w:pageBreakBefore w:val="0"/>
              <w:widowControl w:val="0"/>
              <w:wordWrap/>
              <w:overflowPunct/>
              <w:topLinePunct w:val="0"/>
              <w:autoSpaceDE w:val="0"/>
              <w:bidi w:val="0"/>
              <w:spacing w:line="230" w:lineRule="exact"/>
              <w:textAlignment w:val="baseline"/>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每次接到采购人开工通知后，须于两个自然日内完成相应作业。</w:t>
            </w:r>
          </w:p>
        </w:tc>
        <w:tc>
          <w:tcPr>
            <w:tcW w:w="1425" w:type="dxa"/>
          </w:tcPr>
          <w:p w14:paraId="1976FE37">
            <w:pPr>
              <w:pStyle w:val="15"/>
              <w:rPr>
                <w:rFonts w:ascii="宋体" w:hAnsi="宋体" w:eastAsia="宋体" w:cs="宋体"/>
                <w:lang w:eastAsia="zh-CN"/>
              </w:rPr>
            </w:pPr>
          </w:p>
        </w:tc>
        <w:tc>
          <w:tcPr>
            <w:tcW w:w="978" w:type="dxa"/>
          </w:tcPr>
          <w:p w14:paraId="23D2CAC8">
            <w:pPr>
              <w:pStyle w:val="15"/>
              <w:rPr>
                <w:rFonts w:ascii="宋体" w:hAnsi="宋体" w:eastAsia="宋体" w:cs="宋体"/>
                <w:lang w:eastAsia="zh-CN"/>
              </w:rPr>
            </w:pPr>
          </w:p>
        </w:tc>
        <w:tc>
          <w:tcPr>
            <w:tcW w:w="1065" w:type="dxa"/>
          </w:tcPr>
          <w:p w14:paraId="6941F157">
            <w:pPr>
              <w:pStyle w:val="15"/>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7D02064F">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项目依据和验收要求</w:t>
            </w:r>
          </w:p>
          <w:p w14:paraId="3F03C8B7">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1. 中标人须根据采购人提供的资料文件、作业场地及相关要求，完成指定水箱的清洗、消毒及水样化验工作；水质报告须由具备二次供水检测资质的第三方检测机构出具，水质化验项目指标包括但不限于：①菌落总数、②总大肠菌群、③浑浊度、④色度、⑤嗅和味、⑥游离余氯、⑦PH、⑧肉眼可见物，具体项目按二次供水地方规范执行，且水质化验项目指标总数不得少于11项。（须提供服务承诺函，详见附件二《响应文件模板》）</w:t>
            </w:r>
          </w:p>
          <w:p w14:paraId="5741CFB3">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2. ★每期项目完成后，中标人须向采购人提交水样化验合格报告，该报告须由具备正规检测资质的机构出具，并加盖CMA印章。</w:t>
            </w:r>
          </w:p>
          <w:p w14:paraId="7E43AFB3">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3. ★中标人须按时、按质、按量完成本清洗项目，保证清洗后蓄水池水质符合国家生活饮用水卫生标准相关指标要求，本项目验收以水样化验报告结果为准，严禁弄虚作假。若清洗完成后，在市政管网水质指标正常的前提下，水质未达到国家相关指标要求、水样化验报告显示不合格的，供应商须无偿重新开展清洗消毒工作，直至水样化验合格，期间产生的全部费用由供应商自行承担；若连续3次验收不合格，采购人有权单方终止合同。</w:t>
            </w:r>
          </w:p>
          <w:p w14:paraId="5A5BF7E1">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sz w:val="20"/>
                <w:szCs w:val="20"/>
                <w:lang w:eastAsia="zh-CN"/>
              </w:rPr>
            </w:pPr>
            <w:r>
              <w:rPr>
                <w:rFonts w:hint="eastAsia" w:ascii="宋体" w:hAnsi="宋体" w:eastAsia="宋体" w:cs="宋体"/>
                <w:sz w:val="20"/>
                <w:szCs w:val="20"/>
                <w:lang w:val="en-US" w:eastAsia="zh-CN"/>
              </w:rPr>
              <w:t>4. 中标人开展现场施工作业时，须严格依照施工安全规范落实施工质量与安全管理工作，施工期间若发生施工质量问题或安全事故，全部责任由中标人承担。</w:t>
            </w:r>
          </w:p>
          <w:p w14:paraId="2A1B7AEE">
            <w:pPr>
              <w:keepNext w:val="0"/>
              <w:keepLines w:val="0"/>
              <w:pageBreakBefore w:val="0"/>
              <w:widowControl w:val="0"/>
              <w:wordWrap/>
              <w:overflowPunct/>
              <w:topLinePunct w:val="0"/>
              <w:autoSpaceDE w:val="0"/>
              <w:bidi w:val="0"/>
              <w:spacing w:line="230" w:lineRule="exact"/>
              <w:textAlignment w:val="baseline"/>
              <w:rPr>
                <w:rFonts w:ascii="宋体" w:hAnsi="宋体" w:eastAsia="宋体" w:cs="宋体"/>
                <w:sz w:val="20"/>
                <w:szCs w:val="20"/>
                <w:lang w:eastAsia="zh-CN"/>
              </w:rPr>
            </w:pPr>
            <w:r>
              <w:rPr>
                <w:rFonts w:hint="eastAsia" w:ascii="宋体" w:hAnsi="宋体" w:eastAsia="宋体" w:cs="宋体"/>
                <w:sz w:val="20"/>
                <w:szCs w:val="20"/>
                <w:lang w:val="en-US" w:eastAsia="zh-CN"/>
              </w:rPr>
              <w:t>5. 中标人施工过程中须严格遵守采购人各项规章制度，做到文明施工，不得损坏采购人现有设备设施；若施工过程中造成设备设施损坏，中标人须照价赔偿。</w:t>
            </w:r>
          </w:p>
        </w:tc>
        <w:tc>
          <w:tcPr>
            <w:tcW w:w="1425" w:type="dxa"/>
          </w:tcPr>
          <w:p w14:paraId="556D3F97">
            <w:pPr>
              <w:pStyle w:val="15"/>
              <w:rPr>
                <w:rFonts w:ascii="宋体" w:hAnsi="宋体" w:eastAsia="宋体" w:cs="宋体"/>
                <w:lang w:eastAsia="zh-CN"/>
              </w:rPr>
            </w:pPr>
          </w:p>
        </w:tc>
        <w:tc>
          <w:tcPr>
            <w:tcW w:w="978" w:type="dxa"/>
          </w:tcPr>
          <w:p w14:paraId="59D2077F">
            <w:pPr>
              <w:pStyle w:val="15"/>
              <w:rPr>
                <w:rFonts w:ascii="宋体" w:hAnsi="宋体" w:eastAsia="宋体" w:cs="宋体"/>
                <w:lang w:eastAsia="zh-CN"/>
              </w:rPr>
            </w:pPr>
          </w:p>
        </w:tc>
        <w:tc>
          <w:tcPr>
            <w:tcW w:w="1065" w:type="dxa"/>
          </w:tcPr>
          <w:p w14:paraId="788F44CC">
            <w:pPr>
              <w:pStyle w:val="15"/>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75"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35F1FA19">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六、</w:t>
            </w:r>
            <w:r>
              <w:rPr>
                <w:rFonts w:hint="eastAsia" w:ascii="宋体" w:hAnsi="宋体" w:eastAsia="宋体" w:cs="宋体"/>
                <w:color w:val="auto"/>
                <w:sz w:val="20"/>
                <w:szCs w:val="20"/>
                <w:shd w:val="clear" w:color="auto" w:fill="FFFFFF"/>
                <w:lang w:eastAsia="zh-CN" w:bidi="ar"/>
              </w:rPr>
              <w:t>服务质量监管</w:t>
            </w:r>
          </w:p>
          <w:p w14:paraId="01BEAB4C">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 xml:space="preserve">1. </w:t>
            </w:r>
            <w:r>
              <w:rPr>
                <w:rFonts w:hint="eastAsia" w:ascii="宋体" w:hAnsi="宋体" w:eastAsia="宋体" w:cs="宋体"/>
                <w:color w:val="auto"/>
                <w:sz w:val="20"/>
                <w:szCs w:val="20"/>
                <w:shd w:val="clear" w:color="auto" w:fill="FFFFFF"/>
                <w:lang w:eastAsia="zh-CN" w:bidi="ar"/>
              </w:rPr>
              <w:t>由采购人每</w:t>
            </w:r>
            <w:r>
              <w:rPr>
                <w:rFonts w:hint="eastAsia" w:ascii="宋体" w:hAnsi="宋体" w:eastAsia="宋体" w:cs="宋体"/>
                <w:color w:val="auto"/>
                <w:sz w:val="20"/>
                <w:szCs w:val="20"/>
                <w:shd w:val="clear" w:color="auto" w:fill="FFFFFF"/>
                <w:lang w:val="en-US" w:eastAsia="zh-CN" w:bidi="ar"/>
              </w:rPr>
              <w:t>半年</w:t>
            </w:r>
            <w:r>
              <w:rPr>
                <w:rFonts w:hint="eastAsia" w:ascii="宋体" w:hAnsi="宋体" w:eastAsia="宋体" w:cs="宋体"/>
                <w:color w:val="auto"/>
                <w:sz w:val="20"/>
                <w:szCs w:val="20"/>
                <w:shd w:val="clear" w:color="auto" w:fill="FFFFFF"/>
                <w:lang w:eastAsia="zh-CN" w:bidi="ar"/>
              </w:rPr>
              <w:t>对中标人的服务质量进行监督考核（详见附表一《水箱清洗消毒服务质量考评表》），每半年对中标人该周期内所有清洗消毒服务进行综合考评。中标人应积极配合采购人的监督和考评，不得以任何理由拒绝或阻挠采购人的考核。</w:t>
            </w:r>
          </w:p>
          <w:p w14:paraId="5E9E71E7">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 xml:space="preserve">2. </w:t>
            </w:r>
            <w:r>
              <w:rPr>
                <w:rFonts w:hint="eastAsia" w:ascii="宋体" w:hAnsi="宋体" w:eastAsia="宋体" w:cs="宋体"/>
                <w:color w:val="auto"/>
                <w:sz w:val="20"/>
                <w:szCs w:val="20"/>
                <w:shd w:val="clear" w:color="auto" w:fill="FFFFFF"/>
                <w:lang w:eastAsia="zh-CN" w:bidi="ar"/>
              </w:rPr>
              <w:t>考评要求：考评总分为100分，考评分按实际考评得分计算。考核结果≥90分为合格；考核结果为80-89分的，中标人应对存在问题限时整改，同一问题连续出现两次的，采购人有权对中标人按500元/次进行扣罚；考核结果为70-79分的，采购人有权对中标人按</w:t>
            </w:r>
            <w:r>
              <w:rPr>
                <w:rFonts w:hint="eastAsia" w:ascii="宋体" w:hAnsi="宋体" w:eastAsia="宋体" w:cs="宋体"/>
                <w:color w:val="auto"/>
                <w:sz w:val="20"/>
                <w:szCs w:val="20"/>
                <w:shd w:val="clear" w:color="auto" w:fill="FFFFFF"/>
                <w:lang w:val="en-US" w:eastAsia="zh-CN" w:bidi="ar"/>
              </w:rPr>
              <w:t>单次服务费</w:t>
            </w:r>
            <w:r>
              <w:rPr>
                <w:rFonts w:hint="eastAsia" w:ascii="宋体" w:hAnsi="宋体" w:eastAsia="宋体" w:cs="宋体"/>
                <w:color w:val="auto"/>
                <w:sz w:val="20"/>
                <w:szCs w:val="20"/>
                <w:shd w:val="clear" w:color="auto" w:fill="FFFFFF"/>
                <w:lang w:eastAsia="zh-CN" w:bidi="ar"/>
              </w:rPr>
              <w:t>1000元/次进行扣罚，如果中标人连续2</w:t>
            </w:r>
            <w:r>
              <w:rPr>
                <w:rFonts w:hint="eastAsia" w:ascii="宋体" w:hAnsi="宋体" w:eastAsia="宋体" w:cs="宋体"/>
                <w:color w:val="auto"/>
                <w:sz w:val="20"/>
                <w:szCs w:val="20"/>
                <w:shd w:val="clear" w:color="auto" w:fill="FFFFFF"/>
                <w:lang w:val="en-US" w:eastAsia="zh-CN" w:bidi="ar"/>
              </w:rPr>
              <w:t>次</w:t>
            </w:r>
            <w:r>
              <w:rPr>
                <w:rFonts w:hint="eastAsia" w:ascii="宋体" w:hAnsi="宋体" w:eastAsia="宋体" w:cs="宋体"/>
                <w:color w:val="auto"/>
                <w:sz w:val="20"/>
                <w:szCs w:val="20"/>
                <w:shd w:val="clear" w:color="auto" w:fill="FFFFFF"/>
                <w:lang w:eastAsia="zh-CN" w:bidi="ar"/>
              </w:rPr>
              <w:t>服务质量</w:t>
            </w:r>
            <w:r>
              <w:rPr>
                <w:rFonts w:hint="eastAsia" w:ascii="宋体" w:hAnsi="宋体" w:eastAsia="宋体" w:cs="宋体"/>
                <w:color w:val="auto"/>
                <w:sz w:val="20"/>
                <w:szCs w:val="20"/>
                <w:shd w:val="clear" w:color="auto" w:fill="FFFFFF"/>
                <w:lang w:val="en-US" w:eastAsia="zh-CN" w:bidi="ar"/>
              </w:rPr>
              <w:t>考核</w:t>
            </w:r>
            <w:r>
              <w:rPr>
                <w:rFonts w:hint="eastAsia" w:ascii="宋体" w:hAnsi="宋体" w:eastAsia="宋体" w:cs="宋体"/>
                <w:color w:val="auto"/>
                <w:sz w:val="20"/>
                <w:szCs w:val="20"/>
                <w:shd w:val="clear" w:color="auto" w:fill="FFFFFF"/>
                <w:lang w:eastAsia="zh-CN" w:bidi="ar"/>
              </w:rPr>
              <w:t>低于75分或因中标人的责任发生安全事件且造成严重后果的，采购人有权拒绝支付服务费且单方提前终止合同，并继续追究中标人相关责任。</w:t>
            </w:r>
          </w:p>
          <w:p w14:paraId="2308860E">
            <w:pPr>
              <w:keepNext w:val="0"/>
              <w:keepLines w:val="0"/>
              <w:pageBreakBefore w:val="0"/>
              <w:widowControl w:val="0"/>
              <w:wordWrap/>
              <w:overflowPunct/>
              <w:topLinePunct w:val="0"/>
              <w:autoSpaceDE w:val="0"/>
              <w:bidi w:val="0"/>
              <w:spacing w:line="230" w:lineRule="exact"/>
              <w:textAlignment w:val="baseline"/>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 xml:space="preserve">3. </w:t>
            </w:r>
            <w:r>
              <w:rPr>
                <w:rFonts w:hint="eastAsia" w:ascii="宋体" w:hAnsi="宋体" w:eastAsia="宋体" w:cs="宋体"/>
                <w:color w:val="auto"/>
                <w:sz w:val="20"/>
                <w:szCs w:val="20"/>
                <w:shd w:val="clear" w:color="auto" w:fill="FFFFFF"/>
                <w:lang w:eastAsia="zh-CN" w:bidi="ar"/>
              </w:rPr>
              <w:t>如中标人未按要求落实相关清洗消毒服务，存在弄虚作假行为的，采购人有权进行相应的扣罚：第一次发现扣罚500元，第二次发现扣罚</w:t>
            </w:r>
            <w:r>
              <w:rPr>
                <w:rFonts w:hint="eastAsia" w:ascii="宋体" w:hAnsi="宋体" w:eastAsia="宋体" w:cs="宋体"/>
                <w:color w:val="auto"/>
                <w:sz w:val="20"/>
                <w:szCs w:val="20"/>
                <w:shd w:val="clear" w:color="auto" w:fill="FFFFFF"/>
                <w:lang w:val="en-US" w:eastAsia="zh-CN" w:bidi="ar"/>
              </w:rPr>
              <w:t>1000</w:t>
            </w:r>
            <w:r>
              <w:rPr>
                <w:rFonts w:hint="eastAsia" w:ascii="宋体" w:hAnsi="宋体" w:eastAsia="宋体" w:cs="宋体"/>
                <w:color w:val="auto"/>
                <w:sz w:val="20"/>
                <w:szCs w:val="20"/>
                <w:shd w:val="clear" w:color="auto" w:fill="FFFFFF"/>
                <w:lang w:eastAsia="zh-CN" w:bidi="ar"/>
              </w:rPr>
              <w:t>元，第三次发现</w:t>
            </w:r>
            <w:r>
              <w:rPr>
                <w:rFonts w:hint="eastAsia" w:ascii="宋体" w:hAnsi="宋体" w:eastAsia="宋体" w:cs="宋体"/>
                <w:color w:val="auto"/>
                <w:sz w:val="20"/>
                <w:szCs w:val="20"/>
                <w:shd w:val="clear" w:color="auto" w:fill="FFFFFF"/>
                <w:lang w:val="en-US" w:eastAsia="zh-CN" w:bidi="ar"/>
              </w:rPr>
              <w:t>扣罚1500元</w:t>
            </w:r>
            <w:r>
              <w:rPr>
                <w:rFonts w:hint="eastAsia" w:ascii="宋体" w:hAnsi="宋体" w:eastAsia="宋体" w:cs="宋体"/>
                <w:color w:val="auto"/>
                <w:sz w:val="20"/>
                <w:szCs w:val="20"/>
                <w:shd w:val="clear" w:color="auto" w:fill="FFFFFF"/>
                <w:lang w:eastAsia="zh-CN" w:bidi="ar"/>
              </w:rPr>
              <w:t>，达到三次采购人有权中止合同并扣罚合同总额20%违约金。</w:t>
            </w:r>
          </w:p>
        </w:tc>
        <w:tc>
          <w:tcPr>
            <w:tcW w:w="1425" w:type="dxa"/>
          </w:tcPr>
          <w:p w14:paraId="309C6D61">
            <w:pPr>
              <w:pStyle w:val="15"/>
              <w:rPr>
                <w:rFonts w:ascii="宋体" w:hAnsi="宋体" w:eastAsia="宋体" w:cs="宋体"/>
                <w:lang w:eastAsia="zh-CN"/>
              </w:rPr>
            </w:pPr>
          </w:p>
        </w:tc>
        <w:tc>
          <w:tcPr>
            <w:tcW w:w="978" w:type="dxa"/>
          </w:tcPr>
          <w:p w14:paraId="3DA9A9F7">
            <w:pPr>
              <w:pStyle w:val="15"/>
              <w:rPr>
                <w:rFonts w:ascii="宋体" w:hAnsi="宋体" w:eastAsia="宋体" w:cs="宋体"/>
                <w:lang w:eastAsia="zh-CN"/>
              </w:rPr>
            </w:pPr>
          </w:p>
        </w:tc>
        <w:tc>
          <w:tcPr>
            <w:tcW w:w="1065" w:type="dxa"/>
          </w:tcPr>
          <w:p w14:paraId="3217B854">
            <w:pPr>
              <w:pStyle w:val="15"/>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18606B29">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七、付款</w:t>
            </w:r>
            <w:r>
              <w:rPr>
                <w:rFonts w:hint="eastAsia" w:ascii="宋体" w:hAnsi="宋体" w:eastAsia="宋体" w:cs="宋体"/>
                <w:color w:val="auto"/>
                <w:sz w:val="20"/>
                <w:szCs w:val="20"/>
                <w:shd w:val="clear" w:color="auto" w:fill="FFFFFF"/>
                <w:lang w:eastAsia="zh-CN" w:bidi="ar"/>
              </w:rPr>
              <w:t>结算</w:t>
            </w:r>
            <w:r>
              <w:rPr>
                <w:rFonts w:hint="eastAsia" w:ascii="宋体" w:hAnsi="宋体" w:eastAsia="宋体" w:cs="宋体"/>
                <w:color w:val="auto"/>
                <w:sz w:val="20"/>
                <w:szCs w:val="20"/>
                <w:shd w:val="clear" w:color="auto" w:fill="FFFFFF"/>
                <w:lang w:val="en-US" w:eastAsia="zh-CN" w:bidi="ar"/>
              </w:rPr>
              <w:t>方式</w:t>
            </w:r>
          </w:p>
          <w:p w14:paraId="076CEC70">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每半年结算一次。采购人每半年对中标人的服务质量进行监督考核后结算，根据当次清洗消毒的服务考评结果，按照当次清洗消毒的内容进行结算（医院的水池、水箱清洗次数共11次/年，将每年的服务费划分11份计算，按实际清洗消毒考评结果结算）。每次水池清洗消毒完毕后，中标人向采购人提交水质检验报告，采购人在每次清洗消毒完毕后7天内将服务考评结果反馈中标人。中标人对考核结果有异议的，应在收到反馈后两天内提交书面意见，逾期未提交视为同意。经双方确定服务费用后，中标人开具有效发票，采购人收到发票并审核无误后的六个月内支付费用。</w:t>
            </w:r>
          </w:p>
        </w:tc>
        <w:tc>
          <w:tcPr>
            <w:tcW w:w="1425" w:type="dxa"/>
          </w:tcPr>
          <w:p w14:paraId="63477C59">
            <w:pPr>
              <w:pStyle w:val="15"/>
              <w:rPr>
                <w:rFonts w:ascii="宋体" w:hAnsi="宋体" w:eastAsia="宋体" w:cs="宋体"/>
                <w:lang w:eastAsia="zh-CN"/>
              </w:rPr>
            </w:pPr>
          </w:p>
        </w:tc>
        <w:tc>
          <w:tcPr>
            <w:tcW w:w="978" w:type="dxa"/>
          </w:tcPr>
          <w:p w14:paraId="17855BC8">
            <w:pPr>
              <w:pStyle w:val="15"/>
              <w:rPr>
                <w:rFonts w:ascii="宋体" w:hAnsi="宋体" w:eastAsia="宋体" w:cs="宋体"/>
                <w:lang w:eastAsia="zh-CN"/>
              </w:rPr>
            </w:pPr>
          </w:p>
        </w:tc>
        <w:tc>
          <w:tcPr>
            <w:tcW w:w="1065" w:type="dxa"/>
          </w:tcPr>
          <w:p w14:paraId="6A11C7ED">
            <w:pPr>
              <w:pStyle w:val="15"/>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47" w:type="dxa"/>
          </w:tcPr>
          <w:p w14:paraId="13DC73D4">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八、</w:t>
            </w:r>
            <w:r>
              <w:rPr>
                <w:rFonts w:hint="eastAsia" w:ascii="宋体" w:hAnsi="宋体" w:eastAsia="宋体" w:cs="宋体"/>
                <w:color w:val="auto"/>
                <w:sz w:val="20"/>
                <w:szCs w:val="20"/>
                <w:shd w:val="clear" w:color="auto" w:fill="FFFFFF"/>
                <w:lang w:eastAsia="zh-CN" w:bidi="ar"/>
              </w:rPr>
              <w:t>争议解决方式</w:t>
            </w:r>
          </w:p>
          <w:p w14:paraId="0EDEE4BD">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 若本项目履行过程中发生纠纷，经协商、调解仍无法解决的，可向中山市经济合同仲裁机关申请仲裁，或向采购人所在地人民法院提起诉讼。</w:t>
            </w:r>
          </w:p>
          <w:p w14:paraId="369D5944">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本项目未尽事宜，由合同双方协商确定。</w:t>
            </w:r>
          </w:p>
        </w:tc>
        <w:tc>
          <w:tcPr>
            <w:tcW w:w="1425" w:type="dxa"/>
          </w:tcPr>
          <w:p w14:paraId="4EB37635">
            <w:pPr>
              <w:pStyle w:val="15"/>
              <w:rPr>
                <w:rFonts w:ascii="宋体" w:hAnsi="宋体" w:eastAsia="宋体" w:cs="宋体"/>
                <w:lang w:eastAsia="zh-CN"/>
              </w:rPr>
            </w:pPr>
          </w:p>
        </w:tc>
        <w:tc>
          <w:tcPr>
            <w:tcW w:w="978" w:type="dxa"/>
          </w:tcPr>
          <w:p w14:paraId="42F4AC19">
            <w:pPr>
              <w:pStyle w:val="15"/>
              <w:rPr>
                <w:rFonts w:ascii="宋体" w:hAnsi="宋体" w:eastAsia="宋体" w:cs="宋体"/>
                <w:lang w:eastAsia="zh-CN"/>
              </w:rPr>
            </w:pPr>
          </w:p>
        </w:tc>
        <w:tc>
          <w:tcPr>
            <w:tcW w:w="1065" w:type="dxa"/>
          </w:tcPr>
          <w:p w14:paraId="7C2EA142">
            <w:pPr>
              <w:pStyle w:val="15"/>
              <w:rPr>
                <w:rFonts w:ascii="宋体" w:hAnsi="宋体" w:eastAsia="宋体" w:cs="宋体"/>
                <w:lang w:eastAsia="zh-CN"/>
              </w:rPr>
            </w:pPr>
          </w:p>
        </w:tc>
      </w:tr>
      <w:tr w14:paraId="248F0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256AF9E6">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47" w:type="dxa"/>
          </w:tcPr>
          <w:p w14:paraId="40EE91D2">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九、评审方式</w:t>
            </w:r>
          </w:p>
          <w:p w14:paraId="6AEBC853">
            <w:pPr>
              <w:keepNext w:val="0"/>
              <w:keepLines w:val="0"/>
              <w:pageBreakBefore w:val="0"/>
              <w:widowControl w:val="0"/>
              <w:wordWrap/>
              <w:overflowPunct/>
              <w:topLinePunct w:val="0"/>
              <w:autoSpaceDE w:val="0"/>
              <w:bidi w:val="0"/>
              <w:spacing w:line="230" w:lineRule="exact"/>
              <w:textAlignment w:val="baseline"/>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采用经评审的最低投标价法开展评审工作，在满足采购需求书实质性要求的前提下，确定投标报价最低的投标人为中标候选人（报价格式详见附件二《响应文件模板》）。如有两家或以上供应商相同报价时，以平台响应报名时间更早者为优先。</w:t>
            </w:r>
          </w:p>
        </w:tc>
        <w:tc>
          <w:tcPr>
            <w:tcW w:w="1425" w:type="dxa"/>
          </w:tcPr>
          <w:p w14:paraId="69E926AE">
            <w:pPr>
              <w:pStyle w:val="15"/>
              <w:rPr>
                <w:rFonts w:ascii="宋体" w:hAnsi="宋体" w:eastAsia="宋体" w:cs="宋体"/>
                <w:lang w:eastAsia="zh-CN"/>
              </w:rPr>
            </w:pPr>
          </w:p>
        </w:tc>
        <w:tc>
          <w:tcPr>
            <w:tcW w:w="978" w:type="dxa"/>
          </w:tcPr>
          <w:p w14:paraId="05962F9D">
            <w:pPr>
              <w:pStyle w:val="15"/>
              <w:rPr>
                <w:rFonts w:ascii="宋体" w:hAnsi="宋体" w:eastAsia="宋体" w:cs="宋体"/>
                <w:lang w:eastAsia="zh-CN"/>
              </w:rPr>
            </w:pPr>
          </w:p>
        </w:tc>
        <w:tc>
          <w:tcPr>
            <w:tcW w:w="1065" w:type="dxa"/>
          </w:tcPr>
          <w:p w14:paraId="3CDFF772">
            <w:pPr>
              <w:pStyle w:val="15"/>
              <w:rPr>
                <w:rFonts w:ascii="宋体" w:hAnsi="宋体" w:eastAsia="宋体" w:cs="宋体"/>
                <w:lang w:eastAsia="zh-CN"/>
              </w:rPr>
            </w:pPr>
          </w:p>
        </w:tc>
      </w:tr>
    </w:tbl>
    <w:p w14:paraId="4A7FEAB5">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九、提供近三年以来水箱清洗消毒相关业绩证明文件，须提供合同关键页复印件（加盖公章，如无可删）。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4"/>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5"/>
            </w:pPr>
          </w:p>
        </w:tc>
        <w:tc>
          <w:tcPr>
            <w:tcW w:w="1854" w:type="dxa"/>
          </w:tcPr>
          <w:p w14:paraId="43601105">
            <w:pPr>
              <w:pStyle w:val="15"/>
            </w:pPr>
          </w:p>
        </w:tc>
        <w:tc>
          <w:tcPr>
            <w:tcW w:w="1986" w:type="dxa"/>
          </w:tcPr>
          <w:p w14:paraId="6311272B">
            <w:pPr>
              <w:pStyle w:val="15"/>
            </w:pPr>
          </w:p>
        </w:tc>
        <w:tc>
          <w:tcPr>
            <w:tcW w:w="1722" w:type="dxa"/>
          </w:tcPr>
          <w:p w14:paraId="3768DC7F">
            <w:pPr>
              <w:pStyle w:val="15"/>
            </w:pPr>
          </w:p>
        </w:tc>
        <w:tc>
          <w:tcPr>
            <w:tcW w:w="1191" w:type="dxa"/>
          </w:tcPr>
          <w:p w14:paraId="2305DC57">
            <w:pPr>
              <w:pStyle w:val="15"/>
            </w:pPr>
          </w:p>
        </w:tc>
        <w:tc>
          <w:tcPr>
            <w:tcW w:w="1471" w:type="dxa"/>
            <w:tcBorders>
              <w:right w:val="single" w:color="000000" w:sz="2" w:space="0"/>
            </w:tcBorders>
          </w:tcPr>
          <w:p w14:paraId="1DC4DC5D">
            <w:pPr>
              <w:pStyle w:val="15"/>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5"/>
            </w:pPr>
          </w:p>
        </w:tc>
        <w:tc>
          <w:tcPr>
            <w:tcW w:w="1854" w:type="dxa"/>
          </w:tcPr>
          <w:p w14:paraId="26C3F9DC">
            <w:pPr>
              <w:pStyle w:val="15"/>
            </w:pPr>
          </w:p>
        </w:tc>
        <w:tc>
          <w:tcPr>
            <w:tcW w:w="1986" w:type="dxa"/>
          </w:tcPr>
          <w:p w14:paraId="0C8FC5A6">
            <w:pPr>
              <w:pStyle w:val="15"/>
            </w:pPr>
          </w:p>
        </w:tc>
        <w:tc>
          <w:tcPr>
            <w:tcW w:w="1722" w:type="dxa"/>
          </w:tcPr>
          <w:p w14:paraId="036176B2">
            <w:pPr>
              <w:pStyle w:val="15"/>
            </w:pPr>
          </w:p>
        </w:tc>
        <w:tc>
          <w:tcPr>
            <w:tcW w:w="1191" w:type="dxa"/>
          </w:tcPr>
          <w:p w14:paraId="69BDA775">
            <w:pPr>
              <w:pStyle w:val="15"/>
            </w:pPr>
          </w:p>
        </w:tc>
        <w:tc>
          <w:tcPr>
            <w:tcW w:w="1471" w:type="dxa"/>
            <w:tcBorders>
              <w:right w:val="single" w:color="000000" w:sz="2" w:space="0"/>
            </w:tcBorders>
          </w:tcPr>
          <w:p w14:paraId="74EE419A">
            <w:pPr>
              <w:pStyle w:val="15"/>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5"/>
            </w:pPr>
          </w:p>
        </w:tc>
        <w:tc>
          <w:tcPr>
            <w:tcW w:w="1854" w:type="dxa"/>
            <w:tcBorders>
              <w:bottom w:val="single" w:color="000000" w:sz="2" w:space="0"/>
            </w:tcBorders>
          </w:tcPr>
          <w:p w14:paraId="40B04108">
            <w:pPr>
              <w:pStyle w:val="15"/>
            </w:pPr>
          </w:p>
        </w:tc>
        <w:tc>
          <w:tcPr>
            <w:tcW w:w="1986" w:type="dxa"/>
            <w:tcBorders>
              <w:bottom w:val="single" w:color="000000" w:sz="2" w:space="0"/>
            </w:tcBorders>
          </w:tcPr>
          <w:p w14:paraId="4C40CFD8">
            <w:pPr>
              <w:pStyle w:val="15"/>
            </w:pPr>
          </w:p>
        </w:tc>
        <w:tc>
          <w:tcPr>
            <w:tcW w:w="1722" w:type="dxa"/>
            <w:tcBorders>
              <w:bottom w:val="single" w:color="000000" w:sz="2" w:space="0"/>
            </w:tcBorders>
          </w:tcPr>
          <w:p w14:paraId="4F595AE5">
            <w:pPr>
              <w:pStyle w:val="15"/>
            </w:pPr>
          </w:p>
        </w:tc>
        <w:tc>
          <w:tcPr>
            <w:tcW w:w="1191" w:type="dxa"/>
            <w:tcBorders>
              <w:bottom w:val="single" w:color="000000" w:sz="2" w:space="0"/>
            </w:tcBorders>
          </w:tcPr>
          <w:p w14:paraId="7692FA63">
            <w:pPr>
              <w:pStyle w:val="15"/>
            </w:pPr>
          </w:p>
        </w:tc>
        <w:tc>
          <w:tcPr>
            <w:tcW w:w="1471" w:type="dxa"/>
            <w:tcBorders>
              <w:bottom w:val="single" w:color="000000" w:sz="2" w:space="0"/>
              <w:right w:val="single" w:color="000000" w:sz="2" w:space="0"/>
            </w:tcBorders>
          </w:tcPr>
          <w:p w14:paraId="48AC055B">
            <w:pPr>
              <w:pStyle w:val="15"/>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1"/>
          <w:szCs w:val="21"/>
          <w:lang w:eastAsia="zh-CN"/>
        </w:rPr>
      </w:pPr>
      <w:r>
        <w:rPr>
          <w:rFonts w:hint="eastAsia" w:ascii="宋体" w:hAnsi="宋体" w:eastAsia="宋体" w:cs="宋体"/>
          <w:spacing w:val="8"/>
          <w:sz w:val="21"/>
          <w:szCs w:val="21"/>
          <w:lang w:val="en-US" w:eastAsia="zh-CN"/>
        </w:rPr>
        <w:t>供应商</w:t>
      </w:r>
      <w:r>
        <w:rPr>
          <w:rFonts w:ascii="宋体" w:hAnsi="宋体" w:eastAsia="宋体" w:cs="宋体"/>
          <w:spacing w:val="8"/>
          <w:sz w:val="21"/>
          <w:szCs w:val="21"/>
          <w:lang w:eastAsia="zh-CN"/>
        </w:rPr>
        <w:t>名称（盖章</w:t>
      </w:r>
      <w:r>
        <w:rPr>
          <w:rFonts w:ascii="宋体" w:hAnsi="宋体" w:eastAsia="宋体" w:cs="宋体"/>
          <w:spacing w:val="13"/>
          <w:sz w:val="21"/>
          <w:szCs w:val="21"/>
          <w:lang w:eastAsia="zh-CN"/>
        </w:rPr>
        <w:t>）：</w:t>
      </w:r>
      <w:r>
        <w:rPr>
          <w:rFonts w:ascii="宋体" w:hAnsi="宋体" w:eastAsia="宋体" w:cs="宋体"/>
          <w:sz w:val="21"/>
          <w:szCs w:val="21"/>
          <w:u w:val="single"/>
          <w:lang w:eastAsia="zh-CN"/>
        </w:rPr>
        <w:t xml:space="preserve">                          </w:t>
      </w:r>
    </w:p>
    <w:p w14:paraId="5B5A1280">
      <w:pPr>
        <w:spacing w:before="65" w:line="227" w:lineRule="auto"/>
        <w:ind w:left="22"/>
        <w:rPr>
          <w:rFonts w:ascii="宋体" w:hAnsi="宋体" w:eastAsia="宋体" w:cs="宋体"/>
          <w:spacing w:val="9"/>
          <w:sz w:val="21"/>
          <w:szCs w:val="21"/>
          <w:lang w:eastAsia="zh-CN"/>
        </w:rPr>
      </w:pPr>
    </w:p>
    <w:p w14:paraId="73AB7F11">
      <w:pPr>
        <w:spacing w:before="65" w:line="227" w:lineRule="auto"/>
        <w:ind w:left="22"/>
        <w:rPr>
          <w:rFonts w:ascii="宋体" w:hAnsi="宋体" w:eastAsia="宋体" w:cs="宋体"/>
          <w:sz w:val="21"/>
          <w:szCs w:val="21"/>
          <w:lang w:eastAsia="zh-CN"/>
        </w:rPr>
      </w:pPr>
      <w:r>
        <w:rPr>
          <w:rFonts w:hint="eastAsia" w:ascii="宋体" w:hAnsi="宋体" w:eastAsia="宋体" w:cs="宋体"/>
          <w:spacing w:val="9"/>
          <w:sz w:val="21"/>
          <w:szCs w:val="21"/>
          <w:lang w:val="en-US" w:eastAsia="zh-CN"/>
        </w:rPr>
        <w:t>供应商</w:t>
      </w:r>
      <w:r>
        <w:rPr>
          <w:rFonts w:ascii="宋体" w:hAnsi="宋体" w:eastAsia="宋体" w:cs="宋体"/>
          <w:spacing w:val="9"/>
          <w:sz w:val="21"/>
          <w:szCs w:val="21"/>
          <w:lang w:eastAsia="zh-CN"/>
        </w:rPr>
        <w:t>法定代表人（或法定代表人授权代表）签字：</w:t>
      </w:r>
      <w:r>
        <w:rPr>
          <w:rFonts w:ascii="宋体" w:hAnsi="宋体" w:eastAsia="宋体" w:cs="宋体"/>
          <w:sz w:val="21"/>
          <w:szCs w:val="21"/>
          <w:u w:val="single"/>
          <w:lang w:eastAsia="zh-CN"/>
        </w:rPr>
        <w:t xml:space="preserve">                    </w:t>
      </w:r>
    </w:p>
    <w:p w14:paraId="1B30ABE4">
      <w:pPr>
        <w:spacing w:before="41" w:line="227" w:lineRule="auto"/>
        <w:rPr>
          <w:rFonts w:hint="eastAsia" w:ascii="宋体" w:hAnsi="宋体" w:eastAsia="宋体" w:cs="宋体"/>
          <w:b/>
          <w:bCs/>
          <w:spacing w:val="7"/>
          <w:sz w:val="21"/>
          <w:szCs w:val="21"/>
          <w:lang w:val="en-US" w:eastAsia="zh-CN"/>
        </w:rPr>
      </w:pPr>
      <w:r>
        <w:rPr>
          <w:rFonts w:ascii="宋体" w:hAnsi="宋体" w:eastAsia="宋体" w:cs="宋体"/>
          <w:spacing w:val="-6"/>
          <w:sz w:val="21"/>
          <w:szCs w:val="21"/>
          <w:lang w:eastAsia="zh-CN"/>
        </w:rPr>
        <w:t>日期：</w:t>
      </w:r>
      <w:r>
        <w:rPr>
          <w:rFonts w:ascii="宋体" w:hAnsi="宋体" w:eastAsia="宋体" w:cs="宋体"/>
          <w:spacing w:val="13"/>
          <w:sz w:val="21"/>
          <w:szCs w:val="21"/>
          <w:lang w:eastAsia="zh-CN"/>
        </w:rPr>
        <w:t xml:space="preserve">   </w:t>
      </w:r>
      <w:r>
        <w:rPr>
          <w:rFonts w:ascii="宋体" w:hAnsi="宋体" w:eastAsia="宋体" w:cs="宋体"/>
          <w:spacing w:val="-6"/>
          <w:sz w:val="21"/>
          <w:szCs w:val="21"/>
          <w:lang w:eastAsia="zh-CN"/>
        </w:rPr>
        <w:t>年</w:t>
      </w:r>
      <w:r>
        <w:rPr>
          <w:rFonts w:ascii="宋体" w:hAnsi="宋体" w:eastAsia="宋体" w:cs="宋体"/>
          <w:spacing w:val="9"/>
          <w:sz w:val="21"/>
          <w:szCs w:val="21"/>
          <w:lang w:eastAsia="zh-CN"/>
        </w:rPr>
        <w:t xml:space="preserve">   </w:t>
      </w:r>
      <w:r>
        <w:rPr>
          <w:rFonts w:ascii="宋体" w:hAnsi="宋体" w:eastAsia="宋体" w:cs="宋体"/>
          <w:spacing w:val="-6"/>
          <w:sz w:val="21"/>
          <w:szCs w:val="21"/>
          <w:lang w:eastAsia="zh-CN"/>
        </w:rPr>
        <w:t>月</w:t>
      </w:r>
      <w:r>
        <w:rPr>
          <w:rFonts w:ascii="宋体" w:hAnsi="宋体" w:eastAsia="宋体" w:cs="宋体"/>
          <w:spacing w:val="21"/>
          <w:sz w:val="21"/>
          <w:szCs w:val="21"/>
          <w:lang w:eastAsia="zh-CN"/>
        </w:rPr>
        <w:t xml:space="preserve">   </w:t>
      </w:r>
      <w:r>
        <w:rPr>
          <w:rFonts w:ascii="宋体" w:hAnsi="宋体" w:eastAsia="宋体" w:cs="宋体"/>
          <w:spacing w:val="-6"/>
          <w:sz w:val="21"/>
          <w:szCs w:val="21"/>
          <w:lang w:eastAsia="zh-CN"/>
        </w:rPr>
        <w:t>日</w:t>
      </w:r>
    </w:p>
    <w:p w14:paraId="11B8DEC0">
      <w:pPr>
        <w:pStyle w:val="4"/>
        <w:rPr>
          <w:rFonts w:hint="eastAsia"/>
          <w:sz w:val="28"/>
          <w:szCs w:val="28"/>
          <w:lang w:val="en-US" w:eastAsia="zh-CN"/>
        </w:rPr>
      </w:pPr>
    </w:p>
    <w:p w14:paraId="01E65466">
      <w:pPr>
        <w:spacing w:before="41" w:line="227" w:lineRule="auto"/>
        <w:rPr>
          <w:rFonts w:hint="eastAsia" w:ascii="宋体" w:hAnsi="宋体" w:eastAsia="宋体" w:cs="宋体"/>
          <w:b/>
          <w:bCs/>
          <w:spacing w:val="7"/>
          <w:sz w:val="21"/>
          <w:szCs w:val="21"/>
          <w:lang w:val="en-US" w:eastAsia="zh-CN"/>
        </w:rPr>
        <w:sectPr>
          <w:pgSz w:w="11900" w:h="16840"/>
          <w:pgMar w:top="907" w:right="1701" w:bottom="907" w:left="1701" w:header="0" w:footer="397" w:gutter="0"/>
          <w:pgNumType w:fmt="decimal"/>
          <w:cols w:space="0" w:num="1"/>
          <w:rtlGutter w:val="0"/>
          <w:docGrid w:linePitch="312" w:charSpace="0"/>
        </w:sectPr>
      </w:pP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p>
    <w:p w14:paraId="25AFDB54">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2809C939">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十一、服务承诺函（格式自拟，加盖公章），内容包括但不限于：</w:t>
      </w:r>
    </w:p>
    <w:p w14:paraId="7CC1B27B">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① 每期项目完成后，中标人须向采购人提交水样化验合格报告，该报告须由具备正规检测资质的机构出具，并加盖CMA印章。</w:t>
      </w:r>
    </w:p>
    <w:p w14:paraId="46C6D4FA">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② 中标人须按时、按质、按量完成本清洗项目，保证清洗后蓄水池水质符合国家生活饮用水卫生标准相关指标要求，本项目验收以水样化验报告结果为准，严禁弄虚作假。若清洗完成后，在市政管网水质指标正常的前提下，水质未达到国家相关指标要求、水样化验报告显示不合格的，供应商须无偿重新开展清洗消毒工作，直至水样化验合格，期间产生的全部费用由供应商自行承担；若连续3次验收不合格，采购人有权单方终止合同。</w:t>
      </w:r>
    </w:p>
    <w:p w14:paraId="67B1ECE9">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③ 每半年结算一次。采购人每半年对中标人的服务质量进行监督考核后结算，根据当次清洗消毒的服务考评结果，按照当次清洗消毒的内容进行结算（医院的水池、水箱清洗次数共11次/年，将每年的服务费划分11份计算，按实际清洗消毒考评结果结算）。每次水池清洗消毒完毕后，中标人向采购人提交水质检验报告，采购人在每次清洗消毒完毕后7天内将服务考评结果反馈中标人。中标人对考核结果有异议的，应在收到反馈后两天内提交书面意见，逾期未提交视为同意。经双方确定服务费用后，中标人开具有效发票，采购人收到发票并审核无误后的六个月内支付费用。</w:t>
      </w:r>
    </w:p>
    <w:p w14:paraId="0F3302AE">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④ 本项目采用定期作业模式，每年定期对蓄水箱开展清洗消毒作业，其中冷水箱每年清洗消毒4次，热水箱每年清洗消毒1次；每次清洗消毒作业完成后，须就对应蓄水箱出具1份合格水质报告，提交的报告应当具备技术审核人员签字并加盖CMA章，具体清洗作业时间由双方另行协商确定。服务期限按照本需求书第一大点第4小点执行，总服务期最长为3年，采用1+1+1模式。</w:t>
      </w:r>
    </w:p>
    <w:p w14:paraId="1D889349">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t>⑤</w:t>
      </w:r>
      <w:r>
        <w:rPr>
          <w:rFonts w:hint="eastAsia" w:ascii="宋体" w:hAnsi="宋体" w:eastAsia="宋体" w:cs="宋体"/>
          <w:b/>
          <w:bCs/>
          <w:spacing w:val="7"/>
          <w:sz w:val="20"/>
          <w:szCs w:val="20"/>
          <w:lang w:val="en-US" w:eastAsia="zh-CN"/>
        </w:rPr>
        <w:t xml:space="preserve"> 中标人须根据采购人提供的资料文件、作业场地及相关要求，完成指定水箱的清洗、消毒及水样化验工作；水质报告须由具备二次供水检测资质的第三方检测机构出具，水质化验项目指标包括但不限于：①菌落总数、②总大肠菌群、③浑浊度、④色度、⑤嗅和味、⑥游离余氯、⑦PH、⑧肉眼可见物，具体项目按二次供水地方规范执行，且水质化验项目指标总数不得少于11项。</w:t>
      </w:r>
    </w:p>
    <w:p w14:paraId="4DBF93CF">
      <w:pPr>
        <w:rPr>
          <w:rFonts w:hint="eastAsia" w:ascii="宋体" w:hAnsi="宋体" w:eastAsia="宋体" w:cs="宋体"/>
          <w:b/>
          <w:bCs/>
          <w:spacing w:val="7"/>
          <w:sz w:val="20"/>
          <w:szCs w:val="20"/>
          <w:lang w:val="en-US" w:eastAsia="zh-CN"/>
        </w:rPr>
      </w:pPr>
    </w:p>
    <w:p w14:paraId="484BA3E7">
      <w:pPr>
        <w:rPr>
          <w:rFonts w:hint="eastAsia" w:ascii="宋体" w:hAnsi="宋体" w:eastAsia="宋体" w:cs="宋体"/>
          <w:b/>
          <w:bCs/>
          <w:spacing w:val="7"/>
          <w:sz w:val="20"/>
          <w:szCs w:val="20"/>
          <w:lang w:val="en-US" w:eastAsia="zh-CN"/>
        </w:rPr>
      </w:pPr>
    </w:p>
    <w:p w14:paraId="753A6F19">
      <w:pPr>
        <w:rPr>
          <w:rFonts w:hint="eastAsia" w:ascii="宋体" w:hAnsi="宋体" w:eastAsia="宋体" w:cs="宋体"/>
          <w:b/>
          <w:bCs/>
          <w:spacing w:val="7"/>
          <w:sz w:val="20"/>
          <w:szCs w:val="20"/>
          <w:lang w:val="en-US" w:eastAsia="zh-CN"/>
        </w:rPr>
      </w:pPr>
    </w:p>
    <w:p w14:paraId="4871C35D">
      <w:pPr>
        <w:rPr>
          <w:rFonts w:hint="eastAsia" w:ascii="宋体" w:hAnsi="宋体" w:eastAsia="宋体" w:cs="宋体"/>
          <w:b/>
          <w:bCs/>
          <w:spacing w:val="7"/>
          <w:sz w:val="20"/>
          <w:szCs w:val="20"/>
          <w:lang w:val="en-US" w:eastAsia="zh-CN"/>
        </w:rPr>
        <w:sectPr>
          <w:pgSz w:w="11900" w:h="16840"/>
          <w:pgMar w:top="907" w:right="1701" w:bottom="907" w:left="1701" w:header="0" w:footer="397" w:gutter="0"/>
          <w:pgNumType w:fmt="decimal"/>
          <w:cols w:space="0" w:num="1"/>
          <w:rtlGutter w:val="0"/>
          <w:docGrid w:linePitch="312" w:charSpace="0"/>
        </w:sectPr>
      </w:pP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十二</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包括但不限于：中小企业声明函等其他证明文件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0" w:footer="397"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3BC34">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B03D5E">
                          <w:pPr>
                            <w:pStyle w:val="7"/>
                            <w:rPr>
                              <w:sz w:val="21"/>
                              <w:szCs w:val="24"/>
                            </w:rPr>
                          </w:pPr>
                          <w:r>
                            <w:rPr>
                              <w:sz w:val="21"/>
                              <w:szCs w:val="24"/>
                            </w:rPr>
                            <w:fldChar w:fldCharType="begin"/>
                          </w:r>
                          <w:r>
                            <w:rPr>
                              <w:sz w:val="21"/>
                              <w:szCs w:val="24"/>
                            </w:rPr>
                            <w:instrText xml:space="preserve"> PAGE  \* MERGEFORMAT </w:instrText>
                          </w:r>
                          <w:r>
                            <w:rPr>
                              <w:sz w:val="21"/>
                              <w:szCs w:val="24"/>
                            </w:rPr>
                            <w:fldChar w:fldCharType="separate"/>
                          </w:r>
                          <w:r>
                            <w:rPr>
                              <w:sz w:val="21"/>
                              <w:szCs w:val="24"/>
                            </w:rPr>
                            <w:t>2</w:t>
                          </w:r>
                          <w:r>
                            <w:rPr>
                              <w:sz w:val="21"/>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DB03D5E">
                    <w:pPr>
                      <w:pStyle w:val="7"/>
                      <w:rPr>
                        <w:sz w:val="21"/>
                        <w:szCs w:val="24"/>
                      </w:rPr>
                    </w:pPr>
                    <w:r>
                      <w:rPr>
                        <w:sz w:val="21"/>
                        <w:szCs w:val="24"/>
                      </w:rPr>
                      <w:fldChar w:fldCharType="begin"/>
                    </w:r>
                    <w:r>
                      <w:rPr>
                        <w:sz w:val="21"/>
                        <w:szCs w:val="24"/>
                      </w:rPr>
                      <w:instrText xml:space="preserve"> PAGE  \* MERGEFORMAT </w:instrText>
                    </w:r>
                    <w:r>
                      <w:rPr>
                        <w:sz w:val="21"/>
                        <w:szCs w:val="24"/>
                      </w:rPr>
                      <w:fldChar w:fldCharType="separate"/>
                    </w:r>
                    <w:r>
                      <w:rPr>
                        <w:sz w:val="21"/>
                        <w:szCs w:val="24"/>
                      </w:rPr>
                      <w:t>2</w:t>
                    </w:r>
                    <w:r>
                      <w:rPr>
                        <w:sz w:val="21"/>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1D265D"/>
    <w:rsid w:val="01B3097E"/>
    <w:rsid w:val="01E26336"/>
    <w:rsid w:val="01E76CB4"/>
    <w:rsid w:val="03457824"/>
    <w:rsid w:val="03945D38"/>
    <w:rsid w:val="046917C8"/>
    <w:rsid w:val="048D4A4C"/>
    <w:rsid w:val="04CE0985"/>
    <w:rsid w:val="05D250F6"/>
    <w:rsid w:val="060A5383"/>
    <w:rsid w:val="06794550"/>
    <w:rsid w:val="06BE352D"/>
    <w:rsid w:val="07D772C8"/>
    <w:rsid w:val="07DE22A7"/>
    <w:rsid w:val="0851471E"/>
    <w:rsid w:val="08805332"/>
    <w:rsid w:val="0A1B60BD"/>
    <w:rsid w:val="0A382368"/>
    <w:rsid w:val="0D466B70"/>
    <w:rsid w:val="0D5D5C42"/>
    <w:rsid w:val="0E881903"/>
    <w:rsid w:val="0E9C78E3"/>
    <w:rsid w:val="0F846B80"/>
    <w:rsid w:val="107F61F2"/>
    <w:rsid w:val="10D939A5"/>
    <w:rsid w:val="11890621"/>
    <w:rsid w:val="121558B9"/>
    <w:rsid w:val="1247068A"/>
    <w:rsid w:val="126C008B"/>
    <w:rsid w:val="12803878"/>
    <w:rsid w:val="1291195C"/>
    <w:rsid w:val="13666B31"/>
    <w:rsid w:val="1398565F"/>
    <w:rsid w:val="14C35ABD"/>
    <w:rsid w:val="152A0F41"/>
    <w:rsid w:val="15DE349E"/>
    <w:rsid w:val="16820E36"/>
    <w:rsid w:val="16CC646C"/>
    <w:rsid w:val="16DD5993"/>
    <w:rsid w:val="17192449"/>
    <w:rsid w:val="171A0831"/>
    <w:rsid w:val="18C80C4B"/>
    <w:rsid w:val="1A923556"/>
    <w:rsid w:val="1C616530"/>
    <w:rsid w:val="1E9D0594"/>
    <w:rsid w:val="1EA01408"/>
    <w:rsid w:val="1EA21FDF"/>
    <w:rsid w:val="1EDF5020"/>
    <w:rsid w:val="1F29593C"/>
    <w:rsid w:val="1F51709C"/>
    <w:rsid w:val="1FCB0CC2"/>
    <w:rsid w:val="1FD41861"/>
    <w:rsid w:val="20607AD1"/>
    <w:rsid w:val="20BE2A44"/>
    <w:rsid w:val="218C3CE3"/>
    <w:rsid w:val="22732647"/>
    <w:rsid w:val="23197101"/>
    <w:rsid w:val="231E7145"/>
    <w:rsid w:val="23487B36"/>
    <w:rsid w:val="235A3932"/>
    <w:rsid w:val="238B6F39"/>
    <w:rsid w:val="23CE2811"/>
    <w:rsid w:val="267A1EFC"/>
    <w:rsid w:val="2695736E"/>
    <w:rsid w:val="26B446CD"/>
    <w:rsid w:val="27867BF7"/>
    <w:rsid w:val="2801515C"/>
    <w:rsid w:val="281105FD"/>
    <w:rsid w:val="28580DF7"/>
    <w:rsid w:val="28993050"/>
    <w:rsid w:val="28BC68C6"/>
    <w:rsid w:val="2AB638E3"/>
    <w:rsid w:val="2C820DC9"/>
    <w:rsid w:val="2CF021D7"/>
    <w:rsid w:val="2F5129F3"/>
    <w:rsid w:val="2F7E615E"/>
    <w:rsid w:val="30C13E31"/>
    <w:rsid w:val="314F5556"/>
    <w:rsid w:val="321F317F"/>
    <w:rsid w:val="336C189B"/>
    <w:rsid w:val="345A5CDB"/>
    <w:rsid w:val="36073C0B"/>
    <w:rsid w:val="39C24715"/>
    <w:rsid w:val="3A9A25B0"/>
    <w:rsid w:val="3B082DE1"/>
    <w:rsid w:val="3B1F411C"/>
    <w:rsid w:val="3BA01D4C"/>
    <w:rsid w:val="3BF07AFD"/>
    <w:rsid w:val="3C0025D5"/>
    <w:rsid w:val="3D2A69F0"/>
    <w:rsid w:val="3EB26D88"/>
    <w:rsid w:val="3EC85642"/>
    <w:rsid w:val="3F7A12F5"/>
    <w:rsid w:val="40671DCB"/>
    <w:rsid w:val="40C03509"/>
    <w:rsid w:val="40C56703"/>
    <w:rsid w:val="411E510D"/>
    <w:rsid w:val="418005E1"/>
    <w:rsid w:val="41C53BAE"/>
    <w:rsid w:val="433379C8"/>
    <w:rsid w:val="440B586E"/>
    <w:rsid w:val="4427517F"/>
    <w:rsid w:val="44E4666D"/>
    <w:rsid w:val="45D109A0"/>
    <w:rsid w:val="471B2DEA"/>
    <w:rsid w:val="49A32D66"/>
    <w:rsid w:val="49BE56DF"/>
    <w:rsid w:val="4A4831FA"/>
    <w:rsid w:val="4B3C5B28"/>
    <w:rsid w:val="4BD765E4"/>
    <w:rsid w:val="4C030C69"/>
    <w:rsid w:val="4C1E4213"/>
    <w:rsid w:val="4D6D55DC"/>
    <w:rsid w:val="4EA57802"/>
    <w:rsid w:val="4FAF7B58"/>
    <w:rsid w:val="50573AD2"/>
    <w:rsid w:val="509D1BD8"/>
    <w:rsid w:val="5178029F"/>
    <w:rsid w:val="52163CF5"/>
    <w:rsid w:val="533C744B"/>
    <w:rsid w:val="54B97F1A"/>
    <w:rsid w:val="5500455B"/>
    <w:rsid w:val="556A1102"/>
    <w:rsid w:val="5774562F"/>
    <w:rsid w:val="57F95B34"/>
    <w:rsid w:val="58514D81"/>
    <w:rsid w:val="58EA5D45"/>
    <w:rsid w:val="590B523B"/>
    <w:rsid w:val="5A276988"/>
    <w:rsid w:val="5BFF1022"/>
    <w:rsid w:val="5CCF29EE"/>
    <w:rsid w:val="5E5E5F4E"/>
    <w:rsid w:val="5F1A2F60"/>
    <w:rsid w:val="603E2DBB"/>
    <w:rsid w:val="619310C7"/>
    <w:rsid w:val="64F80876"/>
    <w:rsid w:val="66477914"/>
    <w:rsid w:val="66491FD0"/>
    <w:rsid w:val="66CD13A4"/>
    <w:rsid w:val="682B1E84"/>
    <w:rsid w:val="6A702141"/>
    <w:rsid w:val="6AE7340E"/>
    <w:rsid w:val="6B147BF9"/>
    <w:rsid w:val="6B781554"/>
    <w:rsid w:val="6C143FC0"/>
    <w:rsid w:val="6C6F0A68"/>
    <w:rsid w:val="6CA46403"/>
    <w:rsid w:val="6FA45556"/>
    <w:rsid w:val="708315F7"/>
    <w:rsid w:val="71D71C08"/>
    <w:rsid w:val="73252077"/>
    <w:rsid w:val="7372318C"/>
    <w:rsid w:val="75E87F4B"/>
    <w:rsid w:val="76C02894"/>
    <w:rsid w:val="76F02CAF"/>
    <w:rsid w:val="790F76AC"/>
    <w:rsid w:val="79517126"/>
    <w:rsid w:val="796901D9"/>
    <w:rsid w:val="7BC02414"/>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w:basedOn w:val="1"/>
    <w:qFormat/>
    <w:uiPriority w:val="0"/>
    <w:pPr>
      <w:adjustRightInd w:val="0"/>
      <w:snapToGrid w:val="0"/>
      <w:spacing w:line="360" w:lineRule="auto"/>
      <w:ind w:firstLine="170"/>
      <w:jc w:val="center"/>
    </w:pPr>
    <w:rPr>
      <w:rFonts w:ascii="宋体" w:hAnsi="宋体"/>
      <w:b/>
      <w:color w:val="000000"/>
      <w:sz w:val="44"/>
    </w:rPr>
  </w:style>
  <w:style w:type="paragraph" w:styleId="6">
    <w:name w:val="Body Text Indent 2"/>
    <w:basedOn w:val="1"/>
    <w:link w:val="16"/>
    <w:qFormat/>
    <w:uiPriority w:val="0"/>
    <w:pPr>
      <w:spacing w:after="120" w:line="480" w:lineRule="auto"/>
      <w:ind w:left="420" w:leftChars="200"/>
    </w:pPr>
    <w:rPr>
      <w:szCs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pPr>
    <w:rPr>
      <w:rFonts w:cs="Times New Roman"/>
      <w:sz w:val="24"/>
      <w:lang w:eastAsia="zh-CN"/>
    </w:rPr>
  </w:style>
  <w:style w:type="paragraph" w:styleId="10">
    <w:name w:val="Body Text First Indent 2"/>
    <w:basedOn w:val="5"/>
    <w:qFormat/>
    <w:uiPriority w:val="0"/>
    <w:pPr>
      <w:adjustRightInd/>
      <w:snapToGrid/>
      <w:spacing w:after="120" w:line="240" w:lineRule="auto"/>
      <w:ind w:left="420" w:leftChars="200" w:firstLine="420" w:firstLineChars="200"/>
      <w:jc w:val="both"/>
    </w:pPr>
    <w:rPr>
      <w:rFonts w:ascii="Times New Roman" w:hAnsi="Times New Roman"/>
      <w:b w:val="0"/>
      <w:color w:val="auto"/>
      <w:kern w:val="0"/>
      <w:sz w:val="21"/>
      <w:szCs w:val="20"/>
    </w:rPr>
  </w:style>
  <w:style w:type="character" w:styleId="13">
    <w:name w:val="Strong"/>
    <w:basedOn w:val="12"/>
    <w:qFormat/>
    <w:uiPriority w:val="0"/>
    <w:rPr>
      <w:b/>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style>
  <w:style w:type="character" w:customStyle="1" w:styleId="16">
    <w:name w:val="正文文本缩进 2 Char"/>
    <w:link w:val="6"/>
    <w:autoRedefine/>
    <w:qFormat/>
    <w:uiPriority w:val="0"/>
    <w:rPr>
      <w:szCs w:val="20"/>
    </w:rPr>
  </w:style>
  <w:style w:type="character" w:customStyle="1" w:styleId="17">
    <w:name w:val="font11"/>
    <w:basedOn w:val="12"/>
    <w:autoRedefine/>
    <w:qFormat/>
    <w:uiPriority w:val="0"/>
    <w:rPr>
      <w:rFonts w:hint="eastAsia" w:ascii="宋体" w:hAnsi="宋体" w:eastAsia="宋体" w:cs="宋体"/>
      <w:color w:val="000000"/>
      <w:sz w:val="22"/>
      <w:szCs w:val="22"/>
      <w:u w:val="single"/>
    </w:rPr>
  </w:style>
  <w:style w:type="character" w:customStyle="1" w:styleId="18">
    <w:name w:val="font31"/>
    <w:basedOn w:val="12"/>
    <w:qFormat/>
    <w:uiPriority w:val="0"/>
    <w:rPr>
      <w:rFonts w:hint="eastAsia" w:ascii="宋体" w:hAnsi="宋体" w:eastAsia="宋体" w:cs="宋体"/>
      <w:color w:val="000000"/>
      <w:sz w:val="21"/>
      <w:szCs w:val="21"/>
      <w:u w:val="none"/>
    </w:rPr>
  </w:style>
  <w:style w:type="paragraph" w:styleId="19">
    <w:name w:val="List Paragraph"/>
    <w:basedOn w:val="1"/>
    <w:qFormat/>
    <w:uiPriority w:val="34"/>
    <w:pPr>
      <w:widowControl/>
      <w:ind w:firstLine="420" w:firstLineChars="200"/>
      <w:jc w:val="left"/>
    </w:pPr>
    <w:rPr>
      <w:kern w:val="0"/>
      <w:szCs w:val="20"/>
    </w:rPr>
  </w:style>
  <w:style w:type="paragraph" w:customStyle="1" w:styleId="2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17</Pages>
  <Words>7711</Words>
  <Characters>8008</Characters>
  <Lines>55</Lines>
  <Paragraphs>15</Paragraphs>
  <TotalTime>0</TotalTime>
  <ScaleCrop>false</ScaleCrop>
  <LinksUpToDate>false</LinksUpToDate>
  <CharactersWithSpaces>8436</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cp:lastPrinted>2026-10-14T00:58:00Z</cp:lastPrinted>
  <dcterms:modified xsi:type="dcterms:W3CDTF">2026-10-15T00:34:17Z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