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8"/>
          <w:rFonts w:ascii="宋体" w:hAnsi="宋体" w:eastAsia="宋体" w:cs="宋体"/>
          <w:b/>
          <w:bCs/>
          <w:sz w:val="32"/>
          <w:szCs w:val="28"/>
        </w:rPr>
      </w:pPr>
    </w:p>
    <w:p w14:paraId="29205C80">
      <w:pPr>
        <w:spacing w:line="360" w:lineRule="auto"/>
        <w:jc w:val="center"/>
        <w:outlineLvl w:val="1"/>
        <w:rPr>
          <w:rStyle w:val="18"/>
          <w:rFonts w:ascii="宋体" w:hAnsi="宋体" w:eastAsia="宋体" w:cs="宋体"/>
          <w:b/>
          <w:bCs/>
          <w:sz w:val="32"/>
          <w:szCs w:val="28"/>
        </w:rPr>
      </w:pPr>
    </w:p>
    <w:p w14:paraId="747644DA">
      <w:pPr>
        <w:spacing w:line="360" w:lineRule="auto"/>
        <w:jc w:val="center"/>
        <w:outlineLvl w:val="1"/>
        <w:rPr>
          <w:rStyle w:val="18"/>
          <w:rFonts w:ascii="宋体" w:hAnsi="宋体" w:eastAsia="宋体" w:cs="宋体"/>
          <w:b/>
          <w:bCs/>
          <w:sz w:val="32"/>
          <w:szCs w:val="28"/>
        </w:rPr>
      </w:pPr>
    </w:p>
    <w:p w14:paraId="29CFB632">
      <w:pPr>
        <w:spacing w:line="360" w:lineRule="auto"/>
        <w:jc w:val="center"/>
        <w:outlineLvl w:val="1"/>
        <w:rPr>
          <w:rStyle w:val="18"/>
          <w:rFonts w:ascii="宋体" w:hAnsi="宋体" w:eastAsia="宋体" w:cs="宋体"/>
          <w:b/>
          <w:bCs/>
          <w:sz w:val="32"/>
          <w:szCs w:val="28"/>
        </w:rPr>
      </w:pPr>
    </w:p>
    <w:p w14:paraId="1DBB6225">
      <w:pPr>
        <w:pStyle w:val="4"/>
        <w:rPr>
          <w:rStyle w:val="18"/>
          <w:rFonts w:ascii="宋体" w:hAnsi="宋体" w:eastAsia="宋体" w:cs="宋体"/>
          <w:b/>
          <w:bCs/>
          <w:sz w:val="32"/>
          <w:szCs w:val="28"/>
        </w:rPr>
      </w:pPr>
    </w:p>
    <w:p w14:paraId="735BB836">
      <w:pPr>
        <w:pStyle w:val="11"/>
        <w:rPr>
          <w:rStyle w:val="18"/>
          <w:rFonts w:ascii="宋体" w:hAnsi="宋体" w:eastAsia="宋体" w:cs="宋体"/>
          <w:b/>
          <w:bCs/>
          <w:sz w:val="32"/>
          <w:szCs w:val="28"/>
        </w:rPr>
      </w:pPr>
    </w:p>
    <w:p w14:paraId="63EB2AE2">
      <w:pPr>
        <w:pStyle w:val="11"/>
        <w:rPr>
          <w:rStyle w:val="18"/>
          <w:rFonts w:ascii="宋体" w:hAnsi="宋体" w:eastAsia="宋体" w:cs="宋体"/>
          <w:b/>
          <w:bCs/>
          <w:sz w:val="32"/>
          <w:szCs w:val="28"/>
        </w:rPr>
      </w:pPr>
    </w:p>
    <w:p w14:paraId="0603898B">
      <w:pPr>
        <w:pStyle w:val="11"/>
        <w:rPr>
          <w:rStyle w:val="18"/>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18"/>
          <w:rFonts w:hint="eastAsia" w:ascii="宋体" w:hAnsi="宋体" w:eastAsia="宋体" w:cs="宋体"/>
          <w:b/>
          <w:bCs/>
          <w:sz w:val="48"/>
          <w:szCs w:val="48"/>
        </w:rPr>
        <w:t>中山市小榄人民医院不锈钢器械篮筐采购项目响应文件</w:t>
      </w:r>
    </w:p>
    <w:p w14:paraId="2DC29192">
      <w:pPr>
        <w:spacing w:line="360" w:lineRule="auto"/>
        <w:jc w:val="center"/>
        <w:outlineLvl w:val="1"/>
        <w:rPr>
          <w:rStyle w:val="18"/>
          <w:rFonts w:ascii="宋体" w:hAnsi="宋体" w:eastAsia="宋体" w:cs="宋体"/>
          <w:b/>
          <w:bCs/>
          <w:sz w:val="32"/>
          <w:szCs w:val="28"/>
        </w:rPr>
      </w:pPr>
    </w:p>
    <w:p w14:paraId="682D2E69">
      <w:pPr>
        <w:spacing w:line="360" w:lineRule="auto"/>
        <w:jc w:val="center"/>
        <w:outlineLvl w:val="1"/>
        <w:rPr>
          <w:rStyle w:val="18"/>
          <w:rFonts w:ascii="宋体" w:hAnsi="宋体" w:eastAsia="宋体" w:cs="宋体"/>
          <w:b/>
          <w:bCs/>
          <w:sz w:val="32"/>
          <w:szCs w:val="28"/>
        </w:rPr>
      </w:pPr>
    </w:p>
    <w:p w14:paraId="79690979">
      <w:pPr>
        <w:spacing w:line="360" w:lineRule="auto"/>
        <w:jc w:val="center"/>
        <w:outlineLvl w:val="1"/>
        <w:rPr>
          <w:rStyle w:val="18"/>
          <w:rFonts w:ascii="宋体" w:hAnsi="宋体" w:eastAsia="宋体" w:cs="宋体"/>
          <w:b/>
          <w:bCs/>
          <w:sz w:val="32"/>
          <w:szCs w:val="28"/>
        </w:rPr>
      </w:pPr>
    </w:p>
    <w:p w14:paraId="785DCD5E">
      <w:pPr>
        <w:spacing w:line="360" w:lineRule="auto"/>
        <w:jc w:val="center"/>
        <w:outlineLvl w:val="1"/>
        <w:rPr>
          <w:rStyle w:val="18"/>
          <w:rFonts w:ascii="宋体" w:hAnsi="宋体" w:eastAsia="宋体" w:cs="宋体"/>
          <w:b/>
          <w:bCs/>
          <w:sz w:val="32"/>
          <w:szCs w:val="28"/>
        </w:rPr>
      </w:pPr>
    </w:p>
    <w:p w14:paraId="1E1FC401">
      <w:pPr>
        <w:spacing w:line="360" w:lineRule="auto"/>
        <w:jc w:val="center"/>
        <w:outlineLvl w:val="1"/>
        <w:rPr>
          <w:rStyle w:val="18"/>
          <w:rFonts w:ascii="宋体" w:hAnsi="宋体" w:eastAsia="宋体" w:cs="宋体"/>
          <w:b/>
          <w:bCs/>
          <w:sz w:val="32"/>
          <w:szCs w:val="28"/>
        </w:rPr>
      </w:pPr>
    </w:p>
    <w:p w14:paraId="0B1A64F6">
      <w:pPr>
        <w:pStyle w:val="3"/>
        <w:rPr>
          <w:rStyle w:val="18"/>
          <w:rFonts w:hAnsi="宋体" w:eastAsia="宋体" w:cs="宋体"/>
          <w:b/>
          <w:bCs/>
          <w:sz w:val="32"/>
          <w:szCs w:val="28"/>
        </w:rPr>
      </w:pPr>
    </w:p>
    <w:p w14:paraId="36D50582">
      <w:pPr>
        <w:spacing w:line="360" w:lineRule="auto"/>
        <w:ind w:firstLine="1680" w:firstLineChars="700"/>
        <w:outlineLvl w:val="1"/>
        <w:rPr>
          <w:rStyle w:val="18"/>
          <w:rFonts w:ascii="宋体" w:hAnsi="宋体" w:eastAsia="宋体" w:cs="宋体"/>
          <w:sz w:val="24"/>
          <w:szCs w:val="24"/>
          <w:u w:val="single"/>
        </w:rPr>
      </w:pPr>
      <w:r>
        <w:rPr>
          <w:rStyle w:val="18"/>
          <w:rFonts w:hint="eastAsia" w:ascii="宋体" w:hAnsi="宋体" w:eastAsia="宋体" w:cs="宋体"/>
          <w:sz w:val="24"/>
          <w:szCs w:val="24"/>
        </w:rPr>
        <w:t>报名单位：</w:t>
      </w:r>
    </w:p>
    <w:p w14:paraId="18575D7B">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联系人：</w:t>
      </w:r>
    </w:p>
    <w:p w14:paraId="2B268989">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联系电话：</w:t>
      </w:r>
    </w:p>
    <w:p w14:paraId="4C86367F">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邮箱：</w:t>
      </w:r>
    </w:p>
    <w:p w14:paraId="4F98A372">
      <w:pPr>
        <w:pStyle w:val="3"/>
        <w:rPr>
          <w:rStyle w:val="18"/>
          <w:rFonts w:hAnsi="宋体" w:eastAsia="宋体" w:cs="宋体"/>
          <w:b/>
          <w:bCs/>
          <w:sz w:val="32"/>
          <w:szCs w:val="28"/>
        </w:rPr>
      </w:pPr>
    </w:p>
    <w:p w14:paraId="2CEB2395">
      <w:pPr>
        <w:spacing w:line="360" w:lineRule="auto"/>
        <w:jc w:val="left"/>
        <w:outlineLvl w:val="1"/>
        <w:rPr>
          <w:rStyle w:val="18"/>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8"/>
          <w:rFonts w:ascii="宋体" w:hAnsi="宋体" w:eastAsia="宋体" w:cs="宋体"/>
          <w:b/>
          <w:bCs/>
          <w:szCs w:val="21"/>
        </w:rPr>
      </w:pPr>
      <w:r>
        <w:rPr>
          <w:rStyle w:val="18"/>
          <w:rFonts w:hint="eastAsia" w:ascii="宋体" w:hAnsi="宋体" w:eastAsia="宋体" w:cs="宋体"/>
          <w:b/>
          <w:bCs/>
          <w:szCs w:val="21"/>
        </w:rPr>
        <w:t>一、承诺函</w:t>
      </w:r>
    </w:p>
    <w:p w14:paraId="68108DD9">
      <w:pPr>
        <w:spacing w:line="360" w:lineRule="auto"/>
        <w:jc w:val="center"/>
        <w:outlineLvl w:val="1"/>
        <w:rPr>
          <w:rStyle w:val="18"/>
          <w:rFonts w:ascii="宋体" w:hAnsi="宋体" w:eastAsia="宋体" w:cs="宋体"/>
          <w:b/>
          <w:bCs/>
          <w:sz w:val="28"/>
          <w:szCs w:val="28"/>
        </w:rPr>
      </w:pPr>
      <w:r>
        <w:rPr>
          <w:rStyle w:val="18"/>
          <w:rFonts w:hint="eastAsia" w:ascii="宋体" w:hAnsi="宋体" w:eastAsia="宋体" w:cs="宋体"/>
          <w:b/>
          <w:bCs/>
          <w:sz w:val="28"/>
          <w:szCs w:val="28"/>
        </w:rPr>
        <w:t>承诺函</w:t>
      </w:r>
    </w:p>
    <w:p w14:paraId="51FEAC2F">
      <w:pPr>
        <w:pStyle w:val="4"/>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中山市小榄人民医院不锈钢器械篮筐采购项目</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4"/>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4"/>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31838"/>
      <w:bookmarkStart w:id="2" w:name="_Toc22676"/>
      <w:bookmarkStart w:id="3" w:name="_Toc17857"/>
    </w:p>
    <w:bookmarkEnd w:id="0"/>
    <w:bookmarkEnd w:id="1"/>
    <w:bookmarkEnd w:id="2"/>
    <w:bookmarkEnd w:id="3"/>
    <w:p w14:paraId="4D9EBDD1">
      <w:pPr>
        <w:pStyle w:val="11"/>
        <w:spacing w:line="360" w:lineRule="auto"/>
        <w:ind w:firstLine="0"/>
        <w:outlineLvl w:val="1"/>
        <w:rPr>
          <w:rFonts w:ascii="宋体" w:hAnsi="宋体" w:eastAsia="宋体" w:cs="宋体"/>
          <w:szCs w:val="21"/>
        </w:rPr>
      </w:pPr>
      <w:bookmarkStart w:id="4" w:name="_Toc15526"/>
      <w:bookmarkStart w:id="5" w:name="_Toc27661"/>
      <w:bookmarkStart w:id="6" w:name="_Toc12015"/>
      <w:bookmarkStart w:id="7" w:name="_Toc11351"/>
      <w:bookmarkStart w:id="8" w:name="_Toc20589"/>
      <w:bookmarkStart w:id="9" w:name="_Toc25638"/>
      <w:r>
        <w:rPr>
          <w:rStyle w:val="18"/>
          <w:rFonts w:hint="eastAsia" w:ascii="宋体" w:hAnsi="宋体" w:eastAsia="宋体" w:cs="宋体"/>
          <w:b/>
          <w:bCs/>
          <w:szCs w:val="21"/>
          <w:lang w:val="en-US" w:eastAsia="zh-CN"/>
        </w:rPr>
        <w:t>二</w:t>
      </w:r>
      <w:r>
        <w:rPr>
          <w:rStyle w:val="18"/>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7"/>
        <w:rPr>
          <w:rFonts w:ascii="宋体" w:hAnsi="宋体" w:eastAsia="宋体" w:cs="宋体"/>
        </w:rPr>
      </w:pPr>
    </w:p>
    <w:p w14:paraId="1B1CFAFE">
      <w:pPr>
        <w:pStyle w:val="16"/>
        <w:spacing w:line="360" w:lineRule="auto"/>
        <w:jc w:val="center"/>
        <w:rPr>
          <w:rStyle w:val="18"/>
          <w:rFonts w:hAnsi="宋体"/>
          <w:b/>
          <w:bCs/>
          <w:color w:val="auto"/>
          <w:kern w:val="2"/>
          <w:sz w:val="32"/>
          <w:szCs w:val="28"/>
        </w:rPr>
      </w:pPr>
    </w:p>
    <w:p w14:paraId="624AEA83">
      <w:pPr>
        <w:spacing w:line="360" w:lineRule="auto"/>
        <w:rPr>
          <w:rStyle w:val="18"/>
          <w:rFonts w:hAnsi="宋体" w:cs="宋体"/>
          <w:b/>
          <w:bCs/>
          <w:szCs w:val="21"/>
        </w:rPr>
      </w:pPr>
    </w:p>
    <w:p w14:paraId="35164767">
      <w:pPr>
        <w:spacing w:line="360" w:lineRule="auto"/>
        <w:rPr>
          <w:rStyle w:val="18"/>
          <w:rFonts w:hAnsi="宋体" w:cs="宋体"/>
          <w:b/>
          <w:bCs/>
          <w:szCs w:val="21"/>
        </w:rPr>
      </w:pPr>
    </w:p>
    <w:p w14:paraId="22C4D0BE">
      <w:pPr>
        <w:pStyle w:val="3"/>
        <w:rPr>
          <w:rStyle w:val="18"/>
          <w:rFonts w:hAnsi="宋体" w:eastAsia="宋体" w:cs="宋体"/>
          <w:b/>
          <w:bCs/>
          <w:sz w:val="32"/>
          <w:szCs w:val="28"/>
        </w:rPr>
      </w:pPr>
    </w:p>
    <w:p w14:paraId="533D7B51">
      <w:pPr>
        <w:spacing w:line="360" w:lineRule="auto"/>
        <w:jc w:val="left"/>
        <w:outlineLvl w:val="1"/>
        <w:rPr>
          <w:rStyle w:val="18"/>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8"/>
          <w:rFonts w:hAnsi="宋体" w:cs="宋体"/>
          <w:b/>
          <w:bCs/>
          <w:szCs w:val="21"/>
        </w:rPr>
      </w:pPr>
      <w:r>
        <w:rPr>
          <w:rStyle w:val="18"/>
          <w:rFonts w:hint="eastAsia" w:hAnsi="宋体" w:cs="宋体"/>
          <w:b/>
          <w:bCs/>
          <w:szCs w:val="21"/>
          <w:lang w:val="en-US" w:eastAsia="zh-CN"/>
        </w:rPr>
        <w:t>三</w:t>
      </w:r>
      <w:r>
        <w:rPr>
          <w:rStyle w:val="18"/>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4"/>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8"/>
          <w:rFonts w:hAnsi="宋体" w:cs="宋体"/>
          <w:b/>
          <w:bCs/>
          <w:szCs w:val="21"/>
        </w:rPr>
      </w:pPr>
      <w:r>
        <w:rPr>
          <w:rStyle w:val="18"/>
          <w:rFonts w:hint="eastAsia" w:hAnsi="宋体" w:cs="宋体"/>
          <w:b/>
          <w:bCs/>
          <w:szCs w:val="21"/>
          <w:lang w:val="en-US" w:eastAsia="zh-CN"/>
        </w:rPr>
        <w:t>四</w:t>
      </w:r>
      <w:r>
        <w:rPr>
          <w:rStyle w:val="18"/>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中山市小榄人民医院不锈钢器械篮筐采购项目</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7"/>
        <w:ind w:firstLine="480"/>
        <w:rPr>
          <w:rFonts w:ascii="宋体" w:hAnsi="宋体" w:eastAsia="宋体" w:cs="宋体"/>
          <w:bCs/>
          <w:sz w:val="24"/>
          <w:szCs w:val="24"/>
        </w:rPr>
      </w:pPr>
    </w:p>
    <w:p w14:paraId="4B36850D">
      <w:pPr>
        <w:spacing w:line="360" w:lineRule="auto"/>
        <w:rPr>
          <w:rStyle w:val="18"/>
          <w:rFonts w:hAnsi="宋体" w:cs="宋体"/>
          <w:b/>
          <w:bCs/>
          <w:szCs w:val="21"/>
        </w:rPr>
      </w:pPr>
      <w:bookmarkStart w:id="10" w:name="_Toc12967"/>
      <w:bookmarkStart w:id="11" w:name="_Toc1074"/>
      <w:bookmarkStart w:id="12" w:name="_Toc26969"/>
      <w:bookmarkStart w:id="13" w:name="_Toc16435"/>
      <w:bookmarkStart w:id="14" w:name="_Toc23967"/>
      <w:bookmarkStart w:id="15" w:name="_Toc2041"/>
    </w:p>
    <w:p w14:paraId="6B36BEBF">
      <w:pPr>
        <w:spacing w:line="360" w:lineRule="auto"/>
        <w:rPr>
          <w:rStyle w:val="18"/>
          <w:rFonts w:hAnsi="宋体" w:cs="宋体"/>
          <w:b/>
          <w:bCs/>
          <w:szCs w:val="21"/>
        </w:rPr>
      </w:pPr>
    </w:p>
    <w:p w14:paraId="04C42C05">
      <w:pPr>
        <w:spacing w:line="360" w:lineRule="auto"/>
        <w:rPr>
          <w:rStyle w:val="18"/>
          <w:rFonts w:hAnsi="宋体" w:cs="宋体"/>
          <w:b/>
          <w:bCs/>
          <w:szCs w:val="21"/>
        </w:rPr>
      </w:pPr>
    </w:p>
    <w:p w14:paraId="22047CCF">
      <w:pPr>
        <w:spacing w:line="360" w:lineRule="auto"/>
        <w:rPr>
          <w:rStyle w:val="18"/>
          <w:rFonts w:hAnsi="宋体" w:cs="宋体"/>
          <w:b/>
          <w:bCs/>
          <w:szCs w:val="21"/>
        </w:rPr>
      </w:pPr>
    </w:p>
    <w:p w14:paraId="1669B3E9">
      <w:pPr>
        <w:pStyle w:val="3"/>
        <w:rPr>
          <w:rStyle w:val="18"/>
          <w:rFonts w:hAnsi="宋体" w:eastAsia="宋体" w:cs="宋体"/>
          <w:b/>
          <w:bCs/>
          <w:sz w:val="32"/>
          <w:szCs w:val="28"/>
        </w:rPr>
      </w:pPr>
    </w:p>
    <w:p w14:paraId="3D226190">
      <w:pPr>
        <w:spacing w:line="360" w:lineRule="auto"/>
        <w:jc w:val="left"/>
        <w:outlineLvl w:val="1"/>
        <w:rPr>
          <w:rStyle w:val="18"/>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0499A246">
      <w:pPr>
        <w:spacing w:line="360" w:lineRule="auto"/>
        <w:rPr>
          <w:rStyle w:val="18"/>
          <w:rFonts w:hAnsi="宋体" w:cs="宋体"/>
          <w:b/>
          <w:bCs/>
          <w:szCs w:val="21"/>
        </w:rPr>
      </w:pPr>
      <w:r>
        <w:rPr>
          <w:rStyle w:val="18"/>
          <w:rFonts w:hint="eastAsia" w:hAnsi="宋体" w:cs="宋体"/>
          <w:b/>
          <w:bCs/>
          <w:szCs w:val="21"/>
          <w:lang w:val="en-US" w:eastAsia="zh-CN"/>
        </w:rPr>
        <w:t>五</w:t>
      </w:r>
      <w:r>
        <w:rPr>
          <w:rStyle w:val="18"/>
          <w:rFonts w:hint="eastAsia" w:hAnsi="宋体" w:cs="宋体"/>
          <w:b/>
          <w:bCs/>
          <w:szCs w:val="21"/>
        </w:rPr>
        <w:t>、</w:t>
      </w:r>
      <w:r>
        <w:rPr>
          <w:rStyle w:val="18"/>
          <w:rFonts w:hint="eastAsia" w:hAnsi="宋体" w:cs="宋体"/>
          <w:b/>
          <w:bCs/>
          <w:szCs w:val="21"/>
          <w:lang w:val="en-US" w:eastAsia="zh-CN"/>
        </w:rPr>
        <w:t>厂家</w:t>
      </w:r>
      <w:r>
        <w:rPr>
          <w:rStyle w:val="18"/>
          <w:rFonts w:hint="eastAsia" w:hAnsi="宋体" w:cs="宋体"/>
          <w:b/>
          <w:bCs/>
          <w:szCs w:val="21"/>
        </w:rPr>
        <w:t>资质证件（包括但不限于营业执照等）</w:t>
      </w:r>
    </w:p>
    <w:p w14:paraId="338F95C9">
      <w:pPr>
        <w:spacing w:line="360" w:lineRule="auto"/>
        <w:rPr>
          <w:rStyle w:val="18"/>
          <w:rFonts w:hint="eastAsia" w:hAnsi="宋体" w:cs="宋体"/>
          <w:b/>
          <w:bCs/>
          <w:szCs w:val="21"/>
          <w:lang w:val="en-US" w:eastAsia="zh-CN"/>
        </w:rPr>
      </w:pPr>
    </w:p>
    <w:p w14:paraId="06D59EC5">
      <w:pPr>
        <w:spacing w:line="360" w:lineRule="auto"/>
        <w:rPr>
          <w:rStyle w:val="18"/>
          <w:rFonts w:hint="eastAsia" w:hAnsi="宋体" w:cs="宋体"/>
          <w:b/>
          <w:bCs/>
          <w:szCs w:val="21"/>
          <w:lang w:val="en-US" w:eastAsia="zh-CN"/>
        </w:rPr>
      </w:pPr>
    </w:p>
    <w:p w14:paraId="6A5C685E">
      <w:pPr>
        <w:spacing w:line="360" w:lineRule="auto"/>
        <w:rPr>
          <w:rStyle w:val="18"/>
          <w:rFonts w:hint="eastAsia" w:hAnsi="宋体" w:cs="宋体"/>
          <w:b/>
          <w:bCs/>
          <w:szCs w:val="21"/>
          <w:lang w:val="en-US" w:eastAsia="zh-CN"/>
        </w:rPr>
      </w:pPr>
    </w:p>
    <w:p w14:paraId="54BFDD7F">
      <w:pPr>
        <w:spacing w:line="360" w:lineRule="auto"/>
        <w:rPr>
          <w:rStyle w:val="18"/>
          <w:rFonts w:hint="eastAsia" w:hAnsi="宋体" w:cs="宋体"/>
          <w:b/>
          <w:bCs/>
          <w:szCs w:val="21"/>
          <w:lang w:val="en-US" w:eastAsia="zh-CN"/>
        </w:rPr>
      </w:pPr>
    </w:p>
    <w:p w14:paraId="594A3F8C">
      <w:pPr>
        <w:spacing w:line="360" w:lineRule="auto"/>
        <w:rPr>
          <w:rStyle w:val="18"/>
          <w:rFonts w:hint="eastAsia" w:hAnsi="宋体" w:cs="宋体"/>
          <w:b/>
          <w:bCs/>
          <w:szCs w:val="21"/>
          <w:lang w:val="en-US" w:eastAsia="zh-CN"/>
        </w:rPr>
      </w:pPr>
    </w:p>
    <w:p w14:paraId="22E33304">
      <w:pPr>
        <w:spacing w:line="360" w:lineRule="auto"/>
        <w:rPr>
          <w:rStyle w:val="18"/>
          <w:rFonts w:hint="eastAsia" w:hAnsi="宋体" w:cs="宋体"/>
          <w:b/>
          <w:bCs/>
          <w:szCs w:val="21"/>
          <w:lang w:val="en-US" w:eastAsia="zh-CN"/>
        </w:rPr>
      </w:pPr>
    </w:p>
    <w:p w14:paraId="73AF5566">
      <w:pPr>
        <w:spacing w:line="360" w:lineRule="auto"/>
        <w:rPr>
          <w:rStyle w:val="18"/>
          <w:rFonts w:hint="eastAsia" w:hAnsi="宋体" w:cs="宋体"/>
          <w:b/>
          <w:bCs/>
          <w:szCs w:val="21"/>
          <w:lang w:val="en-US" w:eastAsia="zh-CN"/>
        </w:rPr>
      </w:pPr>
    </w:p>
    <w:p w14:paraId="1B4025C7">
      <w:pPr>
        <w:spacing w:line="360" w:lineRule="auto"/>
        <w:rPr>
          <w:rStyle w:val="18"/>
          <w:rFonts w:hint="eastAsia" w:hAnsi="宋体" w:cs="宋体"/>
          <w:b/>
          <w:bCs/>
          <w:szCs w:val="21"/>
          <w:lang w:val="en-US" w:eastAsia="zh-CN"/>
        </w:rPr>
      </w:pPr>
    </w:p>
    <w:p w14:paraId="49726C33">
      <w:pPr>
        <w:spacing w:line="360" w:lineRule="auto"/>
        <w:rPr>
          <w:rStyle w:val="18"/>
          <w:rFonts w:hint="eastAsia" w:hAnsi="宋体" w:cs="宋体"/>
          <w:b/>
          <w:bCs/>
          <w:szCs w:val="21"/>
          <w:lang w:val="en-US" w:eastAsia="zh-CN"/>
        </w:rPr>
      </w:pPr>
    </w:p>
    <w:p w14:paraId="15E742E3">
      <w:pPr>
        <w:spacing w:line="360" w:lineRule="auto"/>
        <w:rPr>
          <w:rStyle w:val="18"/>
          <w:rFonts w:hint="eastAsia" w:hAnsi="宋体" w:cs="宋体"/>
          <w:b/>
          <w:bCs/>
          <w:szCs w:val="21"/>
          <w:lang w:val="en-US" w:eastAsia="zh-CN"/>
        </w:rPr>
      </w:pPr>
    </w:p>
    <w:p w14:paraId="22C47450">
      <w:pPr>
        <w:spacing w:line="360" w:lineRule="auto"/>
        <w:rPr>
          <w:rStyle w:val="18"/>
          <w:rFonts w:hint="eastAsia" w:hAnsi="宋体" w:cs="宋体"/>
          <w:b/>
          <w:bCs/>
          <w:szCs w:val="21"/>
          <w:lang w:val="en-US" w:eastAsia="zh-CN"/>
        </w:rPr>
      </w:pPr>
    </w:p>
    <w:p w14:paraId="28D63E2C">
      <w:pPr>
        <w:spacing w:line="360" w:lineRule="auto"/>
        <w:rPr>
          <w:rStyle w:val="18"/>
          <w:rFonts w:hint="eastAsia" w:hAnsi="宋体" w:cs="宋体"/>
          <w:b/>
          <w:bCs/>
          <w:szCs w:val="21"/>
          <w:lang w:val="en-US" w:eastAsia="zh-CN"/>
        </w:rPr>
      </w:pPr>
    </w:p>
    <w:p w14:paraId="097FCD4B">
      <w:pPr>
        <w:spacing w:line="360" w:lineRule="auto"/>
        <w:rPr>
          <w:rStyle w:val="18"/>
          <w:rFonts w:hint="eastAsia" w:hAnsi="宋体" w:cs="宋体"/>
          <w:b/>
          <w:bCs/>
          <w:szCs w:val="21"/>
          <w:lang w:val="en-US" w:eastAsia="zh-CN"/>
        </w:rPr>
      </w:pPr>
    </w:p>
    <w:p w14:paraId="0A779657">
      <w:pPr>
        <w:spacing w:line="360" w:lineRule="auto"/>
        <w:rPr>
          <w:rStyle w:val="18"/>
          <w:rFonts w:hint="eastAsia" w:hAnsi="宋体" w:cs="宋体"/>
          <w:b/>
          <w:bCs/>
          <w:szCs w:val="21"/>
          <w:lang w:val="en-US" w:eastAsia="zh-CN"/>
        </w:rPr>
      </w:pPr>
    </w:p>
    <w:p w14:paraId="1FD8E5F8">
      <w:pPr>
        <w:spacing w:line="360" w:lineRule="auto"/>
        <w:rPr>
          <w:rStyle w:val="18"/>
          <w:rFonts w:hint="eastAsia" w:hAnsi="宋体" w:cs="宋体"/>
          <w:b/>
          <w:bCs/>
          <w:szCs w:val="21"/>
          <w:lang w:val="en-US" w:eastAsia="zh-CN"/>
        </w:rPr>
      </w:pPr>
    </w:p>
    <w:p w14:paraId="4B478FBB">
      <w:pPr>
        <w:spacing w:line="360" w:lineRule="auto"/>
        <w:rPr>
          <w:rStyle w:val="18"/>
          <w:rFonts w:hint="eastAsia" w:hAnsi="宋体" w:cs="宋体"/>
          <w:b/>
          <w:bCs/>
          <w:szCs w:val="21"/>
          <w:lang w:val="en-US" w:eastAsia="zh-CN"/>
        </w:rPr>
      </w:pPr>
    </w:p>
    <w:p w14:paraId="611DBB43">
      <w:pPr>
        <w:spacing w:line="360" w:lineRule="auto"/>
        <w:rPr>
          <w:rStyle w:val="18"/>
          <w:rFonts w:hint="eastAsia" w:hAnsi="宋体" w:cs="宋体"/>
          <w:b/>
          <w:bCs/>
          <w:szCs w:val="21"/>
          <w:lang w:val="en-US" w:eastAsia="zh-CN"/>
        </w:rPr>
      </w:pPr>
    </w:p>
    <w:p w14:paraId="56D37F99">
      <w:pPr>
        <w:spacing w:line="360" w:lineRule="auto"/>
        <w:rPr>
          <w:rStyle w:val="18"/>
          <w:rFonts w:hint="eastAsia" w:hAnsi="宋体" w:cs="宋体"/>
          <w:b/>
          <w:bCs/>
          <w:szCs w:val="21"/>
          <w:lang w:val="en-US" w:eastAsia="zh-CN"/>
        </w:rPr>
      </w:pPr>
    </w:p>
    <w:p w14:paraId="5D342F42">
      <w:pPr>
        <w:spacing w:line="360" w:lineRule="auto"/>
        <w:rPr>
          <w:rStyle w:val="18"/>
          <w:rFonts w:hint="eastAsia" w:hAnsi="宋体" w:cs="宋体"/>
          <w:b/>
          <w:bCs/>
          <w:szCs w:val="21"/>
          <w:lang w:val="en-US" w:eastAsia="zh-CN"/>
        </w:rPr>
      </w:pPr>
    </w:p>
    <w:p w14:paraId="61C69D7C">
      <w:pPr>
        <w:spacing w:line="360" w:lineRule="auto"/>
        <w:rPr>
          <w:rStyle w:val="18"/>
          <w:rFonts w:hint="eastAsia" w:hAnsi="宋体" w:cs="宋体"/>
          <w:b/>
          <w:bCs/>
          <w:szCs w:val="21"/>
          <w:lang w:val="en-US" w:eastAsia="zh-CN"/>
        </w:rPr>
      </w:pPr>
    </w:p>
    <w:p w14:paraId="685111C2">
      <w:pPr>
        <w:spacing w:line="360" w:lineRule="auto"/>
        <w:rPr>
          <w:rStyle w:val="18"/>
          <w:rFonts w:hint="eastAsia" w:hAnsi="宋体" w:cs="宋体"/>
          <w:b/>
          <w:bCs/>
          <w:szCs w:val="21"/>
          <w:lang w:val="en-US" w:eastAsia="zh-CN"/>
        </w:rPr>
      </w:pPr>
    </w:p>
    <w:p w14:paraId="56666F7A">
      <w:pPr>
        <w:spacing w:line="360" w:lineRule="auto"/>
        <w:rPr>
          <w:rStyle w:val="18"/>
          <w:rFonts w:hint="eastAsia" w:hAnsi="宋体" w:cs="宋体"/>
          <w:b/>
          <w:bCs/>
          <w:szCs w:val="21"/>
          <w:lang w:val="en-US" w:eastAsia="zh-CN"/>
        </w:rPr>
      </w:pPr>
    </w:p>
    <w:p w14:paraId="3AA4AC4A">
      <w:pPr>
        <w:spacing w:line="360" w:lineRule="auto"/>
        <w:rPr>
          <w:rStyle w:val="18"/>
          <w:rFonts w:hint="eastAsia" w:hAnsi="宋体" w:cs="宋体"/>
          <w:b/>
          <w:bCs/>
          <w:szCs w:val="21"/>
          <w:lang w:val="en-US" w:eastAsia="zh-CN"/>
        </w:rPr>
      </w:pPr>
    </w:p>
    <w:p w14:paraId="3E3DCFCD">
      <w:pPr>
        <w:spacing w:line="360" w:lineRule="auto"/>
        <w:rPr>
          <w:rStyle w:val="18"/>
          <w:rFonts w:hint="eastAsia" w:hAnsi="宋体" w:cs="宋体"/>
          <w:b/>
          <w:bCs/>
          <w:szCs w:val="21"/>
          <w:lang w:val="en-US" w:eastAsia="zh-CN"/>
        </w:rPr>
      </w:pPr>
    </w:p>
    <w:p w14:paraId="20E37BE4">
      <w:pPr>
        <w:spacing w:line="360" w:lineRule="auto"/>
        <w:rPr>
          <w:rStyle w:val="18"/>
          <w:rFonts w:hint="eastAsia" w:hAnsi="宋体" w:cs="宋体"/>
          <w:b/>
          <w:bCs/>
          <w:szCs w:val="21"/>
          <w:lang w:val="en-US" w:eastAsia="zh-CN"/>
        </w:rPr>
      </w:pPr>
    </w:p>
    <w:p w14:paraId="01C67132">
      <w:pPr>
        <w:spacing w:line="360" w:lineRule="auto"/>
        <w:rPr>
          <w:rStyle w:val="18"/>
          <w:rFonts w:hint="eastAsia" w:hAnsi="宋体" w:cs="宋体"/>
          <w:b/>
          <w:bCs/>
          <w:szCs w:val="21"/>
          <w:lang w:val="en-US" w:eastAsia="zh-CN"/>
        </w:rPr>
      </w:pPr>
    </w:p>
    <w:p w14:paraId="69B22A13">
      <w:pPr>
        <w:spacing w:line="360" w:lineRule="auto"/>
        <w:rPr>
          <w:rStyle w:val="18"/>
          <w:rFonts w:hint="eastAsia" w:hAnsi="宋体" w:cs="宋体"/>
          <w:b/>
          <w:bCs/>
          <w:szCs w:val="21"/>
          <w:lang w:val="en-US" w:eastAsia="zh-CN"/>
        </w:rPr>
      </w:pPr>
    </w:p>
    <w:p w14:paraId="7704E860">
      <w:pPr>
        <w:spacing w:line="360" w:lineRule="auto"/>
        <w:rPr>
          <w:rStyle w:val="18"/>
          <w:rFonts w:hint="eastAsia" w:hAnsi="宋体" w:cs="宋体"/>
          <w:b/>
          <w:bCs/>
          <w:szCs w:val="21"/>
          <w:lang w:val="en-US" w:eastAsia="zh-CN"/>
        </w:rPr>
      </w:pPr>
    </w:p>
    <w:p w14:paraId="7FDD5376">
      <w:pPr>
        <w:spacing w:line="360" w:lineRule="auto"/>
        <w:rPr>
          <w:rStyle w:val="18"/>
          <w:rFonts w:hint="eastAsia" w:hAnsi="宋体" w:cs="宋体"/>
          <w:b/>
          <w:bCs/>
          <w:szCs w:val="21"/>
          <w:lang w:val="en-US" w:eastAsia="zh-CN"/>
        </w:rPr>
      </w:pPr>
    </w:p>
    <w:p w14:paraId="24AF5585">
      <w:pPr>
        <w:spacing w:line="360" w:lineRule="auto"/>
        <w:rPr>
          <w:rStyle w:val="18"/>
          <w:rFonts w:hint="eastAsia" w:hAnsi="宋体" w:cs="宋体"/>
          <w:b/>
          <w:bCs/>
          <w:szCs w:val="21"/>
          <w:lang w:val="en-US" w:eastAsia="zh-CN"/>
        </w:rPr>
      </w:pPr>
    </w:p>
    <w:p w14:paraId="36BFDEE9">
      <w:pPr>
        <w:spacing w:line="360" w:lineRule="auto"/>
        <w:rPr>
          <w:rStyle w:val="18"/>
          <w:rFonts w:hint="eastAsia" w:hAnsi="宋体" w:cs="宋体"/>
          <w:b/>
          <w:bCs/>
          <w:szCs w:val="21"/>
          <w:lang w:val="en-US" w:eastAsia="zh-CN"/>
        </w:rPr>
      </w:pPr>
    </w:p>
    <w:p w14:paraId="42B17EFB">
      <w:pPr>
        <w:pStyle w:val="3"/>
        <w:rPr>
          <w:rStyle w:val="18"/>
          <w:rFonts w:hAnsi="宋体" w:eastAsia="宋体" w:cs="宋体"/>
          <w:b/>
          <w:bCs/>
          <w:sz w:val="32"/>
          <w:szCs w:val="28"/>
        </w:rPr>
      </w:pPr>
    </w:p>
    <w:p w14:paraId="710254AC">
      <w:pPr>
        <w:spacing w:line="360" w:lineRule="auto"/>
        <w:jc w:val="left"/>
        <w:outlineLvl w:val="1"/>
        <w:rPr>
          <w:rStyle w:val="18"/>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18"/>
          <w:rFonts w:hAnsi="宋体" w:cs="宋体"/>
          <w:b/>
          <w:bCs/>
          <w:szCs w:val="21"/>
        </w:rPr>
      </w:pPr>
      <w:r>
        <w:rPr>
          <w:rStyle w:val="18"/>
          <w:rFonts w:hint="eastAsia" w:hAnsi="宋体" w:cs="宋体"/>
          <w:b/>
          <w:bCs/>
          <w:szCs w:val="21"/>
          <w:lang w:val="en-US" w:eastAsia="zh-CN"/>
        </w:rPr>
        <w:t>六</w:t>
      </w:r>
      <w:r>
        <w:rPr>
          <w:rStyle w:val="18"/>
          <w:rFonts w:hint="eastAsia" w:hAnsi="宋体" w:cs="宋体"/>
          <w:b/>
          <w:bCs/>
          <w:szCs w:val="21"/>
        </w:rPr>
        <w:t>、各级经销商资质证件（包括但不限于营业执照等）</w:t>
      </w:r>
    </w:p>
    <w:p w14:paraId="02C0B470">
      <w:pPr>
        <w:spacing w:line="360" w:lineRule="auto"/>
        <w:rPr>
          <w:rStyle w:val="18"/>
          <w:rFonts w:hAnsi="宋体" w:cs="宋体"/>
          <w:b/>
          <w:bCs/>
          <w:szCs w:val="21"/>
        </w:rPr>
      </w:pPr>
    </w:p>
    <w:p w14:paraId="052A8400">
      <w:pPr>
        <w:spacing w:line="360" w:lineRule="auto"/>
        <w:rPr>
          <w:rStyle w:val="18"/>
          <w:rFonts w:hAnsi="宋体" w:cs="宋体"/>
          <w:b/>
          <w:bCs/>
          <w:szCs w:val="21"/>
        </w:rPr>
      </w:pPr>
    </w:p>
    <w:p w14:paraId="2A006E02">
      <w:pPr>
        <w:spacing w:line="360" w:lineRule="auto"/>
        <w:rPr>
          <w:rStyle w:val="18"/>
          <w:rFonts w:hAnsi="宋体" w:cs="宋体"/>
          <w:b/>
          <w:bCs/>
          <w:szCs w:val="21"/>
        </w:rPr>
      </w:pPr>
    </w:p>
    <w:p w14:paraId="445C7CD3">
      <w:pPr>
        <w:spacing w:line="360" w:lineRule="auto"/>
        <w:rPr>
          <w:rStyle w:val="18"/>
          <w:rFonts w:hAnsi="宋体" w:cs="宋体"/>
          <w:b/>
          <w:bCs/>
          <w:szCs w:val="21"/>
        </w:rPr>
      </w:pPr>
    </w:p>
    <w:p w14:paraId="21D12C00">
      <w:pPr>
        <w:spacing w:line="360" w:lineRule="auto"/>
        <w:rPr>
          <w:rStyle w:val="18"/>
          <w:rFonts w:hAnsi="宋体" w:cs="宋体"/>
          <w:b/>
          <w:bCs/>
          <w:szCs w:val="21"/>
        </w:rPr>
      </w:pPr>
    </w:p>
    <w:p w14:paraId="617BFC2C">
      <w:pPr>
        <w:spacing w:line="360" w:lineRule="auto"/>
        <w:rPr>
          <w:rStyle w:val="18"/>
          <w:rFonts w:hAnsi="宋体" w:cs="宋体"/>
          <w:b/>
          <w:bCs/>
          <w:szCs w:val="21"/>
        </w:rPr>
      </w:pPr>
    </w:p>
    <w:p w14:paraId="3851B3C5">
      <w:pPr>
        <w:spacing w:line="360" w:lineRule="auto"/>
        <w:rPr>
          <w:rStyle w:val="18"/>
          <w:rFonts w:hAnsi="宋体" w:cs="宋体"/>
          <w:b/>
          <w:bCs/>
          <w:szCs w:val="21"/>
        </w:rPr>
      </w:pPr>
    </w:p>
    <w:p w14:paraId="38F07E4E">
      <w:pPr>
        <w:spacing w:line="360" w:lineRule="auto"/>
        <w:rPr>
          <w:rStyle w:val="18"/>
          <w:rFonts w:hAnsi="宋体" w:cs="宋体"/>
          <w:b/>
          <w:bCs/>
          <w:szCs w:val="21"/>
        </w:rPr>
      </w:pPr>
    </w:p>
    <w:p w14:paraId="670AC29A">
      <w:pPr>
        <w:spacing w:line="360" w:lineRule="auto"/>
        <w:rPr>
          <w:rStyle w:val="18"/>
          <w:rFonts w:hAnsi="宋体" w:cs="宋体"/>
          <w:b/>
          <w:bCs/>
          <w:szCs w:val="21"/>
        </w:rPr>
      </w:pPr>
    </w:p>
    <w:p w14:paraId="3AAA860D">
      <w:pPr>
        <w:spacing w:line="360" w:lineRule="auto"/>
        <w:rPr>
          <w:rStyle w:val="18"/>
          <w:rFonts w:hAnsi="宋体" w:cs="宋体"/>
          <w:b/>
          <w:bCs/>
          <w:szCs w:val="21"/>
        </w:rPr>
      </w:pPr>
    </w:p>
    <w:p w14:paraId="2A349DED">
      <w:pPr>
        <w:spacing w:line="360" w:lineRule="auto"/>
        <w:rPr>
          <w:rStyle w:val="18"/>
          <w:rFonts w:hAnsi="宋体" w:cs="宋体"/>
          <w:b/>
          <w:bCs/>
          <w:szCs w:val="21"/>
        </w:rPr>
      </w:pPr>
    </w:p>
    <w:p w14:paraId="457BAF26">
      <w:pPr>
        <w:spacing w:line="360" w:lineRule="auto"/>
        <w:rPr>
          <w:rStyle w:val="18"/>
          <w:rFonts w:hAnsi="宋体" w:cs="宋体"/>
          <w:b/>
          <w:bCs/>
          <w:szCs w:val="21"/>
        </w:rPr>
      </w:pPr>
    </w:p>
    <w:p w14:paraId="1C5EFAB6">
      <w:pPr>
        <w:spacing w:line="360" w:lineRule="auto"/>
        <w:rPr>
          <w:rStyle w:val="18"/>
          <w:rFonts w:hAnsi="宋体" w:cs="宋体"/>
          <w:b/>
          <w:bCs/>
          <w:szCs w:val="21"/>
        </w:rPr>
      </w:pPr>
    </w:p>
    <w:p w14:paraId="19DB3363">
      <w:pPr>
        <w:spacing w:line="360" w:lineRule="auto"/>
        <w:rPr>
          <w:rStyle w:val="18"/>
          <w:rFonts w:hAnsi="宋体" w:cs="宋体"/>
          <w:b/>
          <w:bCs/>
          <w:szCs w:val="21"/>
        </w:rPr>
      </w:pPr>
    </w:p>
    <w:p w14:paraId="7FCA80A3">
      <w:pPr>
        <w:spacing w:line="360" w:lineRule="auto"/>
        <w:rPr>
          <w:rStyle w:val="18"/>
          <w:rFonts w:hAnsi="宋体" w:cs="宋体"/>
          <w:b/>
          <w:bCs/>
          <w:szCs w:val="21"/>
        </w:rPr>
      </w:pPr>
    </w:p>
    <w:p w14:paraId="6A8506B2">
      <w:pPr>
        <w:spacing w:line="360" w:lineRule="auto"/>
        <w:rPr>
          <w:rStyle w:val="18"/>
          <w:rFonts w:hAnsi="宋体" w:cs="宋体"/>
          <w:b/>
          <w:bCs/>
          <w:szCs w:val="21"/>
        </w:rPr>
      </w:pPr>
    </w:p>
    <w:p w14:paraId="5219F6B2">
      <w:pPr>
        <w:spacing w:line="360" w:lineRule="auto"/>
        <w:rPr>
          <w:rStyle w:val="18"/>
          <w:rFonts w:hAnsi="宋体" w:cs="宋体"/>
          <w:b/>
          <w:bCs/>
          <w:szCs w:val="21"/>
        </w:rPr>
      </w:pPr>
    </w:p>
    <w:p w14:paraId="130E2F2B">
      <w:pPr>
        <w:spacing w:line="360" w:lineRule="auto"/>
        <w:rPr>
          <w:rStyle w:val="18"/>
          <w:rFonts w:hAnsi="宋体" w:cs="宋体"/>
          <w:b/>
          <w:bCs/>
          <w:szCs w:val="21"/>
        </w:rPr>
      </w:pPr>
    </w:p>
    <w:p w14:paraId="447166F6">
      <w:pPr>
        <w:spacing w:line="360" w:lineRule="auto"/>
        <w:rPr>
          <w:rStyle w:val="18"/>
          <w:rFonts w:hAnsi="宋体" w:cs="宋体"/>
          <w:b/>
          <w:bCs/>
          <w:szCs w:val="21"/>
        </w:rPr>
      </w:pPr>
    </w:p>
    <w:p w14:paraId="3F42EBB4">
      <w:pPr>
        <w:spacing w:line="360" w:lineRule="auto"/>
        <w:rPr>
          <w:rStyle w:val="18"/>
          <w:rFonts w:hAnsi="宋体" w:cs="宋体"/>
          <w:b/>
          <w:bCs/>
          <w:szCs w:val="21"/>
        </w:rPr>
      </w:pPr>
    </w:p>
    <w:p w14:paraId="6237488B">
      <w:pPr>
        <w:spacing w:line="360" w:lineRule="auto"/>
        <w:rPr>
          <w:rStyle w:val="18"/>
          <w:rFonts w:hAnsi="宋体" w:cs="宋体"/>
          <w:b/>
          <w:bCs/>
          <w:szCs w:val="21"/>
        </w:rPr>
      </w:pPr>
    </w:p>
    <w:p w14:paraId="69DFC3B0">
      <w:pPr>
        <w:spacing w:line="360" w:lineRule="auto"/>
        <w:rPr>
          <w:rStyle w:val="18"/>
          <w:rFonts w:hAnsi="宋体" w:cs="宋体"/>
          <w:b/>
          <w:bCs/>
          <w:szCs w:val="21"/>
        </w:rPr>
      </w:pPr>
    </w:p>
    <w:p w14:paraId="7A8319D2">
      <w:pPr>
        <w:spacing w:line="360" w:lineRule="auto"/>
        <w:rPr>
          <w:rStyle w:val="18"/>
          <w:rFonts w:hAnsi="宋体" w:cs="宋体"/>
          <w:b/>
          <w:bCs/>
          <w:szCs w:val="21"/>
        </w:rPr>
      </w:pPr>
    </w:p>
    <w:p w14:paraId="3F81E911">
      <w:pPr>
        <w:spacing w:line="360" w:lineRule="auto"/>
        <w:rPr>
          <w:rStyle w:val="18"/>
          <w:rFonts w:hAnsi="宋体" w:cs="宋体"/>
          <w:b/>
          <w:bCs/>
          <w:szCs w:val="21"/>
        </w:rPr>
      </w:pPr>
    </w:p>
    <w:p w14:paraId="72F1BFCC">
      <w:pPr>
        <w:spacing w:line="360" w:lineRule="auto"/>
        <w:rPr>
          <w:rStyle w:val="18"/>
          <w:rFonts w:hAnsi="宋体" w:cs="宋体"/>
          <w:b/>
          <w:bCs/>
          <w:szCs w:val="21"/>
        </w:rPr>
      </w:pPr>
    </w:p>
    <w:p w14:paraId="5C008695">
      <w:pPr>
        <w:spacing w:line="360" w:lineRule="auto"/>
        <w:rPr>
          <w:rStyle w:val="18"/>
          <w:rFonts w:hAnsi="宋体" w:cs="宋体"/>
          <w:b/>
          <w:bCs/>
          <w:szCs w:val="21"/>
        </w:rPr>
      </w:pPr>
    </w:p>
    <w:p w14:paraId="0A2B8727">
      <w:pPr>
        <w:spacing w:line="360" w:lineRule="auto"/>
        <w:rPr>
          <w:rStyle w:val="18"/>
          <w:rFonts w:hAnsi="宋体" w:cs="宋体"/>
          <w:b/>
          <w:bCs/>
          <w:szCs w:val="21"/>
        </w:rPr>
      </w:pPr>
    </w:p>
    <w:p w14:paraId="0BF02009">
      <w:pPr>
        <w:pStyle w:val="3"/>
        <w:rPr>
          <w:rStyle w:val="18"/>
          <w:rFonts w:hAnsi="宋体" w:eastAsia="宋体" w:cs="宋体"/>
          <w:b/>
          <w:bCs/>
          <w:sz w:val="32"/>
          <w:szCs w:val="28"/>
        </w:rPr>
      </w:pPr>
    </w:p>
    <w:p w14:paraId="11B8B397">
      <w:pPr>
        <w:spacing w:line="360" w:lineRule="auto"/>
        <w:jc w:val="left"/>
        <w:outlineLvl w:val="1"/>
        <w:rPr>
          <w:rStyle w:val="18"/>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3340441B">
      <w:pPr>
        <w:spacing w:line="360" w:lineRule="auto"/>
        <w:rPr>
          <w:rStyle w:val="18"/>
          <w:rFonts w:hAnsi="宋体" w:cs="宋体"/>
          <w:b/>
          <w:bCs/>
          <w:szCs w:val="21"/>
        </w:rPr>
      </w:pPr>
      <w:r>
        <w:rPr>
          <w:rStyle w:val="18"/>
          <w:rFonts w:hint="eastAsia" w:hAnsi="宋体" w:cs="宋体"/>
          <w:b/>
          <w:bCs/>
          <w:szCs w:val="21"/>
          <w:lang w:val="en-US" w:eastAsia="zh-CN"/>
        </w:rPr>
        <w:t>七</w:t>
      </w:r>
      <w:r>
        <w:rPr>
          <w:rStyle w:val="18"/>
          <w:rFonts w:hint="eastAsia" w:hAnsi="宋体" w:cs="宋体"/>
          <w:b/>
          <w:bCs/>
          <w:szCs w:val="21"/>
        </w:rPr>
        <w:t>、</w:t>
      </w:r>
      <w:r>
        <w:rPr>
          <w:rStyle w:val="18"/>
          <w:rFonts w:hint="eastAsia" w:hAnsi="宋体" w:cs="宋体"/>
          <w:b/>
          <w:bCs/>
          <w:szCs w:val="21"/>
          <w:lang w:val="en-US" w:eastAsia="zh-CN"/>
        </w:rPr>
        <w:t>授权书</w:t>
      </w:r>
    </w:p>
    <w:p w14:paraId="5EE3C938">
      <w:pPr>
        <w:spacing w:line="360" w:lineRule="auto"/>
        <w:rPr>
          <w:rStyle w:val="18"/>
          <w:rFonts w:hAnsi="宋体" w:cs="宋体"/>
          <w:b/>
          <w:bCs/>
          <w:szCs w:val="21"/>
        </w:rPr>
      </w:pPr>
    </w:p>
    <w:p w14:paraId="00E6E19B">
      <w:pPr>
        <w:spacing w:line="360" w:lineRule="auto"/>
        <w:rPr>
          <w:rStyle w:val="18"/>
          <w:rFonts w:hAnsi="宋体" w:cs="宋体"/>
          <w:b/>
          <w:bCs/>
          <w:szCs w:val="21"/>
        </w:rPr>
      </w:pPr>
    </w:p>
    <w:p w14:paraId="506A1B89">
      <w:pPr>
        <w:spacing w:line="360" w:lineRule="auto"/>
        <w:rPr>
          <w:rStyle w:val="18"/>
          <w:rFonts w:hAnsi="宋体" w:cs="宋体"/>
          <w:b/>
          <w:bCs/>
          <w:szCs w:val="21"/>
        </w:rPr>
      </w:pPr>
    </w:p>
    <w:p w14:paraId="26281EE7">
      <w:pPr>
        <w:spacing w:line="360" w:lineRule="auto"/>
        <w:rPr>
          <w:rStyle w:val="18"/>
          <w:rFonts w:hAnsi="宋体" w:cs="宋体"/>
          <w:b/>
          <w:bCs/>
          <w:szCs w:val="21"/>
        </w:rPr>
      </w:pPr>
    </w:p>
    <w:p w14:paraId="1046FB27">
      <w:pPr>
        <w:spacing w:line="360" w:lineRule="auto"/>
        <w:rPr>
          <w:rStyle w:val="18"/>
          <w:rFonts w:hAnsi="宋体" w:cs="宋体"/>
          <w:b/>
          <w:bCs/>
          <w:szCs w:val="21"/>
        </w:rPr>
      </w:pPr>
    </w:p>
    <w:p w14:paraId="10DEB2C2">
      <w:pPr>
        <w:spacing w:line="360" w:lineRule="auto"/>
        <w:rPr>
          <w:rStyle w:val="18"/>
          <w:rFonts w:hAnsi="宋体" w:cs="宋体"/>
          <w:b/>
          <w:bCs/>
          <w:szCs w:val="21"/>
        </w:rPr>
      </w:pPr>
    </w:p>
    <w:p w14:paraId="0725855B">
      <w:pPr>
        <w:spacing w:line="360" w:lineRule="auto"/>
        <w:rPr>
          <w:rStyle w:val="18"/>
          <w:rFonts w:hAnsi="宋体" w:cs="宋体"/>
          <w:b/>
          <w:bCs/>
          <w:szCs w:val="21"/>
        </w:rPr>
      </w:pPr>
    </w:p>
    <w:p w14:paraId="30FB1FE7">
      <w:pPr>
        <w:spacing w:line="360" w:lineRule="auto"/>
        <w:rPr>
          <w:rStyle w:val="18"/>
          <w:rFonts w:hAnsi="宋体" w:cs="宋体"/>
          <w:b/>
          <w:bCs/>
          <w:szCs w:val="21"/>
        </w:rPr>
      </w:pPr>
    </w:p>
    <w:p w14:paraId="6F2C5491">
      <w:pPr>
        <w:spacing w:line="360" w:lineRule="auto"/>
        <w:rPr>
          <w:rStyle w:val="18"/>
          <w:rFonts w:hAnsi="宋体" w:cs="宋体"/>
          <w:b/>
          <w:bCs/>
          <w:szCs w:val="21"/>
        </w:rPr>
      </w:pPr>
    </w:p>
    <w:p w14:paraId="09447A58">
      <w:pPr>
        <w:spacing w:line="360" w:lineRule="auto"/>
        <w:rPr>
          <w:rStyle w:val="18"/>
          <w:rFonts w:hAnsi="宋体" w:cs="宋体"/>
          <w:b/>
          <w:bCs/>
          <w:szCs w:val="21"/>
        </w:rPr>
      </w:pPr>
    </w:p>
    <w:p w14:paraId="6BE1C578">
      <w:pPr>
        <w:spacing w:line="360" w:lineRule="auto"/>
        <w:rPr>
          <w:rStyle w:val="18"/>
          <w:rFonts w:hAnsi="宋体" w:cs="宋体"/>
          <w:b/>
          <w:bCs/>
          <w:szCs w:val="21"/>
        </w:rPr>
      </w:pPr>
    </w:p>
    <w:p w14:paraId="148D1972">
      <w:pPr>
        <w:spacing w:line="360" w:lineRule="auto"/>
        <w:rPr>
          <w:rStyle w:val="18"/>
          <w:rFonts w:hAnsi="宋体" w:cs="宋体"/>
          <w:b/>
          <w:bCs/>
          <w:szCs w:val="21"/>
        </w:rPr>
      </w:pPr>
    </w:p>
    <w:p w14:paraId="2659E72E">
      <w:pPr>
        <w:spacing w:line="360" w:lineRule="auto"/>
        <w:rPr>
          <w:rStyle w:val="18"/>
          <w:rFonts w:hAnsi="宋体" w:cs="宋体"/>
          <w:b/>
          <w:bCs/>
          <w:szCs w:val="21"/>
        </w:rPr>
      </w:pPr>
    </w:p>
    <w:p w14:paraId="10EE9622">
      <w:pPr>
        <w:spacing w:line="360" w:lineRule="auto"/>
        <w:rPr>
          <w:rStyle w:val="18"/>
          <w:rFonts w:hAnsi="宋体" w:cs="宋体"/>
          <w:b/>
          <w:bCs/>
          <w:szCs w:val="21"/>
        </w:rPr>
      </w:pPr>
    </w:p>
    <w:p w14:paraId="73809A91">
      <w:pPr>
        <w:spacing w:line="360" w:lineRule="auto"/>
        <w:rPr>
          <w:rStyle w:val="18"/>
          <w:rFonts w:hAnsi="宋体" w:cs="宋体"/>
          <w:b/>
          <w:bCs/>
          <w:szCs w:val="21"/>
        </w:rPr>
      </w:pPr>
    </w:p>
    <w:p w14:paraId="2EAC5149">
      <w:pPr>
        <w:spacing w:line="360" w:lineRule="auto"/>
        <w:rPr>
          <w:rStyle w:val="18"/>
          <w:rFonts w:hAnsi="宋体" w:cs="宋体"/>
          <w:b/>
          <w:bCs/>
          <w:szCs w:val="21"/>
        </w:rPr>
      </w:pPr>
    </w:p>
    <w:p w14:paraId="1EA8DE18">
      <w:pPr>
        <w:spacing w:line="360" w:lineRule="auto"/>
        <w:rPr>
          <w:rStyle w:val="18"/>
          <w:rFonts w:hAnsi="宋体" w:cs="宋体"/>
          <w:b/>
          <w:bCs/>
          <w:szCs w:val="21"/>
        </w:rPr>
      </w:pPr>
    </w:p>
    <w:p w14:paraId="56C5B045">
      <w:pPr>
        <w:spacing w:line="360" w:lineRule="auto"/>
        <w:rPr>
          <w:rStyle w:val="18"/>
          <w:rFonts w:hAnsi="宋体" w:cs="宋体"/>
          <w:b/>
          <w:bCs/>
          <w:szCs w:val="21"/>
        </w:rPr>
      </w:pPr>
    </w:p>
    <w:p w14:paraId="16678D08">
      <w:pPr>
        <w:spacing w:line="360" w:lineRule="auto"/>
        <w:rPr>
          <w:rStyle w:val="18"/>
          <w:rFonts w:hAnsi="宋体" w:cs="宋体"/>
          <w:b/>
          <w:bCs/>
          <w:szCs w:val="21"/>
        </w:rPr>
      </w:pPr>
    </w:p>
    <w:p w14:paraId="0E2A60BF">
      <w:pPr>
        <w:spacing w:line="360" w:lineRule="auto"/>
        <w:rPr>
          <w:rStyle w:val="18"/>
          <w:rFonts w:hAnsi="宋体" w:cs="宋体"/>
          <w:b/>
          <w:bCs/>
          <w:szCs w:val="21"/>
        </w:rPr>
      </w:pPr>
    </w:p>
    <w:p w14:paraId="7A94E1A7">
      <w:pPr>
        <w:spacing w:line="360" w:lineRule="auto"/>
        <w:rPr>
          <w:rStyle w:val="18"/>
          <w:rFonts w:hAnsi="宋体" w:cs="宋体"/>
          <w:b/>
          <w:bCs/>
          <w:szCs w:val="21"/>
        </w:rPr>
      </w:pPr>
    </w:p>
    <w:p w14:paraId="70D98759">
      <w:pPr>
        <w:spacing w:line="360" w:lineRule="auto"/>
        <w:rPr>
          <w:rStyle w:val="18"/>
          <w:rFonts w:hAnsi="宋体" w:cs="宋体"/>
          <w:b/>
          <w:bCs/>
          <w:szCs w:val="21"/>
        </w:rPr>
      </w:pPr>
    </w:p>
    <w:p w14:paraId="17CBDBC1">
      <w:pPr>
        <w:spacing w:line="360" w:lineRule="auto"/>
        <w:rPr>
          <w:rStyle w:val="18"/>
          <w:rFonts w:hAnsi="宋体" w:cs="宋体"/>
          <w:b/>
          <w:bCs/>
          <w:szCs w:val="21"/>
        </w:rPr>
      </w:pPr>
    </w:p>
    <w:p w14:paraId="10D5EAFB">
      <w:pPr>
        <w:spacing w:line="360" w:lineRule="auto"/>
        <w:rPr>
          <w:rStyle w:val="18"/>
          <w:rFonts w:hAnsi="宋体" w:cs="宋体"/>
          <w:b/>
          <w:bCs/>
          <w:szCs w:val="21"/>
        </w:rPr>
      </w:pPr>
    </w:p>
    <w:p w14:paraId="4B987E01">
      <w:pPr>
        <w:spacing w:line="360" w:lineRule="auto"/>
        <w:rPr>
          <w:rStyle w:val="18"/>
          <w:rFonts w:hAnsi="宋体" w:cs="宋体"/>
          <w:b/>
          <w:bCs/>
          <w:szCs w:val="21"/>
        </w:rPr>
      </w:pPr>
    </w:p>
    <w:p w14:paraId="28C491A3">
      <w:pPr>
        <w:spacing w:line="360" w:lineRule="auto"/>
        <w:rPr>
          <w:rStyle w:val="18"/>
          <w:rFonts w:hAnsi="宋体" w:cs="宋体"/>
          <w:b/>
          <w:bCs/>
          <w:szCs w:val="21"/>
        </w:rPr>
      </w:pPr>
    </w:p>
    <w:p w14:paraId="6F207DC5">
      <w:pPr>
        <w:spacing w:line="360" w:lineRule="auto"/>
        <w:rPr>
          <w:rStyle w:val="18"/>
          <w:rFonts w:hAnsi="宋体" w:cs="宋体"/>
          <w:b/>
          <w:bCs/>
          <w:szCs w:val="21"/>
        </w:rPr>
      </w:pPr>
    </w:p>
    <w:p w14:paraId="715E2A28">
      <w:pPr>
        <w:spacing w:line="360" w:lineRule="auto"/>
        <w:rPr>
          <w:rStyle w:val="18"/>
          <w:rFonts w:hAnsi="宋体" w:cs="宋体"/>
          <w:b/>
          <w:bCs/>
          <w:szCs w:val="21"/>
        </w:rPr>
      </w:pPr>
    </w:p>
    <w:p w14:paraId="48C90C66">
      <w:pPr>
        <w:spacing w:line="360" w:lineRule="auto"/>
        <w:rPr>
          <w:rStyle w:val="18"/>
          <w:rFonts w:hAnsi="宋体" w:cs="宋体"/>
          <w:b/>
          <w:bCs/>
          <w:szCs w:val="21"/>
        </w:rPr>
      </w:pPr>
    </w:p>
    <w:p w14:paraId="3E646956">
      <w:pPr>
        <w:pStyle w:val="3"/>
        <w:rPr>
          <w:rStyle w:val="18"/>
          <w:rFonts w:hAnsi="宋体" w:eastAsia="宋体" w:cs="宋体"/>
          <w:b/>
          <w:bCs/>
          <w:sz w:val="32"/>
          <w:szCs w:val="28"/>
        </w:rPr>
      </w:pPr>
    </w:p>
    <w:p w14:paraId="05030C14">
      <w:pPr>
        <w:spacing w:line="360" w:lineRule="auto"/>
        <w:jc w:val="left"/>
        <w:outlineLvl w:val="1"/>
        <w:rPr>
          <w:rStyle w:val="18"/>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8"/>
          <w:rFonts w:hint="eastAsia" w:hAnsi="宋体" w:cs="宋体"/>
          <w:b/>
          <w:bCs/>
          <w:szCs w:val="21"/>
          <w:lang w:val="en-US" w:eastAsia="zh-CN"/>
        </w:rPr>
        <w:t>八</w:t>
      </w:r>
      <w:r>
        <w:rPr>
          <w:rStyle w:val="18"/>
          <w:rFonts w:hint="eastAsia" w:hAnsi="宋体" w:cs="宋体"/>
          <w:b/>
          <w:bCs/>
          <w:szCs w:val="21"/>
        </w:rPr>
        <w:t>、采购需求偏离表</w:t>
      </w:r>
      <w:bookmarkEnd w:id="10"/>
      <w:bookmarkEnd w:id="11"/>
      <w:bookmarkEnd w:id="12"/>
      <w:bookmarkEnd w:id="13"/>
      <w:bookmarkEnd w:id="14"/>
      <w:bookmarkEnd w:id="15"/>
    </w:p>
    <w:p w14:paraId="3AA95037">
      <w:pPr>
        <w:pStyle w:val="4"/>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8"/>
          <w:rFonts w:hAnsi="宋体" w:cs="宋体"/>
          <w:szCs w:val="21"/>
        </w:rPr>
      </w:pPr>
      <w:r>
        <w:rPr>
          <w:rStyle w:val="18"/>
          <w:rFonts w:hint="eastAsia" w:hAnsi="宋体" w:cs="宋体"/>
          <w:szCs w:val="21"/>
        </w:rPr>
        <w:t>填写要求：</w:t>
      </w:r>
    </w:p>
    <w:p w14:paraId="119F1AA9">
      <w:pPr>
        <w:numPr>
          <w:ilvl w:val="0"/>
          <w:numId w:val="2"/>
        </w:numPr>
        <w:spacing w:line="360" w:lineRule="auto"/>
        <w:rPr>
          <w:rStyle w:val="18"/>
          <w:rFonts w:hAnsi="宋体" w:cs="宋体"/>
          <w:szCs w:val="21"/>
        </w:rPr>
      </w:pPr>
      <w:r>
        <w:rPr>
          <w:rStyle w:val="18"/>
          <w:rFonts w:hint="eastAsia" w:hAnsi="宋体" w:cs="宋体"/>
          <w:szCs w:val="21"/>
        </w:rPr>
        <w:t>请按采购需求的要求逐条响应，正负偏离参数请备注说明。</w:t>
      </w:r>
    </w:p>
    <w:p w14:paraId="5C10C3F2">
      <w:pPr>
        <w:spacing w:line="360" w:lineRule="auto"/>
      </w:pPr>
      <w:r>
        <w:rPr>
          <w:rStyle w:val="18"/>
          <w:rFonts w:hint="eastAsia" w:hAnsi="宋体" w:cs="宋体"/>
          <w:szCs w:val="21"/>
        </w:rPr>
        <w:t>2、其中带★的参数是必须完全响应的参数。带</w:t>
      </w:r>
      <w:r>
        <w:rPr>
          <w:rFonts w:hint="eastAsia" w:ascii="宋体" w:hAnsi="宋体" w:eastAsia="宋体" w:cs="宋体"/>
        </w:rPr>
        <w:t>▲的参数为重要参数。</w:t>
      </w:r>
    </w:p>
    <w:tbl>
      <w:tblPr>
        <w:tblStyle w:val="13"/>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1230"/>
        <w:gridCol w:w="1628"/>
        <w:gridCol w:w="3691"/>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序号</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采购</w:t>
            </w:r>
            <w:r>
              <w:rPr>
                <w:rStyle w:val="18"/>
                <w:rFonts w:hint="eastAsia" w:ascii="宋体" w:hAnsi="宋体" w:eastAsia="宋体" w:cs="宋体"/>
                <w:szCs w:val="21"/>
                <w:lang w:val="zh-TW"/>
              </w:rPr>
              <w:t>需求的</w:t>
            </w:r>
            <w:r>
              <w:rPr>
                <w:rStyle w:val="18"/>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18"/>
                <w:rFonts w:ascii="宋体" w:hAnsi="宋体" w:eastAsia="宋体" w:cs="宋体"/>
                <w:szCs w:val="21"/>
                <w:lang w:val="zh-TW"/>
              </w:rPr>
            </w:pPr>
            <w:r>
              <w:rPr>
                <w:rStyle w:val="18"/>
                <w:rFonts w:hint="eastAsia" w:ascii="宋体" w:hAnsi="宋体" w:eastAsia="宋体" w:cs="宋体"/>
                <w:szCs w:val="21"/>
                <w:lang w:val="zh-TW"/>
              </w:rPr>
              <w:t>完全响应或</w:t>
            </w:r>
          </w:p>
          <w:p w14:paraId="09BCB41A">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w:t>
            </w:r>
            <w:r>
              <w:rPr>
                <w:rFonts w:hint="eastAsia" w:ascii="仿宋" w:hAnsi="仿宋" w:eastAsia="仿宋" w:cs="仿宋"/>
                <w:b/>
                <w:sz w:val="24"/>
                <w:lang w:val="en-US" w:eastAsia="zh-CN"/>
              </w:rPr>
              <w:t>基本要求</w:t>
            </w:r>
            <w:r>
              <w:rPr>
                <w:rFonts w:hint="eastAsia" w:ascii="仿宋" w:hAnsi="仿宋" w:eastAsia="仿宋" w:cs="仿宋"/>
                <w:b/>
                <w:sz w:val="24"/>
              </w:rPr>
              <w:t>：</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18"/>
                <w:rFonts w:ascii="宋体" w:hAnsi="宋体" w:eastAsia="宋体" w:cs="宋体"/>
                <w:szCs w:val="21"/>
              </w:rPr>
            </w:pP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E3F0C3">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1、资质要求：</w:t>
            </w:r>
          </w:p>
          <w:p w14:paraId="638F6485">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（1）响应供应商具有独立承担民事责任能力的在中华人民共和国境内注册的法人或其他组织营业执照，经营范围含金属制品/医疗器械/消毒器械生产或销售、批发业等相关内容；</w:t>
            </w:r>
          </w:p>
          <w:p w14:paraId="6D6CB158">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（2）响应供应商应具有项目的承接能力、合同的履约能力、售后服务能力和良好的信誉。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18"/>
                <w:rFonts w:ascii="宋体" w:hAnsi="宋体" w:eastAsia="宋体" w:cs="宋体"/>
                <w:szCs w:val="21"/>
              </w:rPr>
            </w:pPr>
          </w:p>
        </w:tc>
      </w:tr>
      <w:tr w14:paraId="5F55A2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AECCF">
            <w:pPr>
              <w:spacing w:line="300" w:lineRule="auto"/>
              <w:jc w:val="center"/>
              <w:rPr>
                <w:rStyle w:val="18"/>
                <w:rFonts w:ascii="宋体" w:hAnsi="宋体" w:eastAsia="宋体" w:cs="宋体"/>
                <w:szCs w:val="21"/>
              </w:rPr>
            </w:pP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4DADFA">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2、交货地点：中山市小榄人民医院日用品仓</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7960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57E1DE">
            <w:pPr>
              <w:spacing w:line="300" w:lineRule="auto"/>
              <w:rPr>
                <w:rStyle w:val="18"/>
                <w:rFonts w:ascii="宋体" w:hAnsi="宋体" w:eastAsia="宋体" w:cs="宋体"/>
                <w:szCs w:val="21"/>
              </w:rPr>
            </w:pPr>
          </w:p>
        </w:tc>
      </w:tr>
      <w:tr w14:paraId="2E3D9A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0D98D5">
            <w:pPr>
              <w:spacing w:line="300" w:lineRule="auto"/>
              <w:jc w:val="center"/>
              <w:rPr>
                <w:rStyle w:val="18"/>
                <w:rFonts w:ascii="宋体" w:hAnsi="宋体" w:eastAsia="宋体" w:cs="宋体"/>
                <w:szCs w:val="21"/>
              </w:rPr>
            </w:pP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4068877">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3、本项目预算金额总价上限为</w:t>
            </w:r>
            <w:r>
              <w:rPr>
                <w:rStyle w:val="18"/>
                <w:rFonts w:hint="eastAsia" w:ascii="仿宋" w:hAnsi="仿宋" w:eastAsia="仿宋" w:cs="仿宋"/>
                <w:color w:val="000000" w:themeColor="text1"/>
                <w:sz w:val="24"/>
                <w:szCs w:val="22"/>
                <w:u w:val="single"/>
              </w:rPr>
              <w:t>¥32,630</w:t>
            </w:r>
            <w:r>
              <w:rPr>
                <w:rStyle w:val="18"/>
                <w:rFonts w:hint="eastAsia" w:ascii="仿宋" w:hAnsi="仿宋" w:eastAsia="仿宋" w:cs="仿宋"/>
                <w:color w:val="000000" w:themeColor="text1"/>
                <w:sz w:val="24"/>
                <w:szCs w:val="22"/>
              </w:rPr>
              <w:t>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BF9D5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6B1FA">
            <w:pPr>
              <w:spacing w:line="300" w:lineRule="auto"/>
              <w:rPr>
                <w:rStyle w:val="18"/>
                <w:rFonts w:ascii="宋体" w:hAnsi="宋体" w:eastAsia="宋体" w:cs="宋体"/>
                <w:szCs w:val="21"/>
              </w:rPr>
            </w:pPr>
          </w:p>
        </w:tc>
      </w:tr>
      <w:tr w14:paraId="0CE8B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24C08">
            <w:pPr>
              <w:spacing w:line="300" w:lineRule="auto"/>
              <w:jc w:val="center"/>
              <w:rPr>
                <w:rStyle w:val="18"/>
                <w:rFonts w:ascii="宋体" w:hAnsi="宋体" w:eastAsia="宋体" w:cs="宋体"/>
                <w:szCs w:val="21"/>
              </w:rPr>
            </w:pP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DDA24E">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4、交货方式：成交供应商应保证充足的货物，保证供货，在收到采购人下单通知后</w:t>
            </w:r>
            <w:r>
              <w:rPr>
                <w:rStyle w:val="18"/>
                <w:rFonts w:hint="eastAsia" w:ascii="仿宋" w:hAnsi="仿宋" w:eastAsia="仿宋" w:cs="仿宋"/>
                <w:color w:val="000000" w:themeColor="text1"/>
                <w:sz w:val="24"/>
                <w:szCs w:val="22"/>
                <w:u w:val="single"/>
              </w:rPr>
              <w:t>10</w:t>
            </w:r>
            <w:r>
              <w:rPr>
                <w:rStyle w:val="18"/>
                <w:rFonts w:hint="eastAsia" w:ascii="仿宋" w:hAnsi="仿宋" w:eastAsia="仿宋" w:cs="仿宋"/>
                <w:color w:val="000000" w:themeColor="text1"/>
                <w:sz w:val="24"/>
                <w:szCs w:val="22"/>
              </w:rPr>
              <w:t>个工作日内把货物交付到指定地点。</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BA55C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6988B">
            <w:pPr>
              <w:spacing w:line="300" w:lineRule="auto"/>
              <w:rPr>
                <w:rStyle w:val="18"/>
                <w:rFonts w:ascii="宋体" w:hAnsi="宋体" w:eastAsia="宋体" w:cs="宋体"/>
                <w:szCs w:val="21"/>
              </w:rPr>
            </w:pPr>
          </w:p>
        </w:tc>
      </w:tr>
      <w:tr w14:paraId="717181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A4B6E">
            <w:pPr>
              <w:spacing w:line="300" w:lineRule="auto"/>
              <w:jc w:val="center"/>
              <w:rPr>
                <w:rStyle w:val="18"/>
                <w:rFonts w:ascii="宋体" w:hAnsi="宋体" w:eastAsia="宋体" w:cs="宋体"/>
                <w:szCs w:val="21"/>
              </w:rPr>
            </w:pP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FE8D13">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5、交货条件：</w:t>
            </w:r>
          </w:p>
          <w:p w14:paraId="6C9A661F">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（1）成交供应商应将货物送到采购人指定地点交给采购人收货人，货物交付前一切风险由成交供应商承担。</w:t>
            </w:r>
          </w:p>
          <w:p w14:paraId="478F295E">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（2）成交供应商所提交的货物单价超出合同约定的，采购人有权拒绝接收。</w:t>
            </w:r>
          </w:p>
          <w:p w14:paraId="445A2F2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合同期内，如个别产品遇到停产情况或难以寻找货源的，成交供应商应优先寻找市面上同品牌同型号的货物供应，若在市面上已无货源供应，成交供应商需提前15个自然日内书面告知采购人并经采购人同意后，提供等同于或优于原参数的产品供应采购人使用，不得断供，否则视为成交供应商违约（如遇紧急情况，供货时间由双方协商确定）。</w:t>
            </w:r>
          </w:p>
          <w:p w14:paraId="0263D838">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（4）合同期内，采购人对成交供应商所提供的货物不满意（在使用过程中发现以次充好或使用假冒伪劣产品2次以上，或超过规定交货期限15个自然日成交供应商仍不能交货的），采购人有权单方终止合同。</w:t>
            </w:r>
          </w:p>
          <w:p w14:paraId="1C43F042">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（5）成交供应商在实施项目过程中如有违法违规行为的，采购人有权取消其供货资格，造成的损失由成交供应商承担。</w:t>
            </w:r>
          </w:p>
          <w:p w14:paraId="3B4BD265">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（6）成交供应商不得以任何方式转包或分包本项目，否则视为成交供应商毁约，采购人有权单方终止项目。</w:t>
            </w:r>
          </w:p>
          <w:p w14:paraId="7AF14E3B">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 xml:space="preserve">（7）成交供应商向采购人提供产品全部相关资质证明。  </w:t>
            </w:r>
          </w:p>
          <w:p w14:paraId="15498766">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8）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p w14:paraId="69803282">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（9）如成交供应商未能按时保质交货，需支付违约金。</w:t>
            </w:r>
          </w:p>
          <w:p w14:paraId="532D440B">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（10）成交供应商送货上门，运费、装卸费及保险费等一切相关费用均由成交供应商负责。</w:t>
            </w:r>
          </w:p>
          <w:p w14:paraId="6C26EFC7">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（11）成交供应商应依照行业标准对采购人所购买的产品进行包装，以防止产品在转运中损坏、污染或侵权行为等，确保产品安全运抵指定地点。</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32B1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31F8B">
            <w:pPr>
              <w:spacing w:line="300" w:lineRule="auto"/>
              <w:rPr>
                <w:rStyle w:val="18"/>
                <w:rFonts w:ascii="宋体" w:hAnsi="宋体" w:eastAsia="宋体" w:cs="宋体"/>
                <w:szCs w:val="21"/>
              </w:rPr>
            </w:pPr>
          </w:p>
        </w:tc>
      </w:tr>
      <w:tr w14:paraId="573DB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AA07C5">
            <w:pPr>
              <w:spacing w:line="300" w:lineRule="auto"/>
              <w:jc w:val="center"/>
              <w:rPr>
                <w:rStyle w:val="18"/>
                <w:rFonts w:ascii="宋体" w:hAnsi="宋体" w:eastAsia="宋体" w:cs="宋体"/>
                <w:szCs w:val="21"/>
              </w:rPr>
            </w:pP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508B113">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6、本次采购只进行供应商供货资格的招标，本次招标为供货资格的取得，并不代表货物已售出，采购人无法预计也无法保证向成交供应商采购的数量。采购人按照本单位使用情况下单所需货物数量，成交供应商不得对采购人所采购货物数量作要求或质疑，结算时以实际发生量为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3A2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AC9D">
            <w:pPr>
              <w:spacing w:line="300" w:lineRule="auto"/>
              <w:rPr>
                <w:rStyle w:val="18"/>
                <w:rFonts w:ascii="宋体" w:hAnsi="宋体" w:eastAsia="宋体" w:cs="宋体"/>
                <w:szCs w:val="21"/>
              </w:rPr>
            </w:pPr>
          </w:p>
        </w:tc>
      </w:tr>
      <w:tr w14:paraId="2CFC49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189"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078ED">
            <w:pPr>
              <w:spacing w:line="360" w:lineRule="auto"/>
              <w:rPr>
                <w:rStyle w:val="18"/>
                <w:rFonts w:hint="eastAsia" w:ascii="仿宋" w:hAnsi="仿宋" w:eastAsia="仿宋" w:cs="仿宋"/>
                <w:color w:val="000000" w:themeColor="text1"/>
                <w:sz w:val="24"/>
                <w:szCs w:val="22"/>
                <w:lang w:eastAsia="zh-CN"/>
              </w:rPr>
            </w:pPr>
            <w:r>
              <w:rPr>
                <w:rFonts w:hint="eastAsia" w:ascii="仿宋" w:hAnsi="仿宋" w:eastAsia="仿宋" w:cs="仿宋"/>
                <w:b/>
                <w:sz w:val="24"/>
              </w:rPr>
              <w:t>二、</w:t>
            </w:r>
            <w:r>
              <w:rPr>
                <w:rFonts w:hint="eastAsia" w:ascii="仿宋" w:hAnsi="仿宋" w:eastAsia="仿宋" w:cs="仿宋"/>
                <w:b/>
                <w:sz w:val="24"/>
                <w:lang w:val="en-US" w:eastAsia="zh-CN"/>
              </w:rPr>
              <w:t>采购清单</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3B14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903BD">
            <w:pPr>
              <w:spacing w:line="300" w:lineRule="auto"/>
              <w:rPr>
                <w:rStyle w:val="18"/>
                <w:rFonts w:ascii="宋体" w:hAnsi="宋体" w:eastAsia="宋体" w:cs="宋体"/>
                <w:szCs w:val="21"/>
              </w:rPr>
            </w:pPr>
          </w:p>
        </w:tc>
      </w:tr>
      <w:tr w14:paraId="70FB7E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5B47944">
            <w:pPr>
              <w:spacing w:line="240" w:lineRule="auto"/>
              <w:jc w:val="center"/>
              <w:rPr>
                <w:rStyle w:val="18"/>
                <w:rFonts w:hint="eastAsia" w:ascii="仿宋" w:hAnsi="仿宋" w:eastAsia="仿宋" w:cs="仿宋"/>
                <w:sz w:val="24"/>
                <w:szCs w:val="24"/>
              </w:rPr>
            </w:pPr>
          </w:p>
        </w:tc>
        <w:tc>
          <w:tcPr>
            <w:tcW w:w="123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BF17DFA">
            <w:pPr>
              <w:spacing w:line="240" w:lineRule="auto"/>
              <w:jc w:val="center"/>
              <w:rPr>
                <w:rFonts w:hint="eastAsia" w:ascii="仿宋" w:hAnsi="仿宋" w:eastAsia="仿宋" w:cs="仿宋"/>
                <w:sz w:val="24"/>
                <w:szCs w:val="24"/>
                <w:lang w:val="en-US" w:eastAsia="zh-CN"/>
              </w:rPr>
            </w:pPr>
            <w:r>
              <w:rPr>
                <w:rFonts w:hint="eastAsia" w:ascii="仿宋" w:hAnsi="仿宋" w:eastAsia="仿宋" w:cs="仿宋"/>
                <w:b/>
                <w:bCs w:val="0"/>
                <w:color w:val="auto"/>
                <w:sz w:val="24"/>
                <w:szCs w:val="24"/>
              </w:rPr>
              <w:t>采购物品</w:t>
            </w:r>
          </w:p>
        </w:tc>
        <w:tc>
          <w:tcPr>
            <w:tcW w:w="162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31CC832">
            <w:pPr>
              <w:spacing w:line="240" w:lineRule="auto"/>
              <w:jc w:val="center"/>
              <w:rPr>
                <w:rFonts w:hint="eastAsia" w:ascii="仿宋" w:hAnsi="仿宋" w:eastAsia="仿宋" w:cs="仿宋"/>
                <w:sz w:val="24"/>
                <w:szCs w:val="24"/>
                <w:lang w:val="en-US" w:eastAsia="zh-CN"/>
              </w:rPr>
            </w:pPr>
            <w:r>
              <w:rPr>
                <w:rFonts w:hint="eastAsia" w:ascii="仿宋" w:hAnsi="仿宋" w:eastAsia="仿宋" w:cs="仿宋"/>
                <w:b/>
                <w:bCs w:val="0"/>
                <w:color w:val="auto"/>
                <w:sz w:val="24"/>
                <w:szCs w:val="24"/>
                <w:lang w:val="en-US" w:eastAsia="zh-CN"/>
              </w:rPr>
              <w:t>规格</w:t>
            </w:r>
          </w:p>
        </w:tc>
        <w:tc>
          <w:tcPr>
            <w:tcW w:w="3691"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A0DA945">
            <w:pPr>
              <w:spacing w:line="240" w:lineRule="auto"/>
              <w:jc w:val="both"/>
              <w:rPr>
                <w:rFonts w:hint="eastAsia" w:ascii="仿宋" w:hAnsi="仿宋" w:eastAsia="仿宋" w:cs="仿宋"/>
                <w:sz w:val="24"/>
                <w:szCs w:val="24"/>
                <w:lang w:val="en-US" w:eastAsia="zh-CN"/>
              </w:rPr>
            </w:pPr>
            <w:r>
              <w:rPr>
                <w:rFonts w:hint="eastAsia" w:ascii="仿宋" w:hAnsi="仿宋" w:eastAsia="仿宋" w:cs="仿宋"/>
                <w:b/>
                <w:bCs w:val="0"/>
                <w:color w:val="auto"/>
                <w:sz w:val="24"/>
                <w:szCs w:val="24"/>
              </w:rPr>
              <w:t>技术参数要求</w:t>
            </w: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BA4D203">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8CFCA4">
            <w:pPr>
              <w:spacing w:line="300" w:lineRule="auto"/>
              <w:rPr>
                <w:rStyle w:val="18"/>
                <w:rFonts w:ascii="宋体" w:hAnsi="宋体" w:eastAsia="宋体" w:cs="宋体"/>
                <w:szCs w:val="21"/>
              </w:rPr>
            </w:pPr>
          </w:p>
        </w:tc>
      </w:tr>
      <w:tr w14:paraId="1032D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1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E52DE05">
            <w:pPr>
              <w:spacing w:line="240" w:lineRule="auto"/>
              <w:jc w:val="cente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1</w:t>
            </w:r>
          </w:p>
        </w:tc>
        <w:tc>
          <w:tcPr>
            <w:tcW w:w="123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88F805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大号标准器械篮筐</w:t>
            </w:r>
          </w:p>
        </w:tc>
        <w:tc>
          <w:tcPr>
            <w:tcW w:w="162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C5C288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lang w:val="en-US" w:eastAsia="zh-CN"/>
              </w:rPr>
            </w:pPr>
            <w:r>
              <w:rPr>
                <w:rFonts w:hint="eastAsia" w:ascii="宋体" w:hAnsi="宋体" w:eastAsia="宋体" w:cs="宋体"/>
                <w:i w:val="0"/>
                <w:iCs w:val="0"/>
                <w:color w:val="auto"/>
                <w:kern w:val="0"/>
                <w:sz w:val="20"/>
                <w:szCs w:val="20"/>
                <w:u w:val="none"/>
                <w:lang w:val="en-US" w:eastAsia="zh-CN" w:bidi="ar"/>
              </w:rPr>
              <w:t>450 mm×340 mm×70 mm，带不锈钢牌</w:t>
            </w:r>
          </w:p>
        </w:tc>
        <w:tc>
          <w:tcPr>
            <w:tcW w:w="3691" w:type="dxa"/>
            <w:vMerge w:val="restart"/>
            <w:tcBorders>
              <w:top w:val="single" w:color="auto"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603ED45C">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default" w:ascii="宋体" w:hAnsi="宋体" w:eastAsia="宋体" w:cs="宋体"/>
                <w:i w:val="0"/>
                <w:iCs w:val="0"/>
                <w:color w:val="auto"/>
                <w:kern w:val="0"/>
                <w:sz w:val="20"/>
                <w:szCs w:val="20"/>
                <w:u w:val="none"/>
                <w:lang w:val="en-US" w:eastAsia="zh-CN" w:bidi="ar"/>
              </w:rPr>
            </w:pPr>
            <w:r>
              <w:rPr>
                <w:rFonts w:hint="default" w:ascii="宋体" w:hAnsi="宋体" w:eastAsia="宋体" w:cs="宋体"/>
                <w:i w:val="0"/>
                <w:iCs w:val="0"/>
                <w:color w:val="auto"/>
                <w:kern w:val="0"/>
                <w:sz w:val="20"/>
                <w:szCs w:val="20"/>
                <w:u w:val="none"/>
                <w:lang w:val="en-US" w:eastAsia="zh-CN" w:bidi="ar"/>
              </w:rPr>
              <w:t>1.适用于各类器械在清洗、消毒、包装、灭菌过程中的装放，适用于压力蒸汽134℃ 7分钟灭菌、环氧乙烷灭菌、过氧化氢灭菌和低温蒸汽甲醛灭菌方式。</w:t>
            </w:r>
          </w:p>
          <w:p w14:paraId="3A0A7EC3">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default" w:ascii="宋体" w:hAnsi="宋体" w:eastAsia="宋体" w:cs="宋体"/>
                <w:i w:val="0"/>
                <w:iCs w:val="0"/>
                <w:color w:val="auto"/>
                <w:kern w:val="0"/>
                <w:sz w:val="20"/>
                <w:szCs w:val="20"/>
                <w:u w:val="none"/>
                <w:lang w:val="en-US" w:eastAsia="zh-CN" w:bidi="ar"/>
              </w:rPr>
            </w:pPr>
            <w:r>
              <w:rPr>
                <w:rFonts w:hint="default" w:ascii="宋体" w:hAnsi="宋体" w:eastAsia="宋体" w:cs="宋体"/>
                <w:i w:val="0"/>
                <w:iCs w:val="0"/>
                <w:color w:val="auto"/>
                <w:kern w:val="0"/>
                <w:sz w:val="20"/>
                <w:szCs w:val="20"/>
                <w:u w:val="none"/>
                <w:lang w:val="en-US" w:eastAsia="zh-CN" w:bidi="ar"/>
              </w:rPr>
              <w:t>2.全部采用优质304不锈钢材质，网孔大小6.5mm*6.5mm，短边一侧焊60mm*40mm不锈钢牌，整体防锈防潮，高度耐腐蚀，坚固耐用，使用寿命长。</w:t>
            </w:r>
          </w:p>
          <w:p w14:paraId="0729B00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default" w:ascii="宋体" w:hAnsi="宋体" w:eastAsia="宋体" w:cs="宋体"/>
                <w:i w:val="0"/>
                <w:iCs w:val="0"/>
                <w:color w:val="auto"/>
                <w:kern w:val="0"/>
                <w:sz w:val="20"/>
                <w:szCs w:val="20"/>
                <w:u w:val="none"/>
                <w:lang w:val="en-US" w:eastAsia="zh-CN" w:bidi="ar"/>
              </w:rPr>
            </w:pPr>
            <w:r>
              <w:rPr>
                <w:rFonts w:hint="default" w:ascii="宋体" w:hAnsi="宋体" w:eastAsia="宋体" w:cs="宋体"/>
                <w:i w:val="0"/>
                <w:iCs w:val="0"/>
                <w:color w:val="auto"/>
                <w:kern w:val="0"/>
                <w:sz w:val="20"/>
                <w:szCs w:val="20"/>
                <w:u w:val="none"/>
                <w:lang w:val="en-US" w:eastAsia="zh-CN" w:bidi="ar"/>
              </w:rPr>
              <w:t>3.采用电阻焊接，焊接痕迹规则，形状圆滑，无不规则凹陷、</w:t>
            </w:r>
            <w:r>
              <w:rPr>
                <w:rFonts w:hint="eastAsia" w:ascii="宋体" w:hAnsi="宋体" w:eastAsia="宋体" w:cs="宋体"/>
                <w:i w:val="0"/>
                <w:iCs w:val="0"/>
                <w:color w:val="auto"/>
                <w:kern w:val="0"/>
                <w:sz w:val="20"/>
                <w:szCs w:val="20"/>
                <w:u w:val="none"/>
                <w:lang w:val="en-US" w:eastAsia="zh-CN" w:bidi="ar"/>
              </w:rPr>
              <w:t>凸起</w:t>
            </w:r>
            <w:r>
              <w:rPr>
                <w:rFonts w:hint="default" w:ascii="宋体" w:hAnsi="宋体" w:eastAsia="宋体" w:cs="宋体"/>
                <w:i w:val="0"/>
                <w:iCs w:val="0"/>
                <w:color w:val="auto"/>
                <w:kern w:val="0"/>
                <w:sz w:val="20"/>
                <w:szCs w:val="20"/>
                <w:u w:val="none"/>
                <w:lang w:val="en-US" w:eastAsia="zh-CN" w:bidi="ar"/>
              </w:rPr>
              <w:t>，以及黑点、夹渣、生锈等，光滑无毛刺，长时间使用不易脱焊、断裂等。</w:t>
            </w:r>
          </w:p>
          <w:p w14:paraId="4E932795">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default" w:ascii="宋体" w:hAnsi="宋体" w:eastAsia="宋体" w:cs="宋体"/>
                <w:i w:val="0"/>
                <w:iCs w:val="0"/>
                <w:color w:val="auto"/>
                <w:kern w:val="0"/>
                <w:sz w:val="20"/>
                <w:szCs w:val="20"/>
                <w:u w:val="none"/>
                <w:lang w:val="en-US" w:eastAsia="zh-CN" w:bidi="ar"/>
              </w:rPr>
            </w:pPr>
            <w:r>
              <w:rPr>
                <w:rFonts w:hint="default" w:ascii="宋体" w:hAnsi="宋体" w:eastAsia="宋体" w:cs="宋体"/>
                <w:i w:val="0"/>
                <w:iCs w:val="0"/>
                <w:color w:val="auto"/>
                <w:kern w:val="0"/>
                <w:sz w:val="20"/>
                <w:szCs w:val="20"/>
                <w:u w:val="none"/>
                <w:lang w:val="en-US" w:eastAsia="zh-CN" w:bidi="ar"/>
              </w:rPr>
              <w:t>4.可堆叠设计。</w:t>
            </w:r>
          </w:p>
          <w:p w14:paraId="62300C7B">
            <w:pPr>
              <w:spacing w:line="240" w:lineRule="auto"/>
              <w:jc w:val="both"/>
              <w:rPr>
                <w:rFonts w:hint="eastAsia" w:ascii="仿宋" w:hAnsi="仿宋" w:eastAsia="仿宋" w:cs="仿宋"/>
                <w:b/>
                <w:bCs w:val="0"/>
                <w:color w:val="auto"/>
                <w:sz w:val="24"/>
                <w:szCs w:val="24"/>
              </w:rPr>
            </w:pPr>
            <w:r>
              <w:rPr>
                <w:rFonts w:hint="default" w:ascii="宋体" w:hAnsi="宋体" w:eastAsia="宋体" w:cs="宋体"/>
                <w:i w:val="0"/>
                <w:iCs w:val="0"/>
                <w:color w:val="auto"/>
                <w:kern w:val="0"/>
                <w:sz w:val="20"/>
                <w:szCs w:val="20"/>
                <w:u w:val="none"/>
                <w:lang w:val="en-US" w:eastAsia="zh-CN" w:bidi="ar"/>
              </w:rPr>
              <w:t>5.保修至少6年。</w:t>
            </w: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18BA0BC">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2DC107">
            <w:pPr>
              <w:spacing w:line="300" w:lineRule="auto"/>
              <w:rPr>
                <w:rStyle w:val="18"/>
                <w:rFonts w:ascii="宋体" w:hAnsi="宋体" w:eastAsia="宋体" w:cs="宋体"/>
                <w:szCs w:val="21"/>
              </w:rPr>
            </w:pPr>
          </w:p>
        </w:tc>
      </w:tr>
      <w:tr w14:paraId="3A28C1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80"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47895A7">
            <w:pPr>
              <w:spacing w:line="240" w:lineRule="auto"/>
              <w:jc w:val="cente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2</w:t>
            </w:r>
          </w:p>
        </w:tc>
        <w:tc>
          <w:tcPr>
            <w:tcW w:w="123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63CDA38">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中号标准器械篮筐</w:t>
            </w:r>
          </w:p>
        </w:tc>
        <w:tc>
          <w:tcPr>
            <w:tcW w:w="162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A4F9981">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lang w:val="en-US" w:eastAsia="zh-CN"/>
              </w:rPr>
            </w:pPr>
            <w:r>
              <w:rPr>
                <w:rFonts w:hint="eastAsia" w:ascii="宋体" w:hAnsi="宋体" w:eastAsia="宋体" w:cs="宋体"/>
                <w:i w:val="0"/>
                <w:iCs w:val="0"/>
                <w:color w:val="auto"/>
                <w:kern w:val="0"/>
                <w:sz w:val="20"/>
                <w:szCs w:val="20"/>
                <w:u w:val="none"/>
                <w:lang w:val="en-US" w:eastAsia="zh-CN" w:bidi="ar"/>
              </w:rPr>
              <w:t>340 mm×250 mm×70 mm，带不锈钢牌</w:t>
            </w:r>
          </w:p>
        </w:tc>
        <w:tc>
          <w:tcPr>
            <w:tcW w:w="3691"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049588B">
            <w:pPr>
              <w:spacing w:line="240" w:lineRule="auto"/>
              <w:jc w:val="both"/>
              <w:rPr>
                <w:rFonts w:hint="eastAsia" w:ascii="仿宋" w:hAnsi="仿宋" w:eastAsia="仿宋" w:cs="仿宋"/>
                <w:b/>
                <w:bCs w:val="0"/>
                <w:color w:val="auto"/>
                <w:sz w:val="24"/>
                <w:szCs w:val="24"/>
              </w:rPr>
            </w:pP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3848702">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A4DBBB5">
            <w:pPr>
              <w:spacing w:line="300" w:lineRule="auto"/>
              <w:rPr>
                <w:rStyle w:val="18"/>
                <w:rFonts w:ascii="宋体" w:hAnsi="宋体" w:eastAsia="宋体" w:cs="宋体"/>
                <w:szCs w:val="21"/>
              </w:rPr>
            </w:pPr>
          </w:p>
        </w:tc>
      </w:tr>
      <w:tr w14:paraId="3B6FA2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87EC8F5">
            <w:pPr>
              <w:spacing w:line="240" w:lineRule="auto"/>
              <w:jc w:val="cente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3</w:t>
            </w:r>
          </w:p>
        </w:tc>
        <w:tc>
          <w:tcPr>
            <w:tcW w:w="123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7704EC0">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小号标准器械篮筐</w:t>
            </w:r>
          </w:p>
        </w:tc>
        <w:tc>
          <w:tcPr>
            <w:tcW w:w="162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98E31F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lang w:val="en-US" w:eastAsia="zh-CN"/>
              </w:rPr>
            </w:pPr>
            <w:r>
              <w:rPr>
                <w:rFonts w:hint="eastAsia" w:ascii="宋体" w:hAnsi="宋体" w:eastAsia="宋体" w:cs="宋体"/>
                <w:i w:val="0"/>
                <w:iCs w:val="0"/>
                <w:color w:val="auto"/>
                <w:kern w:val="0"/>
                <w:sz w:val="20"/>
                <w:szCs w:val="20"/>
                <w:u w:val="none"/>
                <w:lang w:val="en-US" w:eastAsia="zh-CN" w:bidi="ar"/>
              </w:rPr>
              <w:t>250 mm×170 mm×70 mm，带不锈钢牌</w:t>
            </w:r>
          </w:p>
        </w:tc>
        <w:tc>
          <w:tcPr>
            <w:tcW w:w="3691" w:type="dxa"/>
            <w:vMerge w:val="continue"/>
            <w:tcBorders>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967B3DA">
            <w:pPr>
              <w:spacing w:line="240" w:lineRule="auto"/>
              <w:jc w:val="both"/>
              <w:rPr>
                <w:rFonts w:hint="eastAsia" w:ascii="仿宋" w:hAnsi="仿宋" w:eastAsia="仿宋" w:cs="仿宋"/>
                <w:b/>
                <w:bCs w:val="0"/>
                <w:color w:val="auto"/>
                <w:sz w:val="24"/>
                <w:szCs w:val="24"/>
              </w:rPr>
            </w:pP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D86A54C">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CEFFE61">
            <w:pPr>
              <w:spacing w:line="300" w:lineRule="auto"/>
              <w:rPr>
                <w:rStyle w:val="18"/>
                <w:rFonts w:ascii="宋体" w:hAnsi="宋体" w:eastAsia="宋体" w:cs="宋体"/>
                <w:szCs w:val="21"/>
              </w:rPr>
            </w:pPr>
          </w:p>
        </w:tc>
      </w:tr>
      <w:tr w14:paraId="50995F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251"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E2173CE">
            <w:pPr>
              <w:keepNext w:val="0"/>
              <w:keepLines w:val="0"/>
              <w:pageBreakBefore w:val="0"/>
              <w:widowControl/>
              <w:kinsoku w:val="0"/>
              <w:wordWrap/>
              <w:overflowPunct/>
              <w:topLinePunct w:val="0"/>
              <w:autoSpaceDE w:val="0"/>
              <w:autoSpaceDN w:val="0"/>
              <w:bidi w:val="0"/>
              <w:adjustRightInd w:val="0"/>
              <w:snapToGrid w:val="0"/>
              <w:spacing w:line="288" w:lineRule="auto"/>
              <w:jc w:val="center"/>
              <w:rPr>
                <w:rFonts w:hint="eastAsia" w:ascii="仿宋" w:hAnsi="仿宋" w:eastAsia="仿宋" w:cs="仿宋"/>
                <w:b/>
                <w:bCs w:val="0"/>
                <w:color w:val="auto"/>
                <w:sz w:val="24"/>
                <w:szCs w:val="24"/>
              </w:rPr>
            </w:pPr>
            <w:r>
              <w:rPr>
                <w:rFonts w:hint="eastAsia" w:ascii="宋体" w:hAnsi="宋体" w:eastAsia="宋体" w:cs="宋体"/>
                <w:b w:val="0"/>
                <w:bCs/>
                <w:color w:val="auto"/>
                <w:sz w:val="20"/>
                <w:szCs w:val="20"/>
                <w:highlight w:val="none"/>
                <w:vertAlign w:val="baseline"/>
                <w:lang w:val="en-US" w:eastAsia="zh-CN"/>
              </w:rPr>
              <w:t>4</w:t>
            </w:r>
          </w:p>
        </w:tc>
        <w:tc>
          <w:tcPr>
            <w:tcW w:w="123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39A9BC8">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大号精密双边器械篮筐</w:t>
            </w:r>
          </w:p>
        </w:tc>
        <w:tc>
          <w:tcPr>
            <w:tcW w:w="162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97CA575">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lang w:val="en-US" w:eastAsia="zh-CN"/>
              </w:rPr>
            </w:pPr>
            <w:r>
              <w:rPr>
                <w:rFonts w:hint="eastAsia" w:ascii="宋体" w:hAnsi="宋体" w:eastAsia="宋体" w:cs="宋体"/>
                <w:i w:val="0"/>
                <w:iCs w:val="0"/>
                <w:color w:val="auto"/>
                <w:kern w:val="0"/>
                <w:sz w:val="20"/>
                <w:szCs w:val="20"/>
                <w:u w:val="none"/>
                <w:lang w:val="en-US" w:eastAsia="zh-CN" w:bidi="ar"/>
              </w:rPr>
              <w:t>450 mm×340 mm×70 mm，带不锈钢牌</w:t>
            </w:r>
          </w:p>
        </w:tc>
        <w:tc>
          <w:tcPr>
            <w:tcW w:w="3691" w:type="dxa"/>
            <w:vMerge w:val="restart"/>
            <w:tcBorders>
              <w:top w:val="single" w:color="auto"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5A64A20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1.适用于各类器械在清洗、消毒、包装、灭菌过程中的装放，适用于压力蒸汽134℃ 7分钟灭菌、环氧乙烷灭菌、过氧化氢灭菌和低温蒸汽甲醛灭菌方式。</w:t>
            </w:r>
          </w:p>
          <w:p w14:paraId="1BB23738">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2.全部采用优质304不锈钢材质，网孔大小1.5mm*1.5mm，包双边（包边宽4-5mm）、加固底，短边一侧焊60mm*40mm不锈钢牌，整体防锈防潮，高度耐腐蚀，坚固耐用，使用寿命长。</w:t>
            </w:r>
          </w:p>
          <w:p w14:paraId="2B77A998">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3.采用电阻焊接，焊接痕迹规则，形状圆滑，无不规则凹陷、凸起，以及黑点、夹渣、生锈等，光滑无毛刺，长时间使用不易脱焊、断裂等。</w:t>
            </w:r>
          </w:p>
          <w:p w14:paraId="637CD8E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4.可堆叠设计。</w:t>
            </w:r>
          </w:p>
          <w:p w14:paraId="5C96E5E0">
            <w:pPr>
              <w:spacing w:line="240" w:lineRule="auto"/>
              <w:jc w:val="both"/>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5.保修至少6年。</w:t>
            </w: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B798EF0">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BD898D">
            <w:pPr>
              <w:spacing w:line="300" w:lineRule="auto"/>
              <w:rPr>
                <w:rStyle w:val="18"/>
                <w:rFonts w:ascii="宋体" w:hAnsi="宋体" w:eastAsia="宋体" w:cs="宋体"/>
                <w:szCs w:val="21"/>
              </w:rPr>
            </w:pPr>
          </w:p>
        </w:tc>
      </w:tr>
      <w:tr w14:paraId="449633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1556588">
            <w:pPr>
              <w:keepNext w:val="0"/>
              <w:keepLines w:val="0"/>
              <w:pageBreakBefore w:val="0"/>
              <w:widowControl/>
              <w:kinsoku w:val="0"/>
              <w:wordWrap/>
              <w:overflowPunct/>
              <w:topLinePunct w:val="0"/>
              <w:autoSpaceDE w:val="0"/>
              <w:autoSpaceDN w:val="0"/>
              <w:bidi w:val="0"/>
              <w:adjustRightInd w:val="0"/>
              <w:snapToGrid w:val="0"/>
              <w:spacing w:line="288" w:lineRule="auto"/>
              <w:jc w:val="center"/>
              <w:rPr>
                <w:rFonts w:hint="eastAsia" w:ascii="仿宋" w:hAnsi="仿宋" w:eastAsia="仿宋" w:cs="仿宋"/>
                <w:b/>
                <w:bCs w:val="0"/>
                <w:color w:val="auto"/>
                <w:sz w:val="24"/>
                <w:szCs w:val="24"/>
              </w:rPr>
            </w:pPr>
            <w:r>
              <w:rPr>
                <w:rFonts w:hint="eastAsia" w:ascii="宋体" w:hAnsi="宋体" w:eastAsia="宋体" w:cs="宋体"/>
                <w:b w:val="0"/>
                <w:bCs/>
                <w:color w:val="auto"/>
                <w:sz w:val="20"/>
                <w:szCs w:val="20"/>
                <w:highlight w:val="none"/>
                <w:vertAlign w:val="baseline"/>
                <w:lang w:val="en-US" w:eastAsia="zh-CN"/>
              </w:rPr>
              <w:t>5</w:t>
            </w:r>
          </w:p>
        </w:tc>
        <w:tc>
          <w:tcPr>
            <w:tcW w:w="123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A8B1467">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中号精密双边器械篮筐</w:t>
            </w:r>
          </w:p>
        </w:tc>
        <w:tc>
          <w:tcPr>
            <w:tcW w:w="162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4085E3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lang w:val="en-US" w:eastAsia="zh-CN"/>
              </w:rPr>
            </w:pPr>
            <w:r>
              <w:rPr>
                <w:rFonts w:hint="eastAsia" w:ascii="宋体" w:hAnsi="宋体" w:eastAsia="宋体" w:cs="宋体"/>
                <w:i w:val="0"/>
                <w:iCs w:val="0"/>
                <w:color w:val="auto"/>
                <w:kern w:val="0"/>
                <w:sz w:val="20"/>
                <w:szCs w:val="20"/>
                <w:u w:val="none"/>
                <w:lang w:val="en-US" w:eastAsia="zh-CN" w:bidi="ar"/>
              </w:rPr>
              <w:t>340 mm×250 mm×70 mm，带不锈钢牌</w:t>
            </w:r>
          </w:p>
        </w:tc>
        <w:tc>
          <w:tcPr>
            <w:tcW w:w="3691" w:type="dxa"/>
            <w:vMerge w:val="continue"/>
            <w:tcBorders>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1C93CF6">
            <w:pPr>
              <w:spacing w:line="240" w:lineRule="auto"/>
              <w:jc w:val="both"/>
              <w:rPr>
                <w:rFonts w:hint="eastAsia" w:ascii="仿宋" w:hAnsi="仿宋" w:eastAsia="仿宋" w:cs="仿宋"/>
                <w:b/>
                <w:bCs w:val="0"/>
                <w:color w:val="auto"/>
                <w:sz w:val="24"/>
                <w:szCs w:val="24"/>
              </w:rPr>
            </w:pP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7E447DB">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B9105F">
            <w:pPr>
              <w:spacing w:line="300" w:lineRule="auto"/>
              <w:rPr>
                <w:rStyle w:val="18"/>
                <w:rFonts w:ascii="宋体" w:hAnsi="宋体" w:eastAsia="宋体" w:cs="宋体"/>
                <w:szCs w:val="21"/>
              </w:rPr>
            </w:pPr>
          </w:p>
        </w:tc>
      </w:tr>
      <w:tr w14:paraId="59C5F4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BD5AF09">
            <w:pPr>
              <w:keepNext w:val="0"/>
              <w:keepLines w:val="0"/>
              <w:pageBreakBefore w:val="0"/>
              <w:widowControl/>
              <w:kinsoku w:val="0"/>
              <w:wordWrap/>
              <w:overflowPunct/>
              <w:topLinePunct w:val="0"/>
              <w:autoSpaceDE w:val="0"/>
              <w:autoSpaceDN w:val="0"/>
              <w:bidi w:val="0"/>
              <w:adjustRightInd w:val="0"/>
              <w:snapToGrid w:val="0"/>
              <w:spacing w:line="288" w:lineRule="auto"/>
              <w:jc w:val="center"/>
              <w:rPr>
                <w:rFonts w:hint="eastAsia" w:ascii="仿宋" w:hAnsi="仿宋" w:eastAsia="仿宋" w:cs="仿宋"/>
                <w:b/>
                <w:bCs w:val="0"/>
                <w:color w:val="auto"/>
                <w:sz w:val="24"/>
                <w:szCs w:val="24"/>
              </w:rPr>
            </w:pPr>
            <w:r>
              <w:rPr>
                <w:rFonts w:hint="eastAsia" w:ascii="宋体" w:hAnsi="宋体" w:eastAsia="宋体" w:cs="宋体"/>
                <w:b w:val="0"/>
                <w:bCs/>
                <w:color w:val="auto"/>
                <w:sz w:val="20"/>
                <w:szCs w:val="20"/>
                <w:highlight w:val="none"/>
                <w:vertAlign w:val="baseline"/>
                <w:lang w:val="en-US" w:eastAsia="zh-CN"/>
              </w:rPr>
              <w:t>6</w:t>
            </w:r>
          </w:p>
        </w:tc>
        <w:tc>
          <w:tcPr>
            <w:tcW w:w="123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FA9A76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小号带盖、带硅胶垫精密器械篮筐</w:t>
            </w:r>
          </w:p>
        </w:tc>
        <w:tc>
          <w:tcPr>
            <w:tcW w:w="162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5EF5F18">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lang w:val="en-US" w:eastAsia="zh-CN"/>
              </w:rPr>
            </w:pPr>
            <w:r>
              <w:rPr>
                <w:rFonts w:hint="eastAsia" w:ascii="宋体" w:hAnsi="宋体" w:eastAsia="宋体" w:cs="宋体"/>
                <w:i w:val="0"/>
                <w:iCs w:val="0"/>
                <w:color w:val="auto"/>
                <w:kern w:val="0"/>
                <w:sz w:val="20"/>
                <w:szCs w:val="20"/>
                <w:u w:val="none"/>
                <w:lang w:val="en-US" w:eastAsia="zh-CN" w:bidi="ar"/>
              </w:rPr>
              <w:t>270 mm×210 mm×25 mm（内高），带不锈钢牌</w:t>
            </w:r>
          </w:p>
        </w:tc>
        <w:tc>
          <w:tcPr>
            <w:tcW w:w="3691"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403FA17">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1.适用于各类器械在清洗、消毒、包装、灭菌过程中的装放，适用于压力蒸汽134℃7分钟灭菌、环氧乙烷灭菌、过氧化氢灭菌和低温蒸汽甲醛灭菌方式。</w:t>
            </w:r>
          </w:p>
          <w:p w14:paraId="0BE4671B">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2.全部采用优质304不锈钢材质，网孔大小1.5mm*1.5mm，包双边（包边宽4-5mm）、加固底，盖子长边一侧固定，盖子左上角焊60mm*40mm不锈钢牌，整体防锈防潮，高度耐腐蚀，坚固耐用，使用寿命长。</w:t>
            </w:r>
          </w:p>
          <w:p w14:paraId="35911141">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3.带上、下2块硅胶垫，硅胶垫能够承受180℃的高温高压，配合篮筐使用保护器械。</w:t>
            </w:r>
          </w:p>
          <w:p w14:paraId="3A2CE4F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4.采用电阻焊接，焊接痕迹规则，形状圆滑，无不规则凹陷、凸起，以及黑点、夹渣、生锈等，光滑无毛刺，长时间使用不易脱焊、断裂等。</w:t>
            </w:r>
          </w:p>
          <w:p w14:paraId="1F2C87D6">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5.可堆叠设计。</w:t>
            </w:r>
          </w:p>
          <w:p w14:paraId="649B59D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6.保修至少6年。</w:t>
            </w: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986C138">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3C45FC">
            <w:pPr>
              <w:spacing w:line="300" w:lineRule="auto"/>
              <w:rPr>
                <w:rStyle w:val="18"/>
                <w:rFonts w:ascii="宋体" w:hAnsi="宋体" w:eastAsia="宋体" w:cs="宋体"/>
                <w:szCs w:val="21"/>
              </w:rPr>
            </w:pPr>
          </w:p>
        </w:tc>
      </w:tr>
      <w:tr w14:paraId="568A1C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26F2942">
            <w:pPr>
              <w:keepNext w:val="0"/>
              <w:keepLines w:val="0"/>
              <w:pageBreakBefore w:val="0"/>
              <w:widowControl/>
              <w:kinsoku w:val="0"/>
              <w:wordWrap/>
              <w:overflowPunct/>
              <w:topLinePunct w:val="0"/>
              <w:autoSpaceDE w:val="0"/>
              <w:autoSpaceDN w:val="0"/>
              <w:bidi w:val="0"/>
              <w:adjustRightInd w:val="0"/>
              <w:snapToGrid w:val="0"/>
              <w:spacing w:line="288" w:lineRule="auto"/>
              <w:jc w:val="center"/>
              <w:rPr>
                <w:rFonts w:hint="eastAsia" w:ascii="仿宋" w:hAnsi="仿宋" w:eastAsia="仿宋" w:cs="仿宋"/>
                <w:b/>
                <w:bCs w:val="0"/>
                <w:color w:val="auto"/>
                <w:sz w:val="24"/>
                <w:szCs w:val="24"/>
              </w:rPr>
            </w:pPr>
            <w:r>
              <w:rPr>
                <w:rFonts w:hint="eastAsia" w:ascii="宋体" w:hAnsi="宋体" w:eastAsia="宋体" w:cs="宋体"/>
                <w:b w:val="0"/>
                <w:bCs/>
                <w:color w:val="auto"/>
                <w:sz w:val="20"/>
                <w:szCs w:val="20"/>
                <w:highlight w:val="none"/>
                <w:vertAlign w:val="baseline"/>
                <w:lang w:val="en-US" w:eastAsia="zh-CN"/>
              </w:rPr>
              <w:t>7</w:t>
            </w:r>
          </w:p>
        </w:tc>
        <w:tc>
          <w:tcPr>
            <w:tcW w:w="123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58CC3E0">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小号编织细密网带盖、带硅胶垫精密器械篮筐</w:t>
            </w:r>
          </w:p>
        </w:tc>
        <w:tc>
          <w:tcPr>
            <w:tcW w:w="162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DD067AC">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lang w:val="en-US" w:eastAsia="zh-CN"/>
              </w:rPr>
            </w:pPr>
            <w:r>
              <w:rPr>
                <w:rFonts w:hint="eastAsia" w:ascii="宋体" w:hAnsi="宋体" w:eastAsia="宋体" w:cs="宋体"/>
                <w:i w:val="0"/>
                <w:iCs w:val="0"/>
                <w:color w:val="auto"/>
                <w:kern w:val="0"/>
                <w:sz w:val="20"/>
                <w:szCs w:val="20"/>
                <w:u w:val="none"/>
                <w:lang w:val="en-US" w:eastAsia="zh-CN" w:bidi="ar"/>
              </w:rPr>
              <w:t>270 mm×210 mm×40 mm（内高），带不锈钢牌</w:t>
            </w:r>
          </w:p>
        </w:tc>
        <w:tc>
          <w:tcPr>
            <w:tcW w:w="3691"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0216D0A">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1.适用于各类器械在清洗、消毒、包装、灭菌过程中的装放，适用于压力蒸汽134℃7分钟灭菌、环氧乙烷灭菌、过氧化氢灭菌和低温蒸汽甲醛灭菌方式。</w:t>
            </w:r>
          </w:p>
          <w:p w14:paraId="189BC1B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2.全部采用优质304不锈钢材质，编织细密网，网孔大小110目*24目，包双边（包边宽4-5mm）、加固底，盖子长边一侧固定，盖子左上角焊60mm*40mm不锈钢牌，整体防锈防潮，高度耐腐蚀，坚固耐用，使用寿命长。</w:t>
            </w:r>
          </w:p>
          <w:p w14:paraId="1F13EC0B">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3.带上、下2块硅胶垫，硅胶垫能够承受180℃的高温高压，配合篮筐使用保护器械。</w:t>
            </w:r>
          </w:p>
          <w:p w14:paraId="069303E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4.采用电阻焊接，焊接痕迹规则，形状圆滑，无不规则凹陷、凸起，以及黑点、夹渣、生锈等，光滑无毛刺，长时间使用不易脱焊、断裂等。</w:t>
            </w:r>
          </w:p>
          <w:p w14:paraId="00F42A1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5.可堆叠设计。</w:t>
            </w:r>
          </w:p>
          <w:p w14:paraId="062E57E8">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6.保修至少6年。</w:t>
            </w: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6EB8C24">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FF5B9A">
            <w:pPr>
              <w:spacing w:line="300" w:lineRule="auto"/>
              <w:rPr>
                <w:rStyle w:val="18"/>
                <w:rFonts w:ascii="宋体" w:hAnsi="宋体" w:eastAsia="宋体" w:cs="宋体"/>
                <w:szCs w:val="21"/>
              </w:rPr>
            </w:pPr>
          </w:p>
        </w:tc>
      </w:tr>
      <w:tr w14:paraId="587EB2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B125E07">
            <w:pPr>
              <w:keepNext w:val="0"/>
              <w:keepLines w:val="0"/>
              <w:pageBreakBefore w:val="0"/>
              <w:widowControl/>
              <w:kinsoku w:val="0"/>
              <w:wordWrap/>
              <w:overflowPunct/>
              <w:topLinePunct w:val="0"/>
              <w:autoSpaceDE w:val="0"/>
              <w:autoSpaceDN w:val="0"/>
              <w:bidi w:val="0"/>
              <w:adjustRightInd w:val="0"/>
              <w:snapToGrid w:val="0"/>
              <w:spacing w:line="288" w:lineRule="auto"/>
              <w:jc w:val="center"/>
              <w:rPr>
                <w:rFonts w:hint="eastAsia" w:ascii="仿宋" w:hAnsi="仿宋" w:eastAsia="仿宋" w:cs="仿宋"/>
                <w:b/>
                <w:bCs w:val="0"/>
                <w:color w:val="auto"/>
                <w:sz w:val="24"/>
                <w:szCs w:val="24"/>
              </w:rPr>
            </w:pPr>
            <w:r>
              <w:rPr>
                <w:rFonts w:hint="eastAsia" w:ascii="宋体" w:hAnsi="宋体" w:eastAsia="宋体" w:cs="宋体"/>
                <w:b w:val="0"/>
                <w:bCs/>
                <w:color w:val="auto"/>
                <w:sz w:val="20"/>
                <w:szCs w:val="20"/>
                <w:highlight w:val="none"/>
                <w:vertAlign w:val="baseline"/>
                <w:lang w:val="en-US" w:eastAsia="zh-CN"/>
              </w:rPr>
              <w:t>8</w:t>
            </w:r>
          </w:p>
        </w:tc>
        <w:tc>
          <w:tcPr>
            <w:tcW w:w="123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C9B0080">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双层带盖、带卡位硬式内窥镜器械篮筐</w:t>
            </w:r>
          </w:p>
        </w:tc>
        <w:tc>
          <w:tcPr>
            <w:tcW w:w="162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93517D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lang w:val="en-US" w:eastAsia="zh-CN"/>
              </w:rPr>
            </w:pPr>
            <w:r>
              <w:rPr>
                <w:rFonts w:hint="eastAsia" w:ascii="宋体" w:hAnsi="宋体" w:eastAsia="宋体" w:cs="宋体"/>
                <w:i w:val="0"/>
                <w:iCs w:val="0"/>
                <w:color w:val="auto"/>
                <w:kern w:val="0"/>
                <w:sz w:val="20"/>
                <w:szCs w:val="20"/>
                <w:u w:val="none"/>
                <w:lang w:val="en-US" w:eastAsia="zh-CN" w:bidi="ar"/>
              </w:rPr>
              <w:t>550 mm×250 mm×100 mm，带不锈钢牌</w:t>
            </w:r>
          </w:p>
        </w:tc>
        <w:tc>
          <w:tcPr>
            <w:tcW w:w="3691"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ECE25E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1.适用于各种内窥镜器械在清洗、消毒、包装、灭菌过程中的装放，适用于压力蒸汽134℃ 7分钟灭菌、环氧乙烷灭菌、过氧化氢灭菌和低温蒸汽甲醛灭菌方式。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全部采用优质304不锈钢材质，双层结构，每层层高50mm，层架可拆分，网孔大小6mm*6mm，加固底，盖子长边一侧固定、另一侧带锁，短边一侧焊60mm*40mm不锈钢牌，整体防锈防潮，高度耐腐蚀，坚固耐用，使用寿命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3.配备硅胶材质器械固定卡扣支架，卡扣支架数量及安装间隔等满足客户需求，硅胶卡扣支架能够承受180℃的高温高压。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4.采用电阻焊接，焊接痕迹规则，形状圆滑，无不规则凹陷、突起，以及黑点、夹渣、生锈等，光滑无毛刺，长时间使用不易脱焊、断裂等。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5.可堆叠设计。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6.保修至少6年。</w:t>
            </w: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CF83D30">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AA81A0">
            <w:pPr>
              <w:spacing w:line="300" w:lineRule="auto"/>
              <w:rPr>
                <w:rStyle w:val="18"/>
                <w:rFonts w:ascii="宋体" w:hAnsi="宋体" w:eastAsia="宋体" w:cs="宋体"/>
                <w:szCs w:val="21"/>
              </w:rPr>
            </w:pPr>
          </w:p>
        </w:tc>
      </w:tr>
      <w:tr w14:paraId="4B5F5B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9B7A384">
            <w:pPr>
              <w:keepNext w:val="0"/>
              <w:keepLines w:val="0"/>
              <w:pageBreakBefore w:val="0"/>
              <w:widowControl/>
              <w:kinsoku w:val="0"/>
              <w:wordWrap/>
              <w:overflowPunct/>
              <w:topLinePunct w:val="0"/>
              <w:autoSpaceDE w:val="0"/>
              <w:autoSpaceDN w:val="0"/>
              <w:bidi w:val="0"/>
              <w:adjustRightInd w:val="0"/>
              <w:snapToGrid w:val="0"/>
              <w:spacing w:line="288" w:lineRule="auto"/>
              <w:jc w:val="center"/>
              <w:rPr>
                <w:rFonts w:hint="eastAsia" w:ascii="仿宋" w:hAnsi="仿宋" w:eastAsia="仿宋" w:cs="仿宋"/>
                <w:b/>
                <w:bCs w:val="0"/>
                <w:color w:val="auto"/>
                <w:sz w:val="24"/>
                <w:szCs w:val="24"/>
              </w:rPr>
            </w:pPr>
            <w:r>
              <w:rPr>
                <w:rFonts w:hint="eastAsia" w:ascii="宋体" w:hAnsi="宋体" w:eastAsia="宋体" w:cs="宋体"/>
                <w:b w:val="0"/>
                <w:bCs/>
                <w:color w:val="auto"/>
                <w:sz w:val="20"/>
                <w:szCs w:val="20"/>
                <w:highlight w:val="none"/>
                <w:vertAlign w:val="baseline"/>
                <w:lang w:val="en-US" w:eastAsia="zh-CN"/>
              </w:rPr>
              <w:t>9</w:t>
            </w:r>
          </w:p>
        </w:tc>
        <w:tc>
          <w:tcPr>
            <w:tcW w:w="123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5BE3A13">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单层加长硬式内窥镜器械篮筐</w:t>
            </w:r>
          </w:p>
        </w:tc>
        <w:tc>
          <w:tcPr>
            <w:tcW w:w="162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0CA954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24"/>
                <w:szCs w:val="24"/>
                <w:lang w:val="en-US" w:eastAsia="zh-CN"/>
              </w:rPr>
            </w:pPr>
            <w:r>
              <w:rPr>
                <w:rFonts w:hint="eastAsia" w:ascii="宋体" w:hAnsi="宋体" w:eastAsia="宋体" w:cs="宋体"/>
                <w:i w:val="0"/>
                <w:iCs w:val="0"/>
                <w:color w:val="auto"/>
                <w:kern w:val="0"/>
                <w:sz w:val="20"/>
                <w:szCs w:val="20"/>
                <w:u w:val="none"/>
                <w:lang w:val="en-US" w:eastAsia="zh-CN" w:bidi="ar"/>
              </w:rPr>
              <w:t>700 mm×250 mm×50mm，带不锈钢牌（预估尺寸，按实际要求定制）</w:t>
            </w:r>
          </w:p>
        </w:tc>
        <w:tc>
          <w:tcPr>
            <w:tcW w:w="3691"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D52504C">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1.适用于各种加长内窥镜器械在清洗、消毒、包装、灭菌过程中的装放，适用于压力蒸汽134℃ 7分钟灭菌、环氧乙烷灭菌、过氧化氢灭菌和低温蒸汽甲醛灭菌方式。</w:t>
            </w:r>
          </w:p>
          <w:p w14:paraId="314246E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2.全部采用优质304不锈钢材质，网孔大小6mm*6mm，加固底，盖子长边一侧固定、另一侧带锁，短边一侧焊60mm*40mm不锈钢牌，整体防锈防潮，高度耐腐蚀，坚固耐用，使用寿命长。</w:t>
            </w:r>
          </w:p>
          <w:p w14:paraId="21050C76">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3.配备硅胶材质器械固定卡扣支架，卡扣支架数量及安装间隔等满足客户需求，硅胶卡扣支架能够承受180℃的高温高压。</w:t>
            </w:r>
          </w:p>
          <w:p w14:paraId="4D55C9B0">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4.采用电阻焊接，焊接痕迹规则，形状圆滑，无不规则凹陷、凸起，以及黑点、夹渣、生锈等，光滑无毛刺，长时间使用不易脱焊、断裂等。</w:t>
            </w:r>
          </w:p>
          <w:p w14:paraId="4D1510B6">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5.可堆叠设计。</w:t>
            </w:r>
          </w:p>
          <w:p w14:paraId="1E6CB55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both"/>
              <w:textAlignment w:val="center"/>
              <w:rPr>
                <w:rFonts w:hint="eastAsia" w:ascii="仿宋" w:hAnsi="仿宋" w:eastAsia="仿宋" w:cs="仿宋"/>
                <w:b/>
                <w:bCs w:val="0"/>
                <w:color w:val="auto"/>
                <w:sz w:val="24"/>
                <w:szCs w:val="24"/>
              </w:rPr>
            </w:pPr>
            <w:r>
              <w:rPr>
                <w:rFonts w:hint="eastAsia" w:ascii="宋体" w:hAnsi="宋体" w:eastAsia="宋体" w:cs="宋体"/>
                <w:i w:val="0"/>
                <w:iCs w:val="0"/>
                <w:color w:val="auto"/>
                <w:kern w:val="0"/>
                <w:sz w:val="20"/>
                <w:szCs w:val="20"/>
                <w:u w:val="none"/>
                <w:lang w:val="en-US" w:eastAsia="zh-CN" w:bidi="ar"/>
              </w:rPr>
              <w:t>6.保修至少6年。</w:t>
            </w: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B490247">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15888D">
            <w:pPr>
              <w:spacing w:line="300" w:lineRule="auto"/>
              <w:rPr>
                <w:rStyle w:val="18"/>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4"/>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lang w:val="en-US" w:eastAsia="zh-CN"/>
              </w:rPr>
              <w:t>三、响应报价要求</w:t>
            </w:r>
            <w:r>
              <w:rPr>
                <w:rFonts w:hint="eastAsia" w:ascii="仿宋" w:hAnsi="仿宋" w:eastAsia="仿宋" w:cs="仿宋"/>
                <w:b/>
                <w:sz w:val="24"/>
              </w:rPr>
              <w:t>：</w:t>
            </w:r>
          </w:p>
        </w:tc>
        <w:tc>
          <w:tcPr>
            <w:tcW w:w="1116"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18"/>
                <w:rFonts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520A3">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37496">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1、响应供应商的最终响应报价为采购人的交货单价。交货单价即是合同期间的最终单价，在合同期内，价格不再随着市场同类商品市场价格的调整而进行调整。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4B10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spacing w:line="300" w:lineRule="auto"/>
              <w:rPr>
                <w:rStyle w:val="18"/>
                <w:rFonts w:ascii="宋体" w:hAnsi="宋体" w:eastAsia="宋体" w:cs="宋体"/>
                <w:szCs w:val="21"/>
              </w:rPr>
            </w:pPr>
          </w:p>
        </w:tc>
      </w:tr>
      <w:tr w14:paraId="2153A9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105EF2">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FC7B4F">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2、本次响应报价应为人民币含税全包价，包括货物价格、安装费、调试费、包装费、运杂费、保险费、卸车费、配合费、检测费、配送费、售后质保、税金及本项目执行过程中需要的其他费用等。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96003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1F969">
            <w:pPr>
              <w:spacing w:line="300" w:lineRule="auto"/>
              <w:rPr>
                <w:rStyle w:val="18"/>
                <w:rFonts w:ascii="宋体" w:hAnsi="宋体" w:eastAsia="宋体" w:cs="宋体"/>
                <w:szCs w:val="21"/>
              </w:rPr>
            </w:pPr>
          </w:p>
        </w:tc>
      </w:tr>
      <w:tr w14:paraId="53F299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08539">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7F4E27">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3、响应供应商对以上采购清单的货物进行报价，</w:t>
            </w:r>
            <w:r>
              <w:rPr>
                <w:rFonts w:hint="eastAsia" w:ascii="仿宋" w:hAnsi="仿宋" w:eastAsia="仿宋" w:cs="仿宋"/>
                <w:b/>
                <w:bCs w:val="0"/>
                <w:color w:val="000000" w:themeColor="text1"/>
                <w:sz w:val="24"/>
                <w:szCs w:val="24"/>
              </w:rPr>
              <w:t>注明产品品牌/生产厂家</w:t>
            </w:r>
            <w:r>
              <w:rPr>
                <w:rFonts w:hint="eastAsia" w:ascii="仿宋" w:hAnsi="仿宋" w:eastAsia="仿宋" w:cs="仿宋"/>
                <w:b w:val="0"/>
                <w:bCs/>
                <w:color w:val="000000" w:themeColor="text1"/>
                <w:sz w:val="24"/>
                <w:szCs w:val="24"/>
              </w:rPr>
              <w:t>，报价不得高于单价的最高限价，且总报价不得高于本项目采购预算价，缺项、漏项的报价为无效报价。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E92B8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D5A260">
            <w:pPr>
              <w:spacing w:line="300" w:lineRule="auto"/>
              <w:rPr>
                <w:rStyle w:val="18"/>
                <w:rFonts w:ascii="宋体" w:hAnsi="宋体" w:eastAsia="宋体" w:cs="宋体"/>
                <w:szCs w:val="21"/>
              </w:rPr>
            </w:pPr>
          </w:p>
        </w:tc>
      </w:tr>
      <w:tr w14:paraId="672FC7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5A4E8">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4</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43DDCA">
            <w:pPr>
              <w:numPr>
                <w:ilvl w:val="0"/>
                <w:numId w:val="0"/>
              </w:numPr>
              <w:autoSpaceDE w:val="0"/>
              <w:autoSpaceDN w:val="0"/>
              <w:spacing w:line="360" w:lineRule="auto"/>
              <w:ind w:firstLine="480" w:firstLineChars="200"/>
              <w:rPr>
                <w:rFonts w:hint="default" w:ascii="仿宋" w:hAnsi="仿宋" w:eastAsia="仿宋" w:cs="仿宋"/>
                <w:b w:val="0"/>
                <w:bCs/>
                <w:color w:val="000000" w:themeColor="text1"/>
                <w:sz w:val="24"/>
                <w:szCs w:val="24"/>
                <w:lang w:val="en-US" w:eastAsia="zh-CN"/>
              </w:rPr>
            </w:pPr>
            <w:r>
              <w:rPr>
                <w:rFonts w:hint="default" w:ascii="仿宋" w:hAnsi="仿宋" w:eastAsia="仿宋" w:cs="仿宋"/>
                <w:b w:val="0"/>
                <w:bCs/>
                <w:color w:val="000000" w:themeColor="text1"/>
                <w:sz w:val="24"/>
                <w:szCs w:val="24"/>
                <w:lang w:val="en-US" w:eastAsia="zh-CN"/>
              </w:rPr>
              <w:t>4、响应供应商在响应报价文件中需提供近三年内同类项目业绩相关证明文件。（如有）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08DAF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FCBBA">
            <w:pPr>
              <w:spacing w:line="300" w:lineRule="auto"/>
              <w:rPr>
                <w:rStyle w:val="18"/>
                <w:rFonts w:ascii="宋体" w:hAnsi="宋体" w:eastAsia="宋体" w:cs="宋体"/>
                <w:szCs w:val="21"/>
              </w:rPr>
            </w:pPr>
          </w:p>
        </w:tc>
      </w:tr>
      <w:tr w14:paraId="1838F4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0C305C">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5</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AFE22E">
            <w:pPr>
              <w:numPr>
                <w:ilvl w:val="0"/>
                <w:numId w:val="0"/>
              </w:numPr>
              <w:autoSpaceDE w:val="0"/>
              <w:autoSpaceDN w:val="0"/>
              <w:spacing w:line="360" w:lineRule="auto"/>
              <w:ind w:firstLine="480" w:firstLineChars="200"/>
              <w:rPr>
                <w:rFonts w:hint="default" w:ascii="仿宋" w:hAnsi="仿宋" w:eastAsia="仿宋" w:cs="仿宋"/>
                <w:b w:val="0"/>
                <w:bCs/>
                <w:color w:val="000000" w:themeColor="text1"/>
                <w:sz w:val="24"/>
                <w:szCs w:val="24"/>
                <w:lang w:val="en-US" w:eastAsia="zh-CN"/>
              </w:rPr>
            </w:pPr>
            <w:r>
              <w:rPr>
                <w:rFonts w:hint="default" w:ascii="仿宋" w:hAnsi="仿宋" w:eastAsia="仿宋" w:cs="仿宋"/>
                <w:b w:val="0"/>
                <w:bCs/>
                <w:color w:val="000000" w:themeColor="text1"/>
                <w:sz w:val="24"/>
                <w:szCs w:val="24"/>
                <w:lang w:val="en-US" w:eastAsia="zh-CN"/>
              </w:rPr>
              <w:t>★5、响应供应商必须在响应报价时同时提供符合参数要求的实物样品，具体如下：</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9CCCD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7A3BDC">
            <w:pPr>
              <w:spacing w:line="300" w:lineRule="auto"/>
              <w:rPr>
                <w:rStyle w:val="18"/>
                <w:rFonts w:ascii="宋体" w:hAnsi="宋体" w:eastAsia="宋体" w:cs="宋体"/>
                <w:szCs w:val="21"/>
              </w:rPr>
            </w:pPr>
          </w:p>
        </w:tc>
      </w:tr>
      <w:tr w14:paraId="1197BF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3D646E">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5.1</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154F55">
            <w:pPr>
              <w:numPr>
                <w:ilvl w:val="0"/>
                <w:numId w:val="3"/>
              </w:numPr>
              <w:autoSpaceDE w:val="0"/>
              <w:autoSpaceDN w:val="0"/>
              <w:spacing w:line="360" w:lineRule="auto"/>
              <w:ind w:firstLine="480" w:firstLineChars="200"/>
              <w:rPr>
                <w:rFonts w:hint="default" w:ascii="仿宋" w:hAnsi="仿宋" w:eastAsia="仿宋" w:cs="仿宋"/>
                <w:b w:val="0"/>
                <w:bCs/>
                <w:color w:val="000000" w:themeColor="text1"/>
                <w:sz w:val="24"/>
                <w:szCs w:val="24"/>
                <w:lang w:val="en-US" w:eastAsia="zh-CN"/>
              </w:rPr>
            </w:pPr>
            <w:r>
              <w:rPr>
                <w:rFonts w:hint="default" w:ascii="仿宋" w:hAnsi="仿宋" w:eastAsia="仿宋" w:cs="仿宋"/>
                <w:b w:val="0"/>
                <w:bCs/>
                <w:color w:val="000000" w:themeColor="text1"/>
                <w:sz w:val="24"/>
                <w:szCs w:val="24"/>
                <w:lang w:val="en-US" w:eastAsia="zh-CN"/>
              </w:rPr>
              <w:t>样品清单：</w:t>
            </w:r>
          </w:p>
          <w:tbl>
            <w:tblPr>
              <w:tblStyle w:val="14"/>
              <w:tblW w:w="6144" w:type="dxa"/>
              <w:tblInd w:w="2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992"/>
              <w:gridCol w:w="2283"/>
              <w:gridCol w:w="1183"/>
            </w:tblGrid>
            <w:tr w14:paraId="3F018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vAlign w:val="center"/>
                </w:tcPr>
                <w:p w14:paraId="55F168D4">
                  <w:pPr>
                    <w:spacing w:line="240"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清单</w:t>
                  </w:r>
                </w:p>
                <w:p w14:paraId="1D921ADD">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bCs/>
                      <w:color w:val="auto"/>
                      <w:szCs w:val="21"/>
                      <w:highlight w:val="none"/>
                      <w:lang w:val="en-US" w:eastAsia="zh-CN"/>
                    </w:rPr>
                    <w:t>序号</w:t>
                  </w:r>
                </w:p>
              </w:tc>
              <w:tc>
                <w:tcPr>
                  <w:tcW w:w="1992" w:type="dxa"/>
                  <w:vAlign w:val="center"/>
                </w:tcPr>
                <w:p w14:paraId="2CAC90BA">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bCs/>
                      <w:color w:val="auto"/>
                      <w:szCs w:val="21"/>
                      <w:highlight w:val="none"/>
                      <w:lang w:val="en-US" w:eastAsia="zh-CN"/>
                    </w:rPr>
                    <w:t>样品名称</w:t>
                  </w:r>
                </w:p>
              </w:tc>
              <w:tc>
                <w:tcPr>
                  <w:tcW w:w="2283" w:type="dxa"/>
                  <w:vAlign w:val="center"/>
                </w:tcPr>
                <w:p w14:paraId="7A4885CA">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bCs/>
                      <w:color w:val="auto"/>
                      <w:szCs w:val="21"/>
                      <w:highlight w:val="none"/>
                      <w:lang w:val="en-US" w:eastAsia="zh-CN"/>
                    </w:rPr>
                    <w:t>样品规格</w:t>
                  </w:r>
                </w:p>
              </w:tc>
              <w:tc>
                <w:tcPr>
                  <w:tcW w:w="1183" w:type="dxa"/>
                  <w:vAlign w:val="center"/>
                </w:tcPr>
                <w:p w14:paraId="3F00617A">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bCs/>
                      <w:color w:val="auto"/>
                      <w:szCs w:val="21"/>
                      <w:highlight w:val="none"/>
                      <w:lang w:val="en-US" w:eastAsia="zh-CN"/>
                    </w:rPr>
                    <w:t>样品数量</w:t>
                  </w:r>
                </w:p>
              </w:tc>
            </w:tr>
            <w:tr w14:paraId="0356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vAlign w:val="center"/>
                </w:tcPr>
                <w:p w14:paraId="34F0AA33">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2</w:t>
                  </w:r>
                </w:p>
              </w:tc>
              <w:tc>
                <w:tcPr>
                  <w:tcW w:w="1992" w:type="dxa"/>
                  <w:vAlign w:val="center"/>
                </w:tcPr>
                <w:p w14:paraId="1B1FC41F">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中号标准器械篮筐</w:t>
                  </w:r>
                </w:p>
              </w:tc>
              <w:tc>
                <w:tcPr>
                  <w:tcW w:w="2283" w:type="dxa"/>
                  <w:vAlign w:val="center"/>
                </w:tcPr>
                <w:p w14:paraId="73E1E8C5">
                  <w:pPr>
                    <w:spacing w:line="240" w:lineRule="auto"/>
                    <w:jc w:val="both"/>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340 mm×250 mm×70 mm，带不锈钢牌</w:t>
                  </w:r>
                </w:p>
              </w:tc>
              <w:tc>
                <w:tcPr>
                  <w:tcW w:w="1183" w:type="dxa"/>
                  <w:vAlign w:val="center"/>
                </w:tcPr>
                <w:p w14:paraId="2E4C5E9D">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1个</w:t>
                  </w:r>
                </w:p>
              </w:tc>
            </w:tr>
            <w:tr w14:paraId="0869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vAlign w:val="center"/>
                </w:tcPr>
                <w:p w14:paraId="541D6F5E">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5</w:t>
                  </w:r>
                </w:p>
              </w:tc>
              <w:tc>
                <w:tcPr>
                  <w:tcW w:w="1992" w:type="dxa"/>
                  <w:vAlign w:val="center"/>
                </w:tcPr>
                <w:p w14:paraId="4F972246">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中号精密双边器械篮筐</w:t>
                  </w:r>
                </w:p>
              </w:tc>
              <w:tc>
                <w:tcPr>
                  <w:tcW w:w="2283" w:type="dxa"/>
                  <w:vAlign w:val="center"/>
                </w:tcPr>
                <w:p w14:paraId="26DF895A">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340 mm×250 mm×70 mm，带不锈钢牌</w:t>
                  </w:r>
                </w:p>
              </w:tc>
              <w:tc>
                <w:tcPr>
                  <w:tcW w:w="1183" w:type="dxa"/>
                  <w:vAlign w:val="center"/>
                </w:tcPr>
                <w:p w14:paraId="70CEA677">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1个</w:t>
                  </w:r>
                </w:p>
              </w:tc>
            </w:tr>
            <w:tr w14:paraId="02666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vAlign w:val="center"/>
                </w:tcPr>
                <w:p w14:paraId="3916FF76">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7</w:t>
                  </w:r>
                </w:p>
              </w:tc>
              <w:tc>
                <w:tcPr>
                  <w:tcW w:w="1992" w:type="dxa"/>
                  <w:vAlign w:val="center"/>
                </w:tcPr>
                <w:p w14:paraId="1DE6FDA0">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小号编织细密网带盖、带硅胶垫精密器械篮筐</w:t>
                  </w:r>
                </w:p>
              </w:tc>
              <w:tc>
                <w:tcPr>
                  <w:tcW w:w="2283" w:type="dxa"/>
                  <w:vAlign w:val="center"/>
                </w:tcPr>
                <w:p w14:paraId="4C17E7E8">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270 mm×210 mm×40 mm（内高），带不锈钢牌</w:t>
                  </w:r>
                </w:p>
              </w:tc>
              <w:tc>
                <w:tcPr>
                  <w:tcW w:w="1183" w:type="dxa"/>
                  <w:vAlign w:val="center"/>
                </w:tcPr>
                <w:p w14:paraId="1A59417B">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1个</w:t>
                  </w:r>
                </w:p>
              </w:tc>
            </w:tr>
            <w:tr w14:paraId="63A6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vAlign w:val="center"/>
                </w:tcPr>
                <w:p w14:paraId="757FA7A2">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8</w:t>
                  </w:r>
                </w:p>
              </w:tc>
              <w:tc>
                <w:tcPr>
                  <w:tcW w:w="1992" w:type="dxa"/>
                  <w:vAlign w:val="center"/>
                </w:tcPr>
                <w:p w14:paraId="53442C75">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双层带盖、带卡位硬式内窥镜器械篮筐</w:t>
                  </w:r>
                </w:p>
              </w:tc>
              <w:tc>
                <w:tcPr>
                  <w:tcW w:w="2283" w:type="dxa"/>
                  <w:vAlign w:val="center"/>
                </w:tcPr>
                <w:p w14:paraId="5EE2A223">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550 mm×250 mm×100 mm，带不锈钢牌</w:t>
                  </w:r>
                </w:p>
              </w:tc>
              <w:tc>
                <w:tcPr>
                  <w:tcW w:w="1183" w:type="dxa"/>
                  <w:vAlign w:val="center"/>
                </w:tcPr>
                <w:p w14:paraId="58A0D049">
                  <w:pPr>
                    <w:spacing w:line="240" w:lineRule="auto"/>
                    <w:jc w:val="center"/>
                    <w:rPr>
                      <w:rFonts w:hint="default" w:ascii="仿宋" w:hAnsi="仿宋" w:eastAsia="仿宋" w:cs="仿宋"/>
                      <w:b w:val="0"/>
                      <w:bCs/>
                      <w:color w:val="000000" w:themeColor="text1"/>
                      <w:sz w:val="24"/>
                      <w:szCs w:val="24"/>
                      <w:vertAlign w:val="baseline"/>
                      <w:lang w:val="en-US" w:eastAsia="zh-CN"/>
                    </w:rPr>
                  </w:pPr>
                  <w:r>
                    <w:rPr>
                      <w:rFonts w:hint="eastAsia" w:ascii="宋体" w:hAnsi="宋体" w:eastAsia="宋体" w:cs="宋体"/>
                      <w:b w:val="0"/>
                      <w:bCs w:val="0"/>
                      <w:color w:val="auto"/>
                      <w:szCs w:val="21"/>
                      <w:highlight w:val="none"/>
                      <w:lang w:val="en-US" w:eastAsia="zh-CN"/>
                    </w:rPr>
                    <w:t>1个</w:t>
                  </w:r>
                </w:p>
              </w:tc>
            </w:tr>
          </w:tbl>
          <w:p w14:paraId="316CC75E">
            <w:pPr>
              <w:numPr>
                <w:ilvl w:val="0"/>
                <w:numId w:val="0"/>
              </w:numPr>
              <w:autoSpaceDE w:val="0"/>
              <w:autoSpaceDN w:val="0"/>
              <w:spacing w:line="360" w:lineRule="auto"/>
              <w:rPr>
                <w:rFonts w:hint="default" w:ascii="仿宋" w:hAnsi="仿宋" w:eastAsia="仿宋" w:cs="仿宋"/>
                <w:b w:val="0"/>
                <w:bCs/>
                <w:color w:val="000000" w:themeColor="text1"/>
                <w:sz w:val="24"/>
                <w:szCs w:val="24"/>
                <w:lang w:val="en-US" w:eastAsia="zh-CN"/>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545AB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30FC8E">
            <w:pPr>
              <w:spacing w:line="300" w:lineRule="auto"/>
              <w:rPr>
                <w:rStyle w:val="18"/>
                <w:rFonts w:ascii="宋体" w:hAnsi="宋体" w:eastAsia="宋体" w:cs="宋体"/>
                <w:szCs w:val="21"/>
              </w:rPr>
            </w:pPr>
          </w:p>
        </w:tc>
      </w:tr>
      <w:tr w14:paraId="35688A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59A24">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5.2</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315304">
            <w:pPr>
              <w:numPr>
                <w:ilvl w:val="0"/>
                <w:numId w:val="0"/>
              </w:numPr>
              <w:autoSpaceDE w:val="0"/>
              <w:autoSpaceDN w:val="0"/>
              <w:spacing w:line="360" w:lineRule="auto"/>
              <w:ind w:firstLine="480" w:firstLineChars="200"/>
              <w:rPr>
                <w:rFonts w:hint="default" w:ascii="仿宋" w:hAnsi="仿宋" w:eastAsia="仿宋" w:cs="仿宋"/>
                <w:b w:val="0"/>
                <w:bCs/>
                <w:color w:val="000000" w:themeColor="text1"/>
                <w:sz w:val="24"/>
                <w:szCs w:val="24"/>
                <w:lang w:val="en-US" w:eastAsia="zh-CN"/>
              </w:rPr>
            </w:pPr>
            <w:r>
              <w:rPr>
                <w:rFonts w:hint="default" w:ascii="仿宋" w:hAnsi="仿宋" w:eastAsia="仿宋" w:cs="仿宋"/>
                <w:b w:val="0"/>
                <w:bCs/>
                <w:color w:val="000000" w:themeColor="text1"/>
                <w:sz w:val="24"/>
                <w:szCs w:val="24"/>
                <w:lang w:val="en-US" w:eastAsia="zh-CN"/>
              </w:rPr>
              <w:t>（2）样品是响应供应商对于投标文件中文字内容的补充，将作为项目择优评审的参考依据，响应供应商提供的样品品质不得低于采购人用户需求要求品质，未提交样品视为无效响应。成交供应商的实物样品留存于采购人单位，作为成交供应商供货验收依据，完成合同货物交付并验收合格后退回成交供应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F0AFB">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946F29">
            <w:pPr>
              <w:spacing w:line="300" w:lineRule="auto"/>
              <w:rPr>
                <w:rStyle w:val="18"/>
                <w:rFonts w:ascii="宋体" w:hAnsi="宋体" w:eastAsia="宋体" w:cs="宋体"/>
                <w:szCs w:val="21"/>
              </w:rPr>
            </w:pPr>
          </w:p>
        </w:tc>
      </w:tr>
      <w:tr w14:paraId="6C6A43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0BDF33">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5.4</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4FB8">
            <w:pPr>
              <w:numPr>
                <w:ilvl w:val="0"/>
                <w:numId w:val="0"/>
              </w:numPr>
              <w:autoSpaceDE w:val="0"/>
              <w:autoSpaceDN w:val="0"/>
              <w:spacing w:line="360" w:lineRule="auto"/>
              <w:ind w:firstLine="480" w:firstLineChars="200"/>
              <w:rPr>
                <w:rFonts w:hint="default" w:ascii="仿宋" w:hAnsi="仿宋" w:eastAsia="仿宋" w:cs="仿宋"/>
                <w:b w:val="0"/>
                <w:bCs/>
                <w:color w:val="000000" w:themeColor="text1"/>
                <w:sz w:val="24"/>
                <w:szCs w:val="24"/>
                <w:lang w:val="en-US" w:eastAsia="zh-CN"/>
              </w:rPr>
            </w:pPr>
            <w:r>
              <w:rPr>
                <w:rFonts w:hint="default" w:ascii="仿宋" w:hAnsi="仿宋" w:eastAsia="仿宋" w:cs="仿宋"/>
                <w:b w:val="0"/>
                <w:bCs/>
                <w:color w:val="000000" w:themeColor="text1"/>
                <w:sz w:val="24"/>
                <w:szCs w:val="24"/>
                <w:lang w:val="en-US" w:eastAsia="zh-CN"/>
              </w:rPr>
              <w:t>（4）响应供应商需按样品清单中品种、规格、大小、数量制作样品；如因制作时间关系，响应供应商可提供现成同品类样品作为品质参考，样品尺寸不作固定评审标准（实际交货标准须按采购人需求的规格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2211D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E712AF">
            <w:pPr>
              <w:spacing w:line="300" w:lineRule="auto"/>
              <w:rPr>
                <w:rStyle w:val="18"/>
                <w:rFonts w:ascii="宋体" w:hAnsi="宋体" w:eastAsia="宋体" w:cs="宋体"/>
                <w:szCs w:val="21"/>
              </w:rPr>
            </w:pPr>
          </w:p>
        </w:tc>
      </w:tr>
      <w:tr w14:paraId="3A284D3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CA5122">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5.5</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1DA3D1">
            <w:pPr>
              <w:numPr>
                <w:ilvl w:val="0"/>
                <w:numId w:val="0"/>
              </w:numPr>
              <w:autoSpaceDE w:val="0"/>
              <w:autoSpaceDN w:val="0"/>
              <w:spacing w:line="360" w:lineRule="auto"/>
              <w:ind w:firstLine="480" w:firstLineChars="200"/>
              <w:rPr>
                <w:rFonts w:hint="default" w:ascii="仿宋" w:hAnsi="仿宋" w:eastAsia="仿宋" w:cs="仿宋"/>
                <w:b w:val="0"/>
                <w:bCs/>
                <w:color w:val="000000" w:themeColor="text1"/>
                <w:sz w:val="24"/>
                <w:szCs w:val="24"/>
                <w:lang w:val="en-US" w:eastAsia="zh-CN"/>
              </w:rPr>
            </w:pPr>
            <w:r>
              <w:rPr>
                <w:rFonts w:hint="default" w:ascii="仿宋" w:hAnsi="仿宋" w:eastAsia="仿宋" w:cs="仿宋"/>
                <w:b w:val="0"/>
                <w:bCs/>
                <w:color w:val="000000" w:themeColor="text1"/>
                <w:sz w:val="24"/>
                <w:szCs w:val="24"/>
                <w:lang w:val="en-US" w:eastAsia="zh-CN"/>
              </w:rPr>
              <w:t>（5）投标样品需密封包装提供。样品应附有明细清单（含样品名称及规格），密封包装提交，密封外包装上应贴有标签，标签内容应包括但不限于“项目名称、项目编号、响应供应商名称、样品类别"。所有样品应放置在纸箱内并密封。</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6671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4922F4">
            <w:pPr>
              <w:spacing w:line="300" w:lineRule="auto"/>
              <w:rPr>
                <w:rStyle w:val="18"/>
                <w:rFonts w:ascii="宋体" w:hAnsi="宋体" w:eastAsia="宋体" w:cs="宋体"/>
                <w:szCs w:val="21"/>
              </w:rPr>
            </w:pPr>
          </w:p>
        </w:tc>
      </w:tr>
      <w:tr w14:paraId="0BFCEB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91B062">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5.6</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8A7FD0">
            <w:pPr>
              <w:numPr>
                <w:ilvl w:val="0"/>
                <w:numId w:val="0"/>
              </w:numPr>
              <w:autoSpaceDE w:val="0"/>
              <w:autoSpaceDN w:val="0"/>
              <w:spacing w:line="360" w:lineRule="auto"/>
              <w:ind w:firstLine="480" w:firstLineChars="200"/>
              <w:rPr>
                <w:rFonts w:hint="default" w:ascii="仿宋" w:hAnsi="仿宋" w:eastAsia="仿宋" w:cs="仿宋"/>
                <w:b w:val="0"/>
                <w:bCs/>
                <w:color w:val="000000" w:themeColor="text1"/>
                <w:sz w:val="24"/>
                <w:szCs w:val="24"/>
                <w:lang w:val="en-US" w:eastAsia="zh-CN"/>
              </w:rPr>
            </w:pPr>
            <w:r>
              <w:rPr>
                <w:rFonts w:hint="default" w:ascii="仿宋" w:hAnsi="仿宋" w:eastAsia="仿宋" w:cs="仿宋"/>
                <w:b w:val="0"/>
                <w:bCs/>
                <w:color w:val="000000" w:themeColor="text1"/>
                <w:sz w:val="24"/>
                <w:szCs w:val="24"/>
                <w:lang w:val="en-US" w:eastAsia="zh-CN"/>
              </w:rPr>
              <w:t>（6）响应供应商递交样品时应充分考虑投标成本及应标风险，采购人对响应供应商所递交的样品保管、损坏、包装污损等不负任何责任。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1132F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DDAF2A">
            <w:pPr>
              <w:spacing w:line="300" w:lineRule="auto"/>
              <w:rPr>
                <w:rStyle w:val="18"/>
                <w:rFonts w:ascii="宋体" w:hAnsi="宋体" w:eastAsia="宋体" w:cs="宋体"/>
                <w:szCs w:val="21"/>
              </w:rPr>
            </w:pPr>
          </w:p>
        </w:tc>
      </w:tr>
      <w:tr w14:paraId="6E54ED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5AC2C3">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5.7</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3EEF7">
            <w:pPr>
              <w:numPr>
                <w:ilvl w:val="0"/>
                <w:numId w:val="0"/>
              </w:numPr>
              <w:autoSpaceDE w:val="0"/>
              <w:autoSpaceDN w:val="0"/>
              <w:spacing w:line="360" w:lineRule="auto"/>
              <w:ind w:firstLine="480" w:firstLineChars="200"/>
              <w:rPr>
                <w:rFonts w:hint="default" w:ascii="仿宋" w:hAnsi="仿宋" w:eastAsia="仿宋" w:cs="仿宋"/>
                <w:b w:val="0"/>
                <w:bCs/>
                <w:color w:val="000000" w:themeColor="text1"/>
                <w:sz w:val="24"/>
                <w:szCs w:val="24"/>
                <w:lang w:val="en-US" w:eastAsia="zh-CN"/>
              </w:rPr>
            </w:pPr>
            <w:r>
              <w:rPr>
                <w:rFonts w:hint="default" w:ascii="仿宋" w:hAnsi="仿宋" w:eastAsia="仿宋" w:cs="仿宋"/>
                <w:b w:val="0"/>
                <w:bCs/>
                <w:color w:val="000000" w:themeColor="text1"/>
                <w:sz w:val="24"/>
                <w:szCs w:val="24"/>
                <w:lang w:val="en-US" w:eastAsia="zh-CN"/>
              </w:rPr>
              <w:t>（7）未成交供应商的样品由未成交供应商在中标公告发布后5个工作日内联系采购人办理退样品手续，逾期未协助处理的，则视为自动放弃样品的所有权，采购人有权自行处置相关样品。</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FA0BF">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828156">
            <w:pPr>
              <w:spacing w:line="300" w:lineRule="auto"/>
              <w:rPr>
                <w:rStyle w:val="18"/>
                <w:rFonts w:ascii="宋体" w:hAnsi="宋体" w:eastAsia="宋体" w:cs="宋体"/>
                <w:szCs w:val="21"/>
              </w:rPr>
            </w:pPr>
          </w:p>
        </w:tc>
      </w:tr>
      <w:tr w14:paraId="17B99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7189"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921BB">
            <w:pPr>
              <w:numPr>
                <w:ilvl w:val="0"/>
                <w:numId w:val="0"/>
              </w:numPr>
              <w:spacing w:line="440" w:lineRule="exact"/>
              <w:ind w:leftChars="0"/>
              <w:rPr>
                <w:rFonts w:ascii="仿宋" w:hAnsi="仿宋" w:eastAsia="仿宋" w:cs="仿宋"/>
                <w:bCs/>
                <w:color w:val="000000" w:themeColor="text1"/>
                <w:sz w:val="24"/>
              </w:rPr>
            </w:pPr>
            <w:r>
              <w:rPr>
                <w:rFonts w:hint="eastAsia" w:ascii="仿宋" w:hAnsi="仿宋" w:eastAsia="仿宋" w:cs="仿宋"/>
                <w:b/>
                <w:sz w:val="24"/>
                <w:lang w:val="en-US" w:eastAsia="zh-CN"/>
              </w:rPr>
              <w:t>四、</w:t>
            </w:r>
            <w:r>
              <w:rPr>
                <w:rFonts w:hint="eastAsia" w:ascii="仿宋" w:hAnsi="仿宋" w:eastAsia="仿宋" w:cs="仿宋"/>
                <w:b/>
                <w:sz w:val="24"/>
              </w:rPr>
              <w:t>技术要求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C5BA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DFB7C">
            <w:pPr>
              <w:spacing w:line="300" w:lineRule="auto"/>
              <w:rPr>
                <w:rStyle w:val="18"/>
                <w:rFonts w:ascii="宋体" w:hAnsi="宋体" w:eastAsia="宋体" w:cs="宋体"/>
                <w:szCs w:val="21"/>
              </w:rPr>
            </w:pPr>
          </w:p>
        </w:tc>
      </w:tr>
      <w:tr w14:paraId="424AD7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2768F">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74A05D">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1、成交供应商应提供已注册品牌制造商原装、全新、符合国家及采购人提出的有关质量标准的产品。</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BC696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C4798">
            <w:pPr>
              <w:spacing w:line="300" w:lineRule="auto"/>
              <w:rPr>
                <w:rStyle w:val="18"/>
                <w:rFonts w:ascii="宋体" w:hAnsi="宋体" w:eastAsia="宋体" w:cs="宋体"/>
                <w:szCs w:val="21"/>
              </w:rPr>
            </w:pPr>
          </w:p>
        </w:tc>
      </w:tr>
      <w:tr w14:paraId="4C5B1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9E6E9">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B9A843">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2、所有货物在开箱检验时必须完好，无破损，配置与装箱单相符。</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25E9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2B8AC">
            <w:pPr>
              <w:spacing w:line="300" w:lineRule="auto"/>
              <w:rPr>
                <w:rStyle w:val="18"/>
                <w:rFonts w:ascii="宋体" w:hAnsi="宋体" w:eastAsia="宋体" w:cs="宋体"/>
                <w:szCs w:val="21"/>
              </w:rPr>
            </w:pPr>
          </w:p>
        </w:tc>
      </w:tr>
      <w:tr w14:paraId="02820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F18BF">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76AB">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3、成交供应商所提供产品的性能、配置参数等不能低于采购文件所提出的要求。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72A03">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D0B41">
            <w:pPr>
              <w:spacing w:line="300" w:lineRule="auto"/>
              <w:rPr>
                <w:rStyle w:val="18"/>
                <w:rFonts w:ascii="宋体" w:hAnsi="宋体" w:eastAsia="宋体" w:cs="宋体"/>
                <w:szCs w:val="21"/>
              </w:rPr>
            </w:pPr>
          </w:p>
        </w:tc>
      </w:tr>
      <w:tr w14:paraId="184101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460F3">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4</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0624D0">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4、成交供应商所提供的货物必须符合国家有关规范和环保要求及采购人的技术要求。所有货物及服务不得侵犯第三方专利、商标或版权等。否则，成交供应商须承担对第三方的专利、商标或版权的侵权责任，并承担因此而发生的一切费用，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F07F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1C90F">
            <w:pPr>
              <w:spacing w:line="300" w:lineRule="auto"/>
              <w:rPr>
                <w:rStyle w:val="18"/>
                <w:rFonts w:ascii="宋体" w:hAnsi="宋体" w:eastAsia="宋体" w:cs="宋体"/>
                <w:szCs w:val="21"/>
              </w:rPr>
            </w:pPr>
          </w:p>
        </w:tc>
      </w:tr>
      <w:tr w14:paraId="014DAF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89A424">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5</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EB9A91">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5、成交供应商不得经营未经注册、无合格证明、过期、失效或者淘汰的产品，如因产品质量原因造成的一切损失由成交供应商负全部责任。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7DCA1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8C4D7">
            <w:pPr>
              <w:spacing w:line="300" w:lineRule="auto"/>
              <w:rPr>
                <w:rStyle w:val="18"/>
                <w:rFonts w:ascii="宋体" w:hAnsi="宋体" w:eastAsia="宋体" w:cs="宋体"/>
                <w:szCs w:val="21"/>
              </w:rPr>
            </w:pPr>
          </w:p>
        </w:tc>
      </w:tr>
      <w:tr w14:paraId="2FFA8B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7189"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F72681">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
                <w:sz w:val="24"/>
              </w:rPr>
              <w:t>五、包装、装卸、运输及保险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EE62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FE143E">
            <w:pPr>
              <w:spacing w:line="300" w:lineRule="auto"/>
              <w:rPr>
                <w:rStyle w:val="18"/>
                <w:rFonts w:ascii="宋体" w:hAnsi="宋体" w:eastAsia="宋体" w:cs="宋体"/>
                <w:szCs w:val="21"/>
              </w:rPr>
            </w:pPr>
          </w:p>
        </w:tc>
      </w:tr>
      <w:tr w14:paraId="2B9FE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879DDF">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57B33">
            <w:pPr>
              <w:numPr>
                <w:ilvl w:val="0"/>
                <w:numId w:val="0"/>
              </w:numPr>
              <w:spacing w:line="440" w:lineRule="exact"/>
              <w:ind w:left="0" w:leftChars="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1、成交供应商所供货物包装质量必须符合国家相关标准，货物的包装均应有良好的防锈、防腐的措施，货物要求有包装保护运至现场。凡由于包装不良造成的损失和由此产生的费用均由成交供应商承担。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FE0F4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1A815">
            <w:pPr>
              <w:spacing w:line="300" w:lineRule="auto"/>
              <w:rPr>
                <w:rStyle w:val="18"/>
                <w:rFonts w:ascii="宋体" w:hAnsi="宋体" w:eastAsia="宋体" w:cs="宋体"/>
                <w:szCs w:val="21"/>
              </w:rPr>
            </w:pPr>
          </w:p>
        </w:tc>
      </w:tr>
      <w:tr w14:paraId="74FCAC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96D82E">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3D0D41">
            <w:pPr>
              <w:numPr>
                <w:ilvl w:val="0"/>
                <w:numId w:val="0"/>
              </w:numPr>
              <w:spacing w:line="440" w:lineRule="exact"/>
              <w:ind w:left="0" w:leftChars="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2、成交供应商负责根据用户指定的地点，将货物送到现场过程中的全部运输，包括装卸车、货物现场的搬运，由此产生的费用均由成交供应商承担。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C4E6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5D093">
            <w:pPr>
              <w:spacing w:line="300" w:lineRule="auto"/>
              <w:rPr>
                <w:rStyle w:val="18"/>
                <w:rFonts w:ascii="宋体" w:hAnsi="宋体" w:eastAsia="宋体" w:cs="宋体"/>
                <w:szCs w:val="21"/>
              </w:rPr>
            </w:pPr>
          </w:p>
        </w:tc>
      </w:tr>
      <w:tr w14:paraId="45DAEA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E48CCA">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F509E1">
            <w:pPr>
              <w:numPr>
                <w:ilvl w:val="0"/>
                <w:numId w:val="0"/>
              </w:numPr>
              <w:spacing w:line="440" w:lineRule="exact"/>
              <w:ind w:left="0" w:leftChars="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3、如货物运输过程中因事故造成货物短缺、损坏，成交供应商应及时安排换货，以保证合同货物及时交付，换货的相关费用由成交供应商承担。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58CF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03751">
            <w:pPr>
              <w:spacing w:line="300" w:lineRule="auto"/>
              <w:rPr>
                <w:rStyle w:val="18"/>
                <w:rFonts w:ascii="宋体" w:hAnsi="宋体" w:eastAsia="宋体" w:cs="宋体"/>
                <w:szCs w:val="21"/>
              </w:rPr>
            </w:pPr>
          </w:p>
        </w:tc>
      </w:tr>
      <w:tr w14:paraId="4FE6DB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83A5E4">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4</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9EDD6B">
            <w:pPr>
              <w:numPr>
                <w:ilvl w:val="0"/>
                <w:numId w:val="0"/>
              </w:num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4、货物的质量保险由成交供应商负责，成交供应商负责其派出的现场服务人员人身意外保险。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1F0E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070EC">
            <w:pPr>
              <w:spacing w:line="300" w:lineRule="auto"/>
              <w:rPr>
                <w:rStyle w:val="18"/>
                <w:rFonts w:ascii="宋体" w:hAnsi="宋体" w:eastAsia="宋体" w:cs="宋体"/>
                <w:szCs w:val="21"/>
              </w:rPr>
            </w:pPr>
          </w:p>
        </w:tc>
      </w:tr>
      <w:tr w14:paraId="681540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1" w:hRule="atLeast"/>
          <w:jc w:val="center"/>
        </w:trPr>
        <w:tc>
          <w:tcPr>
            <w:tcW w:w="7189" w:type="dxa"/>
            <w:gridSpan w:val="4"/>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371BC8">
            <w:pPr>
              <w:spacing w:line="300" w:lineRule="auto"/>
              <w:rPr>
                <w:rFonts w:hint="eastAsia" w:ascii="仿宋" w:hAnsi="仿宋" w:eastAsia="仿宋" w:cs="仿宋"/>
                <w:color w:val="000000" w:themeColor="text1"/>
                <w:sz w:val="24"/>
                <w:szCs w:val="24"/>
              </w:rPr>
            </w:pPr>
            <w:r>
              <w:rPr>
                <w:rFonts w:hint="eastAsia" w:ascii="仿宋" w:hAnsi="仿宋" w:eastAsia="仿宋" w:cs="仿宋"/>
                <w:b/>
                <w:sz w:val="24"/>
              </w:rPr>
              <w:t>六、安装要求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AC22D6">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837B39">
            <w:pPr>
              <w:spacing w:line="300" w:lineRule="auto"/>
              <w:rPr>
                <w:rFonts w:hint="eastAsia" w:ascii="仿宋" w:hAnsi="仿宋" w:eastAsia="仿宋" w:cs="仿宋"/>
                <w:color w:val="000000" w:themeColor="text1"/>
                <w:sz w:val="24"/>
                <w:szCs w:val="24"/>
              </w:rPr>
            </w:pPr>
          </w:p>
        </w:tc>
      </w:tr>
      <w:tr w14:paraId="17C923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F06557">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1</w:t>
            </w:r>
          </w:p>
        </w:tc>
        <w:tc>
          <w:tcPr>
            <w:tcW w:w="6549" w:type="dxa"/>
            <w:gridSpan w:val="3"/>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385189">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1、成交供应商应按照采购人的指定位置进行安装并完成调试，确保运行正常。</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78B378">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B6604B">
            <w:pPr>
              <w:spacing w:line="300" w:lineRule="auto"/>
              <w:rPr>
                <w:rFonts w:hint="eastAsia" w:ascii="仿宋" w:hAnsi="仿宋" w:eastAsia="仿宋" w:cs="仿宋"/>
                <w:color w:val="000000" w:themeColor="text1"/>
                <w:sz w:val="24"/>
                <w:szCs w:val="24"/>
              </w:rPr>
            </w:pPr>
          </w:p>
        </w:tc>
      </w:tr>
      <w:tr w14:paraId="3A3F02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1CC52C">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2</w:t>
            </w:r>
          </w:p>
        </w:tc>
        <w:tc>
          <w:tcPr>
            <w:tcW w:w="6549" w:type="dxa"/>
            <w:gridSpan w:val="3"/>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58123A">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2、成交供应商应按安全安装的要求，遵守一切采购人的规章制度，采取严格科学的安全措施，确保人员及第三者的安全，承担由于自身安全措施不力造成事故责任和发生的费用。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791A45">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842173">
            <w:pPr>
              <w:spacing w:line="300" w:lineRule="auto"/>
              <w:rPr>
                <w:rFonts w:hint="eastAsia" w:ascii="仿宋" w:hAnsi="仿宋" w:eastAsia="仿宋" w:cs="仿宋"/>
                <w:color w:val="000000" w:themeColor="text1"/>
                <w:sz w:val="24"/>
                <w:szCs w:val="24"/>
              </w:rPr>
            </w:pPr>
          </w:p>
        </w:tc>
      </w:tr>
      <w:tr w14:paraId="5425C1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93AD52">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3</w:t>
            </w:r>
          </w:p>
        </w:tc>
        <w:tc>
          <w:tcPr>
            <w:tcW w:w="6549" w:type="dxa"/>
            <w:gridSpan w:val="3"/>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CCDFEFA">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3、成交供应商安装时需对各安装现场内的装修、设备设施有良好保护措施，如安装中因施工不当造成场地及现场的设备设施损坏，由采购人在合同货款中扣除相应的维修费用。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D7DD84">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716CE3">
            <w:pPr>
              <w:spacing w:line="300" w:lineRule="auto"/>
              <w:rPr>
                <w:rFonts w:hint="eastAsia" w:ascii="仿宋" w:hAnsi="仿宋" w:eastAsia="仿宋" w:cs="仿宋"/>
                <w:color w:val="000000" w:themeColor="text1"/>
                <w:sz w:val="24"/>
                <w:szCs w:val="24"/>
              </w:rPr>
            </w:pPr>
          </w:p>
        </w:tc>
      </w:tr>
      <w:tr w14:paraId="5FAE18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705A58">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4</w:t>
            </w:r>
          </w:p>
        </w:tc>
        <w:tc>
          <w:tcPr>
            <w:tcW w:w="6549" w:type="dxa"/>
            <w:gridSpan w:val="3"/>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BD2E1C">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4、成交供应商应负责所有安装完成后的剩余物料、外包装（含纸箱、木架等）及垃圾全部清理运走，不能影响采购人的正常营业，垃圾不得堆放在采购人院内，未按要求清理的，由采购人在合同货款中扣除相应的垃圾清运及清洁费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57F071">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52E6A9">
            <w:pPr>
              <w:spacing w:line="300" w:lineRule="auto"/>
              <w:rPr>
                <w:rFonts w:hint="eastAsia" w:ascii="仿宋" w:hAnsi="仿宋" w:eastAsia="仿宋" w:cs="仿宋"/>
                <w:color w:val="000000" w:themeColor="text1"/>
                <w:sz w:val="24"/>
                <w:szCs w:val="24"/>
              </w:rPr>
            </w:pPr>
          </w:p>
        </w:tc>
      </w:tr>
      <w:tr w14:paraId="271175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4"/>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CA54A">
            <w:pPr>
              <w:spacing w:line="440" w:lineRule="exact"/>
              <w:rPr>
                <w:rFonts w:ascii="仿宋" w:hAnsi="仿宋" w:eastAsia="仿宋" w:cs="仿宋"/>
                <w:sz w:val="24"/>
              </w:rPr>
            </w:pPr>
            <w:r>
              <w:rPr>
                <w:rFonts w:hint="eastAsia" w:ascii="仿宋" w:hAnsi="仿宋" w:eastAsia="仿宋" w:cs="仿宋"/>
                <w:b/>
                <w:bCs/>
                <w:sz w:val="24"/>
              </w:rPr>
              <w:t>七、验收方式</w:t>
            </w:r>
          </w:p>
        </w:tc>
        <w:tc>
          <w:tcPr>
            <w:tcW w:w="1116"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8C3A2">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8B887">
            <w:pPr>
              <w:spacing w:line="300" w:lineRule="auto"/>
              <w:rPr>
                <w:rStyle w:val="18"/>
                <w:rFonts w:ascii="宋体" w:hAnsi="宋体" w:eastAsia="宋体" w:cs="宋体"/>
                <w:szCs w:val="21"/>
              </w:rPr>
            </w:pPr>
          </w:p>
        </w:tc>
      </w:tr>
      <w:tr w14:paraId="59119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F3D4F">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322A9CA">
            <w:pPr>
              <w:spacing w:line="440" w:lineRule="exact"/>
              <w:rPr>
                <w:rFonts w:hint="default" w:ascii="仿宋" w:hAnsi="仿宋" w:eastAsia="仿宋" w:cs="仿宋"/>
                <w:sz w:val="24"/>
                <w:lang w:val="en-US" w:eastAsia="zh-CN"/>
              </w:rPr>
            </w:pPr>
            <w:r>
              <w:rPr>
                <w:rFonts w:hint="default" w:ascii="仿宋" w:hAnsi="仿宋" w:eastAsia="仿宋" w:cs="仿宋"/>
                <w:sz w:val="24"/>
                <w:lang w:val="en-US" w:eastAsia="zh-CN"/>
              </w:rPr>
              <w:t>1、成交供应商将货物送货至采购人指定地点后，由采购人按照采购合同、采购文件要求和响应文件承诺进行核对，根据国家相关法律法规，对货物的规格参数和质量标准进行检查验收。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EE48B">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1A2D0">
            <w:pPr>
              <w:spacing w:line="300" w:lineRule="auto"/>
              <w:rPr>
                <w:rStyle w:val="18"/>
                <w:rFonts w:ascii="宋体" w:hAnsi="宋体" w:eastAsia="宋体" w:cs="宋体"/>
                <w:szCs w:val="21"/>
              </w:rPr>
            </w:pPr>
          </w:p>
        </w:tc>
      </w:tr>
      <w:tr w14:paraId="729EC2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58B6E1">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59EDE39">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2、货物在验收过程中发现所交付的货物有短缺、次品、损坏或其他不符合磋商文件、合同规定之情形者，采购人有权拒付该批物品的费用，并由成交供应商承担由此发生的一切费用和损失。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A7D1B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160FCC">
            <w:pPr>
              <w:spacing w:line="300" w:lineRule="auto"/>
              <w:rPr>
                <w:rStyle w:val="18"/>
                <w:rFonts w:ascii="宋体" w:hAnsi="宋体" w:eastAsia="宋体" w:cs="宋体"/>
                <w:szCs w:val="21"/>
              </w:rPr>
            </w:pPr>
          </w:p>
        </w:tc>
      </w:tr>
      <w:tr w14:paraId="30D736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F9701E">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D292CBD">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3、所有货物在使用过程中发现以次充好或使用假冒伪劣产品的，成交供应商须无条件更换货物并按假一赔三进行赔偿。此种情况超过2次或以上的，采购人有权单方终止合同，成交供应商向采购人支付合同总价的20％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4F05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F347D9">
            <w:pPr>
              <w:spacing w:line="300" w:lineRule="auto"/>
              <w:rPr>
                <w:rStyle w:val="18"/>
                <w:rFonts w:ascii="宋体" w:hAnsi="宋体" w:eastAsia="宋体" w:cs="宋体"/>
                <w:szCs w:val="21"/>
              </w:rPr>
            </w:pPr>
          </w:p>
        </w:tc>
      </w:tr>
      <w:tr w14:paraId="79F99C0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F3B3C2">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FE28212">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4、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881B6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F38B44">
            <w:pPr>
              <w:spacing w:line="300" w:lineRule="auto"/>
              <w:rPr>
                <w:rStyle w:val="18"/>
                <w:rFonts w:ascii="宋体" w:hAnsi="宋体" w:eastAsia="宋体" w:cs="宋体"/>
                <w:szCs w:val="21"/>
              </w:rPr>
            </w:pPr>
          </w:p>
        </w:tc>
      </w:tr>
      <w:tr w14:paraId="771E35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62F77">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E2ADFE">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5、若成交供应商提供的产品发生知识产权纠纷的，由成交供应商执行处置与原知识产权所有者协商解决，采购人不承担与之相关的任何经济和法律责任。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EB6D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6A756">
            <w:pPr>
              <w:spacing w:line="300" w:lineRule="auto"/>
              <w:rPr>
                <w:rStyle w:val="18"/>
                <w:rFonts w:ascii="宋体" w:hAnsi="宋体" w:eastAsia="宋体" w:cs="宋体"/>
                <w:szCs w:val="21"/>
              </w:rPr>
            </w:pPr>
          </w:p>
        </w:tc>
      </w:tr>
      <w:tr w14:paraId="09D431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03797F">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54EDC3D">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6、成交供应商应按双方约定的时间交付采购人购买的产品等，采购人应及时组织验收；对于符合合同约定的标的物予以接收，对不符合合同要求的质量、品种、规格、数量等，采购人有权拒绝接受。成交供应商应及时更换被拒绝的产品，但不得影响采购人的使用。如影响采购人使用并造成损失，采购人有权要求成交供应商赔偿由此造成的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79B8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C152A">
            <w:pPr>
              <w:spacing w:line="300" w:lineRule="auto"/>
              <w:rPr>
                <w:rStyle w:val="18"/>
                <w:rFonts w:ascii="宋体" w:hAnsi="宋体" w:eastAsia="宋体" w:cs="宋体"/>
                <w:szCs w:val="21"/>
              </w:rPr>
            </w:pPr>
          </w:p>
        </w:tc>
      </w:tr>
      <w:tr w14:paraId="0C470D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297463">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EC7D488">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7、成交供应商提前交付采购人购买的产品等，必须事前得到采购人书面同意，否则由此引起的储存保管费用及标的物毁损灭失风险由成交供应商自行承担。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BA231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96DE96">
            <w:pPr>
              <w:spacing w:line="300" w:lineRule="auto"/>
              <w:rPr>
                <w:rStyle w:val="18"/>
                <w:rFonts w:ascii="宋体" w:hAnsi="宋体" w:eastAsia="宋体" w:cs="宋体"/>
                <w:szCs w:val="21"/>
              </w:rPr>
            </w:pPr>
          </w:p>
        </w:tc>
      </w:tr>
      <w:tr w14:paraId="5BBBFB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DC86BC">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E34723F">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8、成交供应商按采购人采购计划中指定医院的地址送货，费用由成交供应商承担。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5254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4EF726">
            <w:pPr>
              <w:spacing w:line="300" w:lineRule="auto"/>
              <w:rPr>
                <w:rStyle w:val="18"/>
                <w:rFonts w:ascii="宋体" w:hAnsi="宋体" w:eastAsia="宋体" w:cs="宋体"/>
                <w:szCs w:val="21"/>
              </w:rPr>
            </w:pPr>
          </w:p>
        </w:tc>
      </w:tr>
      <w:tr w14:paraId="04C167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645105">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b/>
                <w:bCs/>
                <w:sz w:val="24"/>
              </w:rPr>
              <w:t>八、售后服务要求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C2C2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04068">
            <w:pPr>
              <w:spacing w:line="300" w:lineRule="auto"/>
              <w:rPr>
                <w:rStyle w:val="18"/>
                <w:rFonts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55378E">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1、成交供应商所提供的货物应是全新正品，其质量、规格、性能、品牌、有效期限等满足用户需求，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spacing w:line="300" w:lineRule="auto"/>
              <w:rPr>
                <w:rStyle w:val="18"/>
                <w:rFonts w:ascii="宋体" w:hAnsi="宋体" w:eastAsia="宋体" w:cs="宋体"/>
                <w:szCs w:val="21"/>
              </w:rPr>
            </w:pPr>
          </w:p>
        </w:tc>
      </w:tr>
      <w:tr w14:paraId="0C0678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3B056">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7FEA78E">
            <w:pPr>
              <w:spacing w:line="440" w:lineRule="exact"/>
              <w:rPr>
                <w:rFonts w:hint="eastAsia" w:ascii="仿宋" w:hAnsi="仿宋" w:eastAsia="仿宋" w:cs="仿宋"/>
                <w:color w:val="000000"/>
                <w:sz w:val="24"/>
              </w:rPr>
            </w:pPr>
            <w:r>
              <w:rPr>
                <w:rFonts w:hint="eastAsia" w:ascii="仿宋" w:hAnsi="仿宋" w:eastAsia="仿宋" w:cs="仿宋"/>
                <w:color w:val="000000"/>
                <w:sz w:val="24"/>
              </w:rPr>
              <w:t>2、因成交供应商所供应的货物质量问题造成采购人设备故障、人身伤害或出现严重事故的，由成交供应商负责更换，所造成的一切损失及责任由成交供应商承担，同时采购人有权单方面终止合同。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954EA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5A84E">
            <w:pPr>
              <w:spacing w:line="300" w:lineRule="auto"/>
              <w:rPr>
                <w:rStyle w:val="18"/>
                <w:rFonts w:ascii="宋体" w:hAnsi="宋体" w:eastAsia="宋体" w:cs="宋体"/>
                <w:szCs w:val="21"/>
              </w:rPr>
            </w:pPr>
          </w:p>
        </w:tc>
      </w:tr>
      <w:tr w14:paraId="6C1324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FA14A">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29B6721">
            <w:pPr>
              <w:spacing w:line="440" w:lineRule="exact"/>
              <w:rPr>
                <w:rFonts w:hint="eastAsia" w:ascii="仿宋" w:hAnsi="仿宋" w:eastAsia="仿宋" w:cs="仿宋"/>
                <w:color w:val="000000"/>
                <w:sz w:val="24"/>
              </w:rPr>
            </w:pPr>
            <w:r>
              <w:rPr>
                <w:rFonts w:hint="eastAsia" w:ascii="仿宋" w:hAnsi="仿宋" w:eastAsia="仿宋" w:cs="仿宋"/>
                <w:color w:val="000000"/>
                <w:sz w:val="24"/>
              </w:rPr>
              <w:t>3、质保期内，成交供应商提供7*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9E1C6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BAEAD">
            <w:pPr>
              <w:spacing w:line="300" w:lineRule="auto"/>
              <w:rPr>
                <w:rStyle w:val="18"/>
                <w:rFonts w:ascii="宋体" w:hAnsi="宋体" w:eastAsia="宋体" w:cs="宋体"/>
                <w:szCs w:val="21"/>
              </w:rPr>
            </w:pPr>
          </w:p>
        </w:tc>
      </w:tr>
      <w:tr w14:paraId="47EEFA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2791A">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7D58AFC">
            <w:pPr>
              <w:spacing w:line="440" w:lineRule="exact"/>
              <w:rPr>
                <w:rFonts w:hint="eastAsia" w:ascii="仿宋" w:hAnsi="仿宋" w:eastAsia="仿宋" w:cs="仿宋"/>
                <w:color w:val="000000"/>
                <w:sz w:val="24"/>
              </w:rPr>
            </w:pPr>
            <w:r>
              <w:rPr>
                <w:rFonts w:hint="eastAsia" w:ascii="仿宋" w:hAnsi="仿宋" w:eastAsia="仿宋" w:cs="仿宋"/>
                <w:color w:val="000000"/>
                <w:sz w:val="24"/>
              </w:rPr>
              <w:t>4、质保期：当次所提供的货物质保期为验收合格之日起至少</w:t>
            </w:r>
            <w:r>
              <w:rPr>
                <w:rFonts w:hint="eastAsia" w:ascii="仿宋" w:hAnsi="仿宋" w:eastAsia="仿宋" w:cs="仿宋"/>
                <w:b/>
                <w:bCs/>
                <w:color w:val="000000"/>
                <w:sz w:val="24"/>
                <w:u w:val="single"/>
              </w:rPr>
              <w:t>5</w:t>
            </w:r>
            <w:r>
              <w:rPr>
                <w:rFonts w:hint="eastAsia" w:ascii="仿宋" w:hAnsi="仿宋" w:eastAsia="仿宋" w:cs="仿宋"/>
                <w:color w:val="000000"/>
                <w:sz w:val="24"/>
                <w:u w:val="single"/>
              </w:rPr>
              <w:t>年</w:t>
            </w:r>
            <w:r>
              <w:rPr>
                <w:rFonts w:hint="eastAsia" w:ascii="仿宋" w:hAnsi="仿宋" w:eastAsia="仿宋" w:cs="仿宋"/>
                <w:color w:val="000000"/>
                <w:sz w:val="24"/>
              </w:rPr>
              <w:t>。质保期内，成交供应商须提供货物“包退、包换、包修”的质量“三包”服务。货物如不符合国家的有关质量标准、采购文件、合同参数要求的，采购人有权拒收，成交供应商应无条件退换货物，退换期限为2个自然日内，由此产生的一切费用由成交供应商承担，如造成采购人经济损失的，采购人有权进行索赔。</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6B54A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3A5E9">
            <w:pPr>
              <w:spacing w:line="300" w:lineRule="auto"/>
              <w:rPr>
                <w:rStyle w:val="18"/>
                <w:rFonts w:ascii="宋体" w:hAnsi="宋体" w:eastAsia="宋体" w:cs="宋体"/>
                <w:szCs w:val="21"/>
              </w:rPr>
            </w:pPr>
          </w:p>
        </w:tc>
      </w:tr>
      <w:tr w14:paraId="5690D3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28EE5">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E5CD2D8">
            <w:pPr>
              <w:spacing w:line="440" w:lineRule="exact"/>
              <w:rPr>
                <w:rFonts w:hint="eastAsia" w:ascii="仿宋" w:hAnsi="仿宋" w:eastAsia="仿宋" w:cs="仿宋"/>
                <w:color w:val="000000"/>
                <w:sz w:val="24"/>
              </w:rPr>
            </w:pPr>
            <w:r>
              <w:rPr>
                <w:rFonts w:hint="eastAsia" w:ascii="仿宋" w:hAnsi="仿宋" w:eastAsia="仿宋" w:cs="仿宋"/>
                <w:color w:val="000000"/>
                <w:sz w:val="24"/>
              </w:rPr>
              <w:t>5、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11A4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805E5D">
            <w:pPr>
              <w:spacing w:line="300" w:lineRule="auto"/>
              <w:rPr>
                <w:rStyle w:val="18"/>
                <w:rFonts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813E32">
            <w:pPr>
              <w:spacing w:line="440" w:lineRule="exact"/>
              <w:rPr>
                <w:rFonts w:ascii="仿宋" w:hAnsi="仿宋" w:eastAsia="仿宋" w:cs="仿宋"/>
                <w:color w:val="000000"/>
                <w:sz w:val="24"/>
              </w:rPr>
            </w:pPr>
            <w:r>
              <w:rPr>
                <w:rFonts w:hint="eastAsia" w:ascii="仿宋" w:hAnsi="仿宋" w:eastAsia="仿宋" w:cs="仿宋"/>
                <w:b/>
                <w:bCs/>
                <w:sz w:val="24"/>
              </w:rPr>
              <w:t>九、付款方式</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spacing w:line="300" w:lineRule="auto"/>
              <w:rPr>
                <w:rStyle w:val="18"/>
                <w:rFonts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23F7D12">
            <w:pPr>
              <w:spacing w:line="440" w:lineRule="exact"/>
              <w:rPr>
                <w:rFonts w:ascii="仿宋" w:hAnsi="仿宋" w:eastAsia="仿宋" w:cs="仿宋"/>
                <w:color w:val="000000" w:themeColor="text1"/>
                <w:sz w:val="24"/>
                <w:lang w:val="zh-CN"/>
              </w:rPr>
            </w:pPr>
            <w:r>
              <w:rPr>
                <w:rFonts w:hint="eastAsia" w:ascii="仿宋" w:hAnsi="仿宋" w:eastAsia="仿宋" w:cs="仿宋"/>
                <w:color w:val="000000" w:themeColor="text1"/>
                <w:sz w:val="24"/>
                <w:lang w:val="zh-CN"/>
              </w:rPr>
              <w:t>1、分两期支付。第一期：到货后经双方验收人员书面确认验收合格后，成交供应商开具全额有效增值税普通发票（含税），采购人支付合同总额的95%；第二期：合同总金额的5%的款项在货物验收合格质保期满后完成支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spacing w:line="300" w:lineRule="auto"/>
              <w:rPr>
                <w:rStyle w:val="18"/>
                <w:rFonts w:ascii="宋体" w:hAnsi="宋体" w:eastAsia="宋体" w:cs="宋体"/>
                <w:szCs w:val="21"/>
              </w:rPr>
            </w:pPr>
          </w:p>
        </w:tc>
      </w:tr>
      <w:tr w14:paraId="3ADE4E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971D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353A16">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2、成交供应商须开具与响应文件中报价人名称、响应报价一致的有效全额增值税普通发票。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7ABC8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9A0E7">
            <w:pPr>
              <w:spacing w:line="300" w:lineRule="auto"/>
              <w:rPr>
                <w:rStyle w:val="18"/>
                <w:rFonts w:ascii="宋体" w:hAnsi="宋体" w:eastAsia="宋体" w:cs="宋体"/>
                <w:szCs w:val="21"/>
              </w:rPr>
            </w:pPr>
          </w:p>
        </w:tc>
      </w:tr>
      <w:tr w14:paraId="4F3CF5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5C607">
            <w:pPr>
              <w:spacing w:line="440" w:lineRule="exact"/>
              <w:rPr>
                <w:rFonts w:hint="eastAsia" w:ascii="仿宋" w:hAnsi="仿宋" w:eastAsia="仿宋" w:cs="仿宋"/>
                <w:color w:val="000000" w:themeColor="text1"/>
                <w:sz w:val="24"/>
                <w:lang w:val="zh-CN"/>
              </w:rPr>
            </w:pPr>
            <w:r>
              <w:rPr>
                <w:rFonts w:hint="eastAsia" w:ascii="仿宋" w:hAnsi="仿宋" w:eastAsia="仿宋" w:cs="仿宋"/>
                <w:b/>
                <w:bCs/>
                <w:sz w:val="24"/>
              </w:rPr>
              <w:t>十、违约责任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49A27F">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0F50BA">
            <w:pPr>
              <w:spacing w:line="300" w:lineRule="auto"/>
              <w:rPr>
                <w:rStyle w:val="18"/>
                <w:rFonts w:ascii="宋体" w:hAnsi="宋体" w:eastAsia="宋体" w:cs="宋体"/>
                <w:szCs w:val="21"/>
              </w:rPr>
            </w:pPr>
          </w:p>
        </w:tc>
      </w:tr>
      <w:tr w14:paraId="3A4C5E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D82E4">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C92038B">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1、采购人应在合同规定时间内，按合同执行进度向成交供应商支付货款，逾期支付的，采购人向响应供应商按合同订立时全国银行间同业拆借中心公布的一年期贷款市场报价利率支付违约金。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FACFF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981D41">
            <w:pPr>
              <w:spacing w:line="300" w:lineRule="auto"/>
              <w:rPr>
                <w:rStyle w:val="18"/>
                <w:rFonts w:ascii="宋体" w:hAnsi="宋体" w:eastAsia="宋体" w:cs="宋体"/>
                <w:szCs w:val="21"/>
              </w:rPr>
            </w:pPr>
          </w:p>
        </w:tc>
      </w:tr>
      <w:tr w14:paraId="0EC21C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968D5">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BF7E162">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成交供应商未能按时交货，或未能在交货之日起15个自然日内提供该项目验收相关所必须的合法有效的文件，每拖延一天，须向采购人支付合同金额的5‰的违约金。如拖延15个自然日成交供应商仍未履行的，则视为成交供应商不能交货，则按合同总价30%支付违约金给采购人。同时，采购人有权单方面解除合同。如上述违约金的金额仍不足以补偿采购人因成交供应商违约造成的损失，采购人有权进一步向成交供应商提出索赔。</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CA75A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4775E5">
            <w:pPr>
              <w:spacing w:line="300" w:lineRule="auto"/>
              <w:rPr>
                <w:rStyle w:val="18"/>
                <w:rFonts w:ascii="宋体" w:hAnsi="宋体" w:eastAsia="宋体" w:cs="宋体"/>
                <w:szCs w:val="21"/>
              </w:rPr>
            </w:pPr>
          </w:p>
        </w:tc>
      </w:tr>
      <w:tr w14:paraId="77DCE6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3D5878">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C83E9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3、成交供应商交付的货物不符合合同规定的，采购人有权拒收，成交供应商向采购人支付合同总价的20％的违约金。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2089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E5AA51">
            <w:pPr>
              <w:spacing w:line="300" w:lineRule="auto"/>
              <w:rPr>
                <w:rStyle w:val="18"/>
                <w:rFonts w:ascii="宋体" w:hAnsi="宋体" w:eastAsia="宋体" w:cs="宋体"/>
                <w:szCs w:val="21"/>
              </w:rPr>
            </w:pPr>
          </w:p>
        </w:tc>
      </w:tr>
      <w:tr w14:paraId="283097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318CB0">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0C0F3A9">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4.采购人无正当理由拒收货物的，采购人向成交供应商支付当次送货金额的 5‰的违约金。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C43D6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5F8670">
            <w:pPr>
              <w:spacing w:line="300" w:lineRule="auto"/>
              <w:rPr>
                <w:rStyle w:val="18"/>
                <w:rFonts w:ascii="宋体" w:hAnsi="宋体" w:eastAsia="宋体" w:cs="宋体"/>
                <w:szCs w:val="21"/>
              </w:rPr>
            </w:pPr>
          </w:p>
        </w:tc>
      </w:tr>
      <w:tr w14:paraId="4A690D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093A5">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D9CFA32">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5.货物在保质期内如无法提供质保服务，成交供应商承担采购人就此造成的一切更换费用和其他损失。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C33FC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A86AE">
            <w:pPr>
              <w:spacing w:line="300" w:lineRule="auto"/>
              <w:rPr>
                <w:rStyle w:val="18"/>
                <w:rFonts w:ascii="宋体" w:hAnsi="宋体" w:eastAsia="宋体" w:cs="宋体"/>
                <w:szCs w:val="21"/>
              </w:rPr>
            </w:pPr>
          </w:p>
        </w:tc>
      </w:tr>
      <w:tr w14:paraId="09F0EA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DA682E">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0C89541">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6、所有货物在使用过程中发现以次充好或使用假冒伪劣产品的，成交供应商须无条件更换货物并按假一赔三进行赔偿。此种情况超过 2 次或以上的，采购人有权单方终止合同，成交供应商向采购人支付合同总价的 20％的违约金。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77DD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B6AE9">
            <w:pPr>
              <w:spacing w:line="300" w:lineRule="auto"/>
              <w:rPr>
                <w:rStyle w:val="18"/>
                <w:rFonts w:ascii="宋体" w:hAnsi="宋体" w:eastAsia="宋体" w:cs="宋体"/>
                <w:szCs w:val="21"/>
              </w:rPr>
            </w:pPr>
          </w:p>
        </w:tc>
      </w:tr>
      <w:tr w14:paraId="2DC2D5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08DD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352C3E5">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7.若成交供应商提供的货物发生知识产权纠纷的，由成交供应商执行处置与原知识产权所有者协商解决，采购人不承担与之相关的任何经济和法律责任。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39C3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CC4B5">
            <w:pPr>
              <w:spacing w:line="300" w:lineRule="auto"/>
              <w:rPr>
                <w:rStyle w:val="18"/>
                <w:rFonts w:ascii="宋体" w:hAnsi="宋体" w:eastAsia="宋体" w:cs="宋体"/>
                <w:szCs w:val="21"/>
              </w:rPr>
            </w:pPr>
          </w:p>
        </w:tc>
      </w:tr>
      <w:tr w14:paraId="0698B7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3FF2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D0A3D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8.因成交供应商原因造成采购人货物无法按时正常使用，成交供应商承担合同标的金额20%的违约金，违约金不足以赔偿采购人损失的，应另行补足采购人损失。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19BF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150229">
            <w:pPr>
              <w:spacing w:line="300" w:lineRule="auto"/>
              <w:rPr>
                <w:rStyle w:val="18"/>
                <w:rFonts w:ascii="宋体" w:hAnsi="宋体" w:eastAsia="宋体" w:cs="宋体"/>
                <w:szCs w:val="21"/>
              </w:rPr>
            </w:pPr>
          </w:p>
        </w:tc>
      </w:tr>
      <w:tr w14:paraId="4EAC9F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EC58F8">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9</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D54C9B2">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9、双方对本项目（含涉及本项目相关通知和函电）内容应严格履行保密义务，未经一方书面同意或许可，均不得在任何时候以任何方式和理由向第三人泄露，否则，任何一方应赔偿由此给对方造成的一切损失。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41479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268B68">
            <w:pPr>
              <w:spacing w:line="300" w:lineRule="auto"/>
              <w:rPr>
                <w:rStyle w:val="18"/>
                <w:rFonts w:ascii="宋体" w:hAnsi="宋体" w:eastAsia="宋体" w:cs="宋体"/>
                <w:szCs w:val="21"/>
              </w:rPr>
            </w:pPr>
          </w:p>
        </w:tc>
      </w:tr>
      <w:tr w14:paraId="2EAD43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D178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10</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86CA7B9">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10.违约方给守约方造成的损失，守约方可采取必要的途径或方式追索，由此引起的费用由违约方承担，包括但不仅限于律师费、查档费、鉴定费、公证费、交通费、诉讼费、财产保全责任保险费等。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A4D1FB">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0A1EC2">
            <w:pPr>
              <w:spacing w:line="300" w:lineRule="auto"/>
              <w:rPr>
                <w:rStyle w:val="18"/>
                <w:rFonts w:ascii="宋体" w:hAnsi="宋体" w:eastAsia="宋体" w:cs="宋体"/>
                <w:szCs w:val="21"/>
              </w:rPr>
            </w:pPr>
          </w:p>
        </w:tc>
      </w:tr>
      <w:tr w14:paraId="2152B7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4B210">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11</w:t>
            </w:r>
          </w:p>
        </w:tc>
        <w:tc>
          <w:tcPr>
            <w:tcW w:w="654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2BA8E5">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11.其他违约责任按《中华人民共和国民法典》处理。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58EBF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5F1D92">
            <w:pPr>
              <w:spacing w:line="300" w:lineRule="auto"/>
              <w:rPr>
                <w:rStyle w:val="18"/>
                <w:rFonts w:ascii="宋体" w:hAnsi="宋体" w:eastAsia="宋体" w:cs="宋体"/>
                <w:szCs w:val="21"/>
              </w:rPr>
            </w:pPr>
          </w:p>
        </w:tc>
      </w:tr>
    </w:tbl>
    <w:p w14:paraId="08817285">
      <w:pPr>
        <w:spacing w:line="360" w:lineRule="auto"/>
        <w:jc w:val="left"/>
        <w:outlineLvl w:val="1"/>
        <w:rPr>
          <w:rStyle w:val="18"/>
          <w:rFonts w:ascii="宋体" w:hAnsi="宋体" w:eastAsia="宋体" w:cs="宋体"/>
          <w:b/>
          <w:bCs/>
          <w:szCs w:val="21"/>
        </w:rPr>
        <w:sectPr>
          <w:headerReference r:id="rId35" w:type="default"/>
          <w:footerReference r:id="rId36" w:type="default"/>
          <w:pgSz w:w="11900" w:h="16840"/>
          <w:pgMar w:top="1440" w:right="1800" w:bottom="1440" w:left="1800" w:header="0" w:footer="567" w:gutter="0"/>
          <w:cols w:space="720" w:num="1"/>
        </w:sectPr>
      </w:pPr>
    </w:p>
    <w:p w14:paraId="210A0D6D">
      <w:pPr>
        <w:spacing w:line="360" w:lineRule="auto"/>
        <w:rPr>
          <w:rStyle w:val="18"/>
          <w:rFonts w:hAnsi="宋体" w:cs="宋体"/>
          <w:b/>
          <w:bCs/>
          <w:szCs w:val="21"/>
        </w:rPr>
      </w:pPr>
      <w:r>
        <w:rPr>
          <w:rStyle w:val="18"/>
          <w:rFonts w:hint="eastAsia" w:hAnsi="宋体" w:cs="宋体"/>
          <w:b/>
          <w:bCs/>
          <w:szCs w:val="21"/>
          <w:lang w:val="en-US" w:eastAsia="zh-CN"/>
        </w:rPr>
        <w:t>九</w:t>
      </w:r>
      <w:r>
        <w:rPr>
          <w:rStyle w:val="18"/>
          <w:rFonts w:hint="eastAsia" w:hAnsi="宋体" w:cs="宋体"/>
          <w:b/>
          <w:bCs/>
          <w:szCs w:val="21"/>
        </w:rPr>
        <w:t>、近三年内同类项目业绩相关证明文件</w:t>
      </w:r>
    </w:p>
    <w:p w14:paraId="5E88564C">
      <w:pPr>
        <w:spacing w:line="360" w:lineRule="auto"/>
        <w:rPr>
          <w:rStyle w:val="18"/>
          <w:rFonts w:hint="eastAsia" w:hAnsi="宋体" w:cs="宋体"/>
          <w:b/>
          <w:bCs/>
          <w:szCs w:val="21"/>
        </w:rPr>
      </w:pPr>
    </w:p>
    <w:p w14:paraId="0FD6E4EE">
      <w:pPr>
        <w:spacing w:line="360" w:lineRule="auto"/>
        <w:rPr>
          <w:rStyle w:val="18"/>
          <w:rFonts w:hint="eastAsia" w:hAnsi="宋体" w:cs="宋体"/>
          <w:b/>
          <w:bCs/>
          <w:szCs w:val="21"/>
        </w:rPr>
      </w:pPr>
    </w:p>
    <w:p w14:paraId="377FD6EA">
      <w:pPr>
        <w:spacing w:line="360" w:lineRule="auto"/>
        <w:rPr>
          <w:rStyle w:val="18"/>
          <w:rFonts w:hint="eastAsia" w:hAnsi="宋体" w:cs="宋体"/>
          <w:b/>
          <w:bCs/>
          <w:szCs w:val="21"/>
        </w:rPr>
      </w:pPr>
    </w:p>
    <w:p w14:paraId="0E5BFDDD">
      <w:pPr>
        <w:spacing w:line="360" w:lineRule="auto"/>
        <w:rPr>
          <w:rStyle w:val="18"/>
          <w:rFonts w:hint="eastAsia" w:hAnsi="宋体" w:cs="宋体"/>
          <w:b/>
          <w:bCs/>
          <w:szCs w:val="21"/>
        </w:rPr>
      </w:pPr>
    </w:p>
    <w:p w14:paraId="70CECC37">
      <w:pPr>
        <w:spacing w:line="360" w:lineRule="auto"/>
        <w:rPr>
          <w:rStyle w:val="18"/>
          <w:rFonts w:hint="eastAsia" w:hAnsi="宋体" w:cs="宋体"/>
          <w:b/>
          <w:bCs/>
          <w:szCs w:val="21"/>
        </w:rPr>
      </w:pPr>
    </w:p>
    <w:p w14:paraId="11F4F0EB">
      <w:pPr>
        <w:spacing w:line="360" w:lineRule="auto"/>
        <w:rPr>
          <w:rStyle w:val="18"/>
          <w:rFonts w:hint="eastAsia" w:hAnsi="宋体" w:cs="宋体"/>
          <w:b/>
          <w:bCs/>
          <w:szCs w:val="21"/>
        </w:rPr>
      </w:pPr>
    </w:p>
    <w:p w14:paraId="31AD1EEE">
      <w:pPr>
        <w:spacing w:line="360" w:lineRule="auto"/>
        <w:rPr>
          <w:rStyle w:val="18"/>
          <w:rFonts w:hint="eastAsia" w:hAnsi="宋体" w:cs="宋体"/>
          <w:b/>
          <w:bCs/>
          <w:szCs w:val="21"/>
        </w:rPr>
      </w:pPr>
    </w:p>
    <w:p w14:paraId="6EEC4A1D">
      <w:pPr>
        <w:spacing w:line="360" w:lineRule="auto"/>
        <w:rPr>
          <w:rStyle w:val="18"/>
          <w:rFonts w:hint="eastAsia" w:hAnsi="宋体" w:cs="宋体"/>
          <w:b/>
          <w:bCs/>
          <w:szCs w:val="21"/>
        </w:rPr>
      </w:pPr>
    </w:p>
    <w:p w14:paraId="4449A81D">
      <w:pPr>
        <w:spacing w:line="360" w:lineRule="auto"/>
        <w:rPr>
          <w:rStyle w:val="18"/>
          <w:rFonts w:hint="eastAsia" w:hAnsi="宋体" w:cs="宋体"/>
          <w:b/>
          <w:bCs/>
          <w:szCs w:val="21"/>
        </w:rPr>
      </w:pPr>
    </w:p>
    <w:p w14:paraId="794AD6F7">
      <w:pPr>
        <w:spacing w:line="360" w:lineRule="auto"/>
        <w:rPr>
          <w:rStyle w:val="18"/>
          <w:rFonts w:hint="eastAsia" w:hAnsi="宋体" w:cs="宋体"/>
          <w:b/>
          <w:bCs/>
          <w:szCs w:val="21"/>
        </w:rPr>
      </w:pPr>
    </w:p>
    <w:p w14:paraId="5139D136">
      <w:pPr>
        <w:spacing w:line="360" w:lineRule="auto"/>
        <w:rPr>
          <w:rStyle w:val="18"/>
          <w:rFonts w:hint="eastAsia" w:hAnsi="宋体" w:cs="宋体"/>
          <w:b/>
          <w:bCs/>
          <w:szCs w:val="21"/>
        </w:rPr>
      </w:pPr>
    </w:p>
    <w:p w14:paraId="1F64AE0C">
      <w:pPr>
        <w:spacing w:line="360" w:lineRule="auto"/>
        <w:rPr>
          <w:rStyle w:val="18"/>
          <w:rFonts w:hint="eastAsia" w:hAnsi="宋体" w:cs="宋体"/>
          <w:b/>
          <w:bCs/>
          <w:szCs w:val="21"/>
        </w:rPr>
      </w:pPr>
    </w:p>
    <w:p w14:paraId="6D9CA6C8">
      <w:pPr>
        <w:spacing w:line="360" w:lineRule="auto"/>
        <w:rPr>
          <w:rStyle w:val="18"/>
          <w:rFonts w:hint="eastAsia" w:hAnsi="宋体" w:cs="宋体"/>
          <w:b/>
          <w:bCs/>
          <w:szCs w:val="21"/>
        </w:rPr>
      </w:pPr>
    </w:p>
    <w:p w14:paraId="4687C19D">
      <w:pPr>
        <w:spacing w:line="360" w:lineRule="auto"/>
        <w:rPr>
          <w:rStyle w:val="18"/>
          <w:rFonts w:hint="eastAsia" w:hAnsi="宋体" w:cs="宋体"/>
          <w:b/>
          <w:bCs/>
          <w:szCs w:val="21"/>
        </w:rPr>
      </w:pPr>
    </w:p>
    <w:p w14:paraId="694EF2EC">
      <w:pPr>
        <w:spacing w:line="360" w:lineRule="auto"/>
        <w:rPr>
          <w:rStyle w:val="18"/>
          <w:rFonts w:hint="eastAsia" w:hAnsi="宋体" w:cs="宋体"/>
          <w:b/>
          <w:bCs/>
          <w:szCs w:val="21"/>
        </w:rPr>
      </w:pPr>
    </w:p>
    <w:p w14:paraId="77BF6530">
      <w:pPr>
        <w:spacing w:line="360" w:lineRule="auto"/>
        <w:rPr>
          <w:rStyle w:val="18"/>
          <w:rFonts w:hint="eastAsia" w:hAnsi="宋体" w:cs="宋体"/>
          <w:b/>
          <w:bCs/>
          <w:szCs w:val="21"/>
        </w:rPr>
      </w:pPr>
    </w:p>
    <w:p w14:paraId="38CC9F27">
      <w:pPr>
        <w:spacing w:line="360" w:lineRule="auto"/>
        <w:rPr>
          <w:rStyle w:val="18"/>
          <w:rFonts w:hint="eastAsia" w:hAnsi="宋体" w:cs="宋体"/>
          <w:b/>
          <w:bCs/>
          <w:szCs w:val="21"/>
        </w:rPr>
      </w:pPr>
    </w:p>
    <w:p w14:paraId="055728D2">
      <w:pPr>
        <w:spacing w:line="360" w:lineRule="auto"/>
        <w:rPr>
          <w:rStyle w:val="18"/>
          <w:rFonts w:hint="eastAsia" w:hAnsi="宋体" w:cs="宋体"/>
          <w:b/>
          <w:bCs/>
          <w:szCs w:val="21"/>
        </w:rPr>
      </w:pPr>
    </w:p>
    <w:p w14:paraId="2B3749B3">
      <w:pPr>
        <w:spacing w:line="360" w:lineRule="auto"/>
        <w:rPr>
          <w:rStyle w:val="18"/>
          <w:rFonts w:hint="eastAsia" w:hAnsi="宋体" w:cs="宋体"/>
          <w:b/>
          <w:bCs/>
          <w:szCs w:val="21"/>
        </w:rPr>
      </w:pPr>
    </w:p>
    <w:p w14:paraId="428DA212">
      <w:pPr>
        <w:spacing w:line="360" w:lineRule="auto"/>
        <w:rPr>
          <w:rStyle w:val="18"/>
          <w:rFonts w:hint="eastAsia" w:hAnsi="宋体" w:cs="宋体"/>
          <w:b/>
          <w:bCs/>
          <w:szCs w:val="21"/>
        </w:rPr>
      </w:pPr>
    </w:p>
    <w:p w14:paraId="7EE9B30B">
      <w:pPr>
        <w:spacing w:line="360" w:lineRule="auto"/>
        <w:rPr>
          <w:rStyle w:val="18"/>
          <w:rFonts w:hint="eastAsia" w:hAnsi="宋体" w:cs="宋体"/>
          <w:b/>
          <w:bCs/>
          <w:szCs w:val="21"/>
        </w:rPr>
      </w:pPr>
    </w:p>
    <w:p w14:paraId="0590F5E4">
      <w:pPr>
        <w:spacing w:line="360" w:lineRule="auto"/>
        <w:rPr>
          <w:rStyle w:val="18"/>
          <w:rFonts w:hint="eastAsia" w:hAnsi="宋体" w:cs="宋体"/>
          <w:b/>
          <w:bCs/>
          <w:szCs w:val="21"/>
        </w:rPr>
      </w:pPr>
    </w:p>
    <w:p w14:paraId="294ABA43">
      <w:pPr>
        <w:spacing w:line="360" w:lineRule="auto"/>
        <w:rPr>
          <w:rStyle w:val="18"/>
          <w:rFonts w:hint="eastAsia" w:hAnsi="宋体" w:cs="宋体"/>
          <w:b/>
          <w:bCs/>
          <w:szCs w:val="21"/>
        </w:rPr>
      </w:pPr>
    </w:p>
    <w:p w14:paraId="792D77C0">
      <w:pPr>
        <w:pStyle w:val="3"/>
        <w:rPr>
          <w:rStyle w:val="18"/>
          <w:rFonts w:hAnsi="宋体" w:eastAsia="宋体" w:cs="宋体"/>
          <w:b/>
          <w:bCs/>
          <w:sz w:val="32"/>
          <w:szCs w:val="28"/>
        </w:rPr>
      </w:pPr>
    </w:p>
    <w:p w14:paraId="20A28727">
      <w:pPr>
        <w:spacing w:line="360" w:lineRule="auto"/>
        <w:jc w:val="left"/>
        <w:outlineLvl w:val="1"/>
        <w:rPr>
          <w:rStyle w:val="18"/>
          <w:rFonts w:ascii="宋体" w:hAnsi="宋体" w:eastAsia="宋体" w:cs="宋体"/>
          <w:b/>
          <w:bCs/>
          <w:szCs w:val="21"/>
        </w:rPr>
        <w:sectPr>
          <w:headerReference r:id="rId37" w:type="default"/>
          <w:footerReference r:id="rId38" w:type="default"/>
          <w:pgSz w:w="11900" w:h="16840"/>
          <w:pgMar w:top="1440" w:right="1800" w:bottom="1440" w:left="1800" w:header="0" w:footer="567" w:gutter="0"/>
          <w:cols w:space="720" w:num="1"/>
        </w:sectPr>
      </w:pPr>
    </w:p>
    <w:p w14:paraId="4CA6DED9">
      <w:pPr>
        <w:spacing w:line="360" w:lineRule="auto"/>
        <w:rPr>
          <w:rStyle w:val="18"/>
          <w:rFonts w:hAnsi="宋体" w:cs="宋体"/>
          <w:b/>
          <w:bCs/>
          <w:szCs w:val="21"/>
        </w:rPr>
      </w:pPr>
      <w:r>
        <w:rPr>
          <w:rStyle w:val="18"/>
          <w:rFonts w:hint="eastAsia" w:hAnsi="宋体" w:cs="宋体"/>
          <w:b/>
          <w:bCs/>
          <w:szCs w:val="21"/>
          <w:lang w:val="en-US" w:eastAsia="zh-CN"/>
        </w:rPr>
        <w:t>十</w:t>
      </w:r>
      <w:r>
        <w:rPr>
          <w:rStyle w:val="18"/>
          <w:rFonts w:hint="eastAsia" w:hAnsi="宋体" w:cs="宋体"/>
          <w:b/>
          <w:bCs/>
          <w:szCs w:val="21"/>
        </w:rPr>
        <w:t>、售后服务承诺（格式自拟）</w:t>
      </w:r>
    </w:p>
    <w:p w14:paraId="78561794">
      <w:pPr>
        <w:spacing w:line="360" w:lineRule="auto"/>
        <w:rPr>
          <w:rStyle w:val="18"/>
          <w:rFonts w:hAnsi="宋体" w:cs="宋体"/>
          <w:b/>
          <w:bCs/>
          <w:szCs w:val="21"/>
        </w:rPr>
      </w:pPr>
    </w:p>
    <w:p w14:paraId="3A12D526">
      <w:pPr>
        <w:spacing w:line="360" w:lineRule="auto"/>
        <w:rPr>
          <w:rStyle w:val="18"/>
          <w:rFonts w:hAnsi="宋体" w:cs="宋体"/>
          <w:b/>
          <w:bCs/>
          <w:szCs w:val="21"/>
        </w:rPr>
      </w:pPr>
    </w:p>
    <w:p w14:paraId="4AEE4B32">
      <w:pPr>
        <w:spacing w:line="360" w:lineRule="auto"/>
        <w:rPr>
          <w:rStyle w:val="18"/>
          <w:rFonts w:hAnsi="宋体" w:cs="宋体"/>
          <w:b/>
          <w:bCs/>
          <w:szCs w:val="21"/>
        </w:rPr>
      </w:pPr>
    </w:p>
    <w:p w14:paraId="5E1A8367">
      <w:pPr>
        <w:spacing w:line="360" w:lineRule="auto"/>
        <w:rPr>
          <w:rStyle w:val="18"/>
          <w:rFonts w:hAnsi="宋体" w:cs="宋体"/>
          <w:b/>
          <w:bCs/>
          <w:szCs w:val="21"/>
        </w:rPr>
      </w:pPr>
    </w:p>
    <w:p w14:paraId="6FA21346">
      <w:pPr>
        <w:spacing w:line="360" w:lineRule="auto"/>
        <w:rPr>
          <w:rStyle w:val="18"/>
          <w:rFonts w:hAnsi="宋体" w:cs="宋体"/>
          <w:b/>
          <w:bCs/>
          <w:szCs w:val="21"/>
        </w:rPr>
      </w:pPr>
    </w:p>
    <w:p w14:paraId="3253BB1E">
      <w:pPr>
        <w:spacing w:line="360" w:lineRule="auto"/>
        <w:rPr>
          <w:rStyle w:val="18"/>
          <w:rFonts w:hAnsi="宋体" w:cs="宋体"/>
          <w:b/>
          <w:bCs/>
          <w:szCs w:val="21"/>
        </w:rPr>
      </w:pPr>
    </w:p>
    <w:p w14:paraId="0B95D1C8">
      <w:pPr>
        <w:spacing w:line="360" w:lineRule="auto"/>
        <w:rPr>
          <w:rStyle w:val="18"/>
          <w:rFonts w:hAnsi="宋体" w:cs="宋体"/>
          <w:b/>
          <w:bCs/>
          <w:szCs w:val="21"/>
        </w:rPr>
      </w:pPr>
    </w:p>
    <w:p w14:paraId="5A3A11A7">
      <w:pPr>
        <w:spacing w:line="360" w:lineRule="auto"/>
        <w:rPr>
          <w:rStyle w:val="18"/>
          <w:rFonts w:hAnsi="宋体" w:cs="宋体"/>
          <w:b/>
          <w:bCs/>
          <w:szCs w:val="21"/>
        </w:rPr>
      </w:pPr>
    </w:p>
    <w:p w14:paraId="327F7BC8">
      <w:pPr>
        <w:spacing w:line="360" w:lineRule="auto"/>
        <w:rPr>
          <w:rStyle w:val="18"/>
          <w:rFonts w:hAnsi="宋体" w:cs="宋体"/>
          <w:b/>
          <w:bCs/>
          <w:szCs w:val="21"/>
        </w:rPr>
      </w:pPr>
    </w:p>
    <w:p w14:paraId="5F778C6E">
      <w:pPr>
        <w:spacing w:line="360" w:lineRule="auto"/>
        <w:rPr>
          <w:rStyle w:val="18"/>
          <w:rFonts w:hAnsi="宋体" w:cs="宋体"/>
          <w:b/>
          <w:bCs/>
          <w:szCs w:val="21"/>
        </w:rPr>
      </w:pPr>
    </w:p>
    <w:p w14:paraId="2B9BC478">
      <w:pPr>
        <w:spacing w:line="360" w:lineRule="auto"/>
        <w:rPr>
          <w:rStyle w:val="18"/>
          <w:rFonts w:hAnsi="宋体" w:cs="宋体"/>
          <w:b/>
          <w:bCs/>
          <w:szCs w:val="21"/>
        </w:rPr>
      </w:pPr>
    </w:p>
    <w:p w14:paraId="05863D42">
      <w:pPr>
        <w:spacing w:line="360" w:lineRule="auto"/>
        <w:rPr>
          <w:rStyle w:val="18"/>
          <w:rFonts w:hAnsi="宋体" w:cs="宋体"/>
          <w:b/>
          <w:bCs/>
          <w:szCs w:val="21"/>
        </w:rPr>
      </w:pPr>
    </w:p>
    <w:p w14:paraId="0B9BA52B">
      <w:pPr>
        <w:spacing w:line="360" w:lineRule="auto"/>
        <w:rPr>
          <w:rStyle w:val="18"/>
          <w:rFonts w:hAnsi="宋体" w:cs="宋体"/>
          <w:b/>
          <w:bCs/>
          <w:szCs w:val="21"/>
        </w:rPr>
      </w:pPr>
    </w:p>
    <w:p w14:paraId="2C88D3EB">
      <w:pPr>
        <w:spacing w:line="360" w:lineRule="auto"/>
        <w:rPr>
          <w:rStyle w:val="18"/>
          <w:rFonts w:hAnsi="宋体" w:cs="宋体"/>
          <w:b/>
          <w:bCs/>
          <w:szCs w:val="21"/>
        </w:rPr>
      </w:pPr>
    </w:p>
    <w:p w14:paraId="0740AC60">
      <w:pPr>
        <w:spacing w:line="360" w:lineRule="auto"/>
        <w:rPr>
          <w:rStyle w:val="18"/>
          <w:rFonts w:hAnsi="宋体" w:cs="宋体"/>
          <w:b/>
          <w:bCs/>
          <w:szCs w:val="21"/>
        </w:rPr>
      </w:pPr>
    </w:p>
    <w:p w14:paraId="7058E618">
      <w:pPr>
        <w:spacing w:line="360" w:lineRule="auto"/>
        <w:rPr>
          <w:rStyle w:val="18"/>
          <w:rFonts w:hAnsi="宋体" w:cs="宋体"/>
          <w:b/>
          <w:bCs/>
          <w:szCs w:val="21"/>
        </w:rPr>
      </w:pPr>
    </w:p>
    <w:p w14:paraId="06749A64">
      <w:pPr>
        <w:spacing w:line="360" w:lineRule="auto"/>
        <w:rPr>
          <w:rStyle w:val="18"/>
          <w:rFonts w:hAnsi="宋体" w:cs="宋体"/>
          <w:b/>
          <w:bCs/>
          <w:szCs w:val="21"/>
        </w:rPr>
      </w:pPr>
    </w:p>
    <w:p w14:paraId="3F0B3C63">
      <w:pPr>
        <w:spacing w:line="360" w:lineRule="auto"/>
        <w:rPr>
          <w:rStyle w:val="18"/>
          <w:rFonts w:hAnsi="宋体" w:cs="宋体"/>
          <w:b/>
          <w:bCs/>
          <w:szCs w:val="21"/>
        </w:rPr>
      </w:pPr>
    </w:p>
    <w:p w14:paraId="2A7A5737">
      <w:pPr>
        <w:pStyle w:val="17"/>
        <w:ind w:firstLine="0" w:firstLineChars="0"/>
        <w:rPr>
          <w:rStyle w:val="18"/>
          <w:rFonts w:hAnsi="宋体" w:cs="宋体" w:asciiTheme="minorHAnsi"/>
          <w:b/>
          <w:bCs/>
          <w:szCs w:val="21"/>
        </w:rPr>
      </w:pPr>
    </w:p>
    <w:p w14:paraId="1BFA4413">
      <w:pPr>
        <w:pStyle w:val="17"/>
        <w:ind w:firstLine="0" w:firstLineChars="0"/>
        <w:rPr>
          <w:rStyle w:val="18"/>
          <w:rFonts w:hAnsi="宋体" w:cs="宋体" w:asciiTheme="minorHAnsi"/>
          <w:b/>
          <w:bCs/>
          <w:szCs w:val="21"/>
        </w:rPr>
      </w:pPr>
    </w:p>
    <w:p w14:paraId="3C001377">
      <w:pPr>
        <w:pStyle w:val="17"/>
        <w:ind w:firstLine="0" w:firstLineChars="0"/>
        <w:rPr>
          <w:rStyle w:val="18"/>
          <w:rFonts w:hAnsi="宋体" w:cs="宋体" w:asciiTheme="minorHAnsi"/>
          <w:b/>
          <w:bCs/>
          <w:szCs w:val="21"/>
        </w:rPr>
      </w:pPr>
    </w:p>
    <w:p w14:paraId="29FC051C">
      <w:pPr>
        <w:pStyle w:val="17"/>
        <w:ind w:firstLine="0" w:firstLineChars="0"/>
        <w:rPr>
          <w:rStyle w:val="18"/>
          <w:rFonts w:hAnsi="宋体" w:cs="宋体" w:asciiTheme="minorHAnsi"/>
          <w:b/>
          <w:bCs/>
          <w:szCs w:val="21"/>
        </w:rPr>
      </w:pPr>
    </w:p>
    <w:p w14:paraId="37C1D7CB">
      <w:pPr>
        <w:pStyle w:val="17"/>
        <w:ind w:firstLine="0" w:firstLineChars="0"/>
        <w:rPr>
          <w:rStyle w:val="18"/>
          <w:rFonts w:hAnsi="宋体" w:cs="宋体" w:asciiTheme="minorHAnsi"/>
          <w:b/>
          <w:bCs/>
          <w:szCs w:val="21"/>
        </w:rPr>
      </w:pPr>
    </w:p>
    <w:p w14:paraId="123247C4">
      <w:pPr>
        <w:pStyle w:val="17"/>
        <w:ind w:firstLine="0" w:firstLineChars="0"/>
        <w:rPr>
          <w:rStyle w:val="18"/>
          <w:rFonts w:hAnsi="宋体" w:cs="宋体" w:asciiTheme="minorHAnsi"/>
          <w:b/>
          <w:bCs/>
          <w:szCs w:val="21"/>
        </w:rPr>
      </w:pPr>
    </w:p>
    <w:p w14:paraId="57827377">
      <w:pPr>
        <w:pStyle w:val="17"/>
        <w:ind w:firstLine="0" w:firstLineChars="0"/>
        <w:rPr>
          <w:rStyle w:val="18"/>
          <w:rFonts w:hAnsi="宋体" w:cs="宋体" w:asciiTheme="minorHAnsi"/>
          <w:b/>
          <w:bCs/>
          <w:szCs w:val="21"/>
        </w:rPr>
      </w:pPr>
    </w:p>
    <w:p w14:paraId="2A11629D">
      <w:pPr>
        <w:pStyle w:val="17"/>
        <w:ind w:firstLine="0" w:firstLineChars="0"/>
        <w:rPr>
          <w:rStyle w:val="18"/>
          <w:rFonts w:hAnsi="宋体" w:cs="宋体" w:asciiTheme="minorHAnsi"/>
          <w:b/>
          <w:bCs/>
          <w:szCs w:val="21"/>
        </w:rPr>
      </w:pPr>
    </w:p>
    <w:p w14:paraId="041B19EC">
      <w:pPr>
        <w:pStyle w:val="17"/>
        <w:ind w:firstLine="0" w:firstLineChars="0"/>
        <w:rPr>
          <w:rStyle w:val="18"/>
          <w:rFonts w:hAnsi="宋体" w:cs="宋体" w:asciiTheme="minorHAnsi"/>
          <w:b/>
          <w:bCs/>
          <w:szCs w:val="21"/>
        </w:rPr>
      </w:pPr>
    </w:p>
    <w:p w14:paraId="2395AB90">
      <w:pPr>
        <w:pStyle w:val="17"/>
        <w:ind w:firstLine="0" w:firstLineChars="0"/>
        <w:rPr>
          <w:rStyle w:val="18"/>
          <w:rFonts w:hAnsi="宋体" w:cs="宋体" w:asciiTheme="minorHAnsi"/>
          <w:b/>
          <w:bCs/>
          <w:szCs w:val="21"/>
        </w:rPr>
      </w:pPr>
    </w:p>
    <w:p w14:paraId="1CC37928">
      <w:pPr>
        <w:pStyle w:val="17"/>
        <w:ind w:firstLine="0" w:firstLineChars="0"/>
        <w:rPr>
          <w:rStyle w:val="18"/>
          <w:rFonts w:hAnsi="宋体" w:cs="宋体" w:asciiTheme="minorHAnsi"/>
          <w:b/>
          <w:bCs/>
          <w:szCs w:val="21"/>
        </w:rPr>
      </w:pPr>
    </w:p>
    <w:p w14:paraId="15406867">
      <w:pPr>
        <w:pStyle w:val="17"/>
        <w:ind w:firstLine="0" w:firstLineChars="0"/>
        <w:rPr>
          <w:rStyle w:val="18"/>
          <w:rFonts w:hAnsi="宋体" w:cs="宋体" w:asciiTheme="minorHAnsi"/>
          <w:b/>
          <w:bCs/>
          <w:szCs w:val="21"/>
        </w:rPr>
      </w:pPr>
    </w:p>
    <w:p w14:paraId="0041462A">
      <w:pPr>
        <w:pStyle w:val="17"/>
        <w:ind w:firstLine="0" w:firstLineChars="0"/>
        <w:rPr>
          <w:rStyle w:val="18"/>
          <w:rFonts w:hAnsi="宋体" w:cs="宋体" w:asciiTheme="minorHAnsi"/>
          <w:b/>
          <w:bCs/>
          <w:szCs w:val="21"/>
        </w:rPr>
      </w:pPr>
    </w:p>
    <w:p w14:paraId="20F4C26F">
      <w:pPr>
        <w:pStyle w:val="17"/>
        <w:ind w:firstLine="0" w:firstLineChars="0"/>
        <w:rPr>
          <w:rStyle w:val="18"/>
          <w:rFonts w:hAnsi="宋体" w:cs="宋体" w:asciiTheme="minorHAnsi"/>
          <w:b/>
          <w:bCs/>
          <w:szCs w:val="21"/>
        </w:rPr>
      </w:pPr>
    </w:p>
    <w:p w14:paraId="30FC8F43">
      <w:pPr>
        <w:pStyle w:val="17"/>
        <w:ind w:firstLine="0" w:firstLineChars="0"/>
        <w:rPr>
          <w:rStyle w:val="18"/>
          <w:rFonts w:hAnsi="宋体" w:cs="宋体" w:asciiTheme="minorHAnsi"/>
          <w:b/>
          <w:bCs/>
          <w:szCs w:val="21"/>
        </w:rPr>
      </w:pPr>
    </w:p>
    <w:p w14:paraId="62BCED6A">
      <w:pPr>
        <w:pStyle w:val="17"/>
        <w:ind w:firstLine="0" w:firstLineChars="0"/>
        <w:rPr>
          <w:rStyle w:val="18"/>
          <w:rFonts w:hAnsi="宋体" w:cs="宋体" w:asciiTheme="minorHAnsi"/>
          <w:b/>
          <w:bCs/>
          <w:szCs w:val="21"/>
        </w:rPr>
      </w:pPr>
    </w:p>
    <w:p w14:paraId="2D662D8D">
      <w:pPr>
        <w:pStyle w:val="17"/>
        <w:ind w:firstLine="0" w:firstLineChars="0"/>
        <w:rPr>
          <w:rStyle w:val="18"/>
          <w:rFonts w:hAnsi="宋体" w:cs="宋体" w:asciiTheme="minorHAnsi"/>
          <w:b/>
          <w:bCs/>
          <w:szCs w:val="21"/>
        </w:rPr>
      </w:pPr>
    </w:p>
    <w:p w14:paraId="1D6D7747">
      <w:pPr>
        <w:pStyle w:val="17"/>
        <w:ind w:firstLine="0" w:firstLineChars="0"/>
        <w:rPr>
          <w:rStyle w:val="18"/>
          <w:rFonts w:hAnsi="宋体" w:cs="宋体" w:asciiTheme="minorHAnsi"/>
          <w:b/>
          <w:bCs/>
          <w:szCs w:val="21"/>
        </w:rPr>
      </w:pPr>
    </w:p>
    <w:p w14:paraId="6FB32896">
      <w:pPr>
        <w:pStyle w:val="17"/>
        <w:ind w:firstLine="0" w:firstLineChars="0"/>
        <w:rPr>
          <w:rStyle w:val="18"/>
          <w:rFonts w:hAnsi="宋体" w:cs="宋体" w:asciiTheme="minorHAnsi"/>
          <w:b/>
          <w:bCs/>
          <w:szCs w:val="21"/>
        </w:rPr>
      </w:pPr>
    </w:p>
    <w:p w14:paraId="45546183">
      <w:pPr>
        <w:pStyle w:val="3"/>
        <w:rPr>
          <w:rStyle w:val="18"/>
          <w:rFonts w:hAnsi="宋体" w:eastAsia="宋体" w:cs="宋体"/>
          <w:b/>
          <w:bCs/>
          <w:sz w:val="32"/>
          <w:szCs w:val="28"/>
        </w:rPr>
      </w:pPr>
    </w:p>
    <w:p w14:paraId="241DEDAB">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64439C28">
      <w:pPr>
        <w:pStyle w:val="17"/>
        <w:ind w:firstLine="0" w:firstLineChars="0"/>
        <w:rPr>
          <w:rStyle w:val="18"/>
          <w:rFonts w:hAnsi="宋体" w:cs="宋体" w:asciiTheme="minorHAnsi"/>
          <w:b/>
          <w:bCs/>
          <w:szCs w:val="21"/>
        </w:rPr>
      </w:pPr>
      <w:r>
        <w:rPr>
          <w:rStyle w:val="18"/>
          <w:rFonts w:hint="eastAsia" w:hAnsi="宋体" w:cs="宋体" w:asciiTheme="minorHAnsi"/>
          <w:b/>
          <w:bCs/>
          <w:szCs w:val="21"/>
          <w:lang w:val="en-US" w:eastAsia="zh-CN"/>
        </w:rPr>
        <w:t>十一</w:t>
      </w:r>
      <w:r>
        <w:rPr>
          <w:rStyle w:val="18"/>
          <w:rFonts w:hint="eastAsia" w:hAnsi="宋体" w:cs="宋体" w:asciiTheme="minorHAnsi"/>
          <w:b/>
          <w:bCs/>
          <w:szCs w:val="21"/>
        </w:rPr>
        <w:t>、供应商认为需要提供的其他材料（如产品彩页</w:t>
      </w:r>
      <w:r>
        <w:rPr>
          <w:rStyle w:val="18"/>
          <w:rFonts w:hint="eastAsia" w:hAnsi="宋体" w:cs="宋体" w:asciiTheme="minorHAnsi"/>
          <w:b/>
          <w:bCs/>
          <w:szCs w:val="21"/>
          <w:lang w:eastAsia="zh-CN"/>
        </w:rPr>
        <w:t>、</w:t>
      </w:r>
      <w:r>
        <w:rPr>
          <w:rStyle w:val="18"/>
          <w:rFonts w:hint="eastAsia" w:hAnsi="宋体" w:cs="宋体" w:asciiTheme="minorHAnsi"/>
          <w:b/>
          <w:bCs/>
          <w:szCs w:val="21"/>
          <w:lang w:val="en-US" w:eastAsia="zh-CN"/>
        </w:rPr>
        <w:t>说明书</w:t>
      </w:r>
      <w:r>
        <w:rPr>
          <w:rStyle w:val="18"/>
          <w:rFonts w:hint="eastAsia" w:hAnsi="宋体" w:cs="宋体" w:asciiTheme="minorHAnsi"/>
          <w:b/>
          <w:bCs/>
          <w:szCs w:val="21"/>
        </w:rPr>
        <w:t>等资料，如无可删）</w:t>
      </w:r>
    </w:p>
    <w:p w14:paraId="2B0BCDF2">
      <w:pPr>
        <w:pStyle w:val="4"/>
        <w:spacing w:line="360" w:lineRule="auto"/>
        <w:jc w:val="center"/>
        <w:rPr>
          <w:rFonts w:ascii="宋体" w:hAnsi="宋体" w:eastAsia="宋体" w:cs="宋体"/>
        </w:rPr>
      </w:pPr>
    </w:p>
    <w:p w14:paraId="3E2172A3">
      <w:pPr>
        <w:pStyle w:val="4"/>
        <w:spacing w:line="360" w:lineRule="auto"/>
        <w:jc w:val="center"/>
        <w:rPr>
          <w:rFonts w:ascii="宋体" w:hAnsi="宋体" w:eastAsia="宋体" w:cs="宋体"/>
        </w:rPr>
      </w:pPr>
    </w:p>
    <w:p w14:paraId="1C553ABD">
      <w:pPr>
        <w:pStyle w:val="4"/>
        <w:spacing w:line="360" w:lineRule="auto"/>
        <w:jc w:val="center"/>
        <w:rPr>
          <w:rFonts w:ascii="宋体" w:hAnsi="宋体" w:eastAsia="宋体" w:cs="宋体"/>
        </w:rPr>
      </w:pPr>
    </w:p>
    <w:p w14:paraId="1FFE24AE">
      <w:pPr>
        <w:pStyle w:val="4"/>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3"/>
        <w:rPr>
          <w:rStyle w:val="18"/>
          <w:rFonts w:hAnsi="宋体" w:eastAsia="宋体" w:cs="宋体"/>
          <w:b/>
          <w:bCs/>
          <w:sz w:val="32"/>
          <w:szCs w:val="28"/>
        </w:rPr>
      </w:pPr>
    </w:p>
    <w:p w14:paraId="0FFF3795">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3D9906E6">
      <w:pPr>
        <w:pStyle w:val="17"/>
        <w:ind w:firstLine="0" w:firstLineChars="0"/>
        <w:rPr>
          <w:rStyle w:val="18"/>
          <w:rFonts w:hAnsi="宋体" w:cs="宋体" w:asciiTheme="minorHAnsi"/>
          <w:b/>
          <w:bCs/>
          <w:szCs w:val="21"/>
        </w:rPr>
      </w:pPr>
      <w:r>
        <w:rPr>
          <w:rStyle w:val="18"/>
          <w:rFonts w:hint="eastAsia" w:hAnsi="宋体" w:cs="宋体" w:asciiTheme="minorHAnsi"/>
          <w:b/>
          <w:bCs/>
          <w:szCs w:val="21"/>
        </w:rPr>
        <w:t>十</w:t>
      </w:r>
      <w:r>
        <w:rPr>
          <w:rStyle w:val="18"/>
          <w:rFonts w:hint="eastAsia" w:hAnsi="宋体" w:cs="宋体" w:asciiTheme="minorHAnsi"/>
          <w:b/>
          <w:bCs/>
          <w:szCs w:val="21"/>
          <w:lang w:val="en-US" w:eastAsia="zh-CN"/>
        </w:rPr>
        <w:t>二</w:t>
      </w:r>
      <w:r>
        <w:rPr>
          <w:rStyle w:val="18"/>
          <w:rFonts w:hint="eastAsia" w:hAnsi="宋体" w:cs="宋体" w:asciiTheme="minorHAnsi"/>
          <w:b/>
          <w:bCs/>
          <w:szCs w:val="21"/>
        </w:rPr>
        <w:t>、报价单</w:t>
      </w:r>
    </w:p>
    <w:p w14:paraId="1C341FE1">
      <w:pPr>
        <w:spacing w:line="360" w:lineRule="auto"/>
        <w:jc w:val="left"/>
        <w:outlineLvl w:val="1"/>
        <w:rPr>
          <w:rStyle w:val="18"/>
          <w:rFonts w:ascii="宋体" w:hAnsi="宋体" w:eastAsia="宋体" w:cs="宋体"/>
          <w:b/>
          <w:bCs/>
          <w:szCs w:val="21"/>
        </w:rPr>
      </w:pPr>
    </w:p>
    <w:p w14:paraId="5BE99235">
      <w:pPr>
        <w:pStyle w:val="17"/>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4"/>
        <w:tblW w:w="9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2471"/>
        <w:gridCol w:w="1329"/>
        <w:gridCol w:w="849"/>
        <w:gridCol w:w="580"/>
        <w:gridCol w:w="774"/>
        <w:gridCol w:w="1061"/>
        <w:gridCol w:w="878"/>
        <w:gridCol w:w="1287"/>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578"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 w:val="21"/>
                <w:szCs w:val="21"/>
              </w:rPr>
            </w:pPr>
            <w:r>
              <w:rPr>
                <w:rFonts w:hint="eastAsia" w:ascii="宋体" w:hAnsi="宋体" w:eastAsia="宋体" w:cs="宋体"/>
                <w:b/>
                <w:bCs/>
                <w:kern w:val="0"/>
                <w:sz w:val="21"/>
                <w:szCs w:val="21"/>
              </w:rPr>
              <w:t>序号</w:t>
            </w:r>
          </w:p>
        </w:tc>
        <w:tc>
          <w:tcPr>
            <w:tcW w:w="2471" w:type="dxa"/>
            <w:vAlign w:val="center"/>
          </w:tcPr>
          <w:p w14:paraId="1D2FC5B0">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采购项目</w:t>
            </w:r>
          </w:p>
        </w:tc>
        <w:tc>
          <w:tcPr>
            <w:tcW w:w="1329" w:type="dxa"/>
            <w:vAlign w:val="center"/>
          </w:tcPr>
          <w:p w14:paraId="7A56F75F">
            <w:pPr>
              <w:widowControl/>
              <w:snapToGrid w:val="0"/>
              <w:spacing w:line="240" w:lineRule="auto"/>
              <w:ind w:left="0" w:leftChars="0" w:right="0" w:rightChars="0" w:firstLine="0" w:firstLineChars="0"/>
              <w:jc w:val="center"/>
              <w:rPr>
                <w:rFonts w:hint="default" w:ascii="宋体" w:hAnsi="宋体" w:eastAsia="宋体" w:cs="宋体"/>
                <w:b/>
                <w:bCs/>
                <w:kern w:val="0"/>
                <w:sz w:val="18"/>
                <w:szCs w:val="18"/>
                <w:lang w:val="en-US"/>
              </w:rPr>
            </w:pPr>
            <w:r>
              <w:rPr>
                <w:rFonts w:hint="eastAsia" w:ascii="宋体" w:hAnsi="宋体" w:eastAsia="宋体" w:cs="宋体"/>
                <w:b/>
                <w:bCs/>
                <w:kern w:val="0"/>
                <w:sz w:val="18"/>
                <w:szCs w:val="18"/>
                <w:lang w:val="en-US" w:eastAsia="zh-CN"/>
              </w:rPr>
              <w:t>品牌/生产厂</w:t>
            </w:r>
            <w:bookmarkStart w:id="16" w:name="_GoBack"/>
            <w:bookmarkEnd w:id="16"/>
            <w:r>
              <w:rPr>
                <w:rFonts w:hint="eastAsia" w:ascii="宋体" w:hAnsi="宋体" w:eastAsia="宋体" w:cs="宋体"/>
                <w:b/>
                <w:bCs/>
                <w:kern w:val="0"/>
                <w:sz w:val="18"/>
                <w:szCs w:val="18"/>
                <w:lang w:val="en-US" w:eastAsia="zh-CN"/>
              </w:rPr>
              <w:t>家</w:t>
            </w:r>
          </w:p>
        </w:tc>
        <w:tc>
          <w:tcPr>
            <w:tcW w:w="849" w:type="dxa"/>
            <w:vAlign w:val="center"/>
          </w:tcPr>
          <w:p w14:paraId="0C59706C">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质保期</w:t>
            </w:r>
          </w:p>
          <w:p w14:paraId="5E50135C">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lang w:eastAsia="zh-CN"/>
              </w:rPr>
            </w:pPr>
            <w:r>
              <w:rPr>
                <w:rFonts w:hint="eastAsia" w:ascii="宋体" w:hAnsi="宋体" w:eastAsia="宋体" w:cs="宋体"/>
                <w:b/>
                <w:bCs/>
                <w:kern w:val="0"/>
                <w:sz w:val="18"/>
                <w:szCs w:val="18"/>
                <w:lang w:eastAsia="zh-CN"/>
              </w:rPr>
              <w:t>（</w:t>
            </w:r>
            <w:r>
              <w:rPr>
                <w:rFonts w:hint="eastAsia" w:ascii="宋体" w:hAnsi="宋体" w:eastAsia="宋体" w:cs="宋体"/>
                <w:b/>
                <w:bCs/>
                <w:kern w:val="0"/>
                <w:sz w:val="18"/>
                <w:szCs w:val="18"/>
                <w:lang w:val="en-US" w:eastAsia="zh-CN"/>
              </w:rPr>
              <w:t>年</w:t>
            </w:r>
            <w:r>
              <w:rPr>
                <w:rFonts w:hint="eastAsia" w:ascii="宋体" w:hAnsi="宋体" w:eastAsia="宋体" w:cs="宋体"/>
                <w:b/>
                <w:bCs/>
                <w:kern w:val="0"/>
                <w:sz w:val="18"/>
                <w:szCs w:val="18"/>
                <w:lang w:eastAsia="zh-CN"/>
              </w:rPr>
              <w:t>）</w:t>
            </w:r>
          </w:p>
        </w:tc>
        <w:tc>
          <w:tcPr>
            <w:tcW w:w="580" w:type="dxa"/>
            <w:vAlign w:val="center"/>
          </w:tcPr>
          <w:p w14:paraId="7428B9BB">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单位</w:t>
            </w:r>
          </w:p>
        </w:tc>
        <w:tc>
          <w:tcPr>
            <w:tcW w:w="774"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预估</w:t>
            </w:r>
            <w:r>
              <w:rPr>
                <w:rFonts w:hint="eastAsia" w:ascii="宋体" w:hAnsi="宋体" w:eastAsia="宋体" w:cs="宋体"/>
                <w:b/>
                <w:bCs/>
                <w:kern w:val="0"/>
                <w:sz w:val="21"/>
                <w:szCs w:val="21"/>
              </w:rPr>
              <w:t>数量</w:t>
            </w:r>
          </w:p>
        </w:tc>
        <w:tc>
          <w:tcPr>
            <w:tcW w:w="1061" w:type="dxa"/>
            <w:vAlign w:val="center"/>
          </w:tcPr>
          <w:p w14:paraId="258AF549">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lang w:val="en-US" w:eastAsia="zh-CN"/>
              </w:rPr>
            </w:pPr>
            <w:r>
              <w:rPr>
                <w:rFonts w:hint="eastAsia" w:ascii="宋体" w:hAnsi="宋体" w:eastAsia="宋体" w:cs="宋体"/>
                <w:b/>
                <w:bCs/>
                <w:kern w:val="0"/>
                <w:sz w:val="18"/>
                <w:szCs w:val="18"/>
                <w:lang w:val="en-US" w:eastAsia="zh-CN"/>
              </w:rPr>
              <w:t>最高单价限价</w:t>
            </w:r>
          </w:p>
          <w:p w14:paraId="39007F9C">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18"/>
                <w:szCs w:val="18"/>
                <w:lang w:val="en-US" w:eastAsia="zh-CN"/>
              </w:rPr>
              <w:t>（元）</w:t>
            </w:r>
          </w:p>
        </w:tc>
        <w:tc>
          <w:tcPr>
            <w:tcW w:w="878" w:type="dxa"/>
            <w:vAlign w:val="center"/>
          </w:tcPr>
          <w:p w14:paraId="190F1ABE">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单价</w:t>
            </w:r>
          </w:p>
          <w:p w14:paraId="1485187D">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（元）</w:t>
            </w:r>
          </w:p>
        </w:tc>
        <w:tc>
          <w:tcPr>
            <w:tcW w:w="1287" w:type="dxa"/>
            <w:vAlign w:val="center"/>
          </w:tcPr>
          <w:p w14:paraId="683E0F57">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小计</w:t>
            </w:r>
          </w:p>
          <w:p w14:paraId="3A2819C5">
            <w:pPr>
              <w:widowControl/>
              <w:snapToGrid w:val="0"/>
              <w:spacing w:line="240" w:lineRule="auto"/>
              <w:ind w:left="0" w:leftChars="0" w:right="0" w:rightChars="0" w:firstLine="0" w:firstLineChars="0"/>
              <w:jc w:val="center"/>
              <w:rPr>
                <w:rFonts w:ascii="宋体" w:hAnsi="宋体" w:eastAsia="宋体" w:cs="宋体"/>
                <w:b/>
                <w:bCs/>
                <w:kern w:val="0"/>
                <w:sz w:val="21"/>
                <w:szCs w:val="21"/>
              </w:rPr>
            </w:pPr>
            <w:r>
              <w:rPr>
                <w:rFonts w:hint="eastAsia" w:ascii="宋体" w:hAnsi="宋体" w:eastAsia="宋体" w:cs="宋体"/>
                <w:b/>
                <w:bCs/>
                <w:kern w:val="0"/>
                <w:sz w:val="21"/>
                <w:szCs w:val="21"/>
              </w:rPr>
              <w:t>（元）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8" w:type="dxa"/>
            <w:vAlign w:val="center"/>
          </w:tcPr>
          <w:p w14:paraId="288604F3">
            <w:pPr>
              <w:widowControl/>
              <w:snapToGrid w:val="0"/>
              <w:ind w:left="0" w:leftChars="0" w:right="0" w:rightChars="0" w:firstLine="0" w:firstLineChars="0"/>
              <w:jc w:val="center"/>
              <w:textAlignment w:val="center"/>
              <w:rPr>
                <w:rFonts w:ascii="宋体" w:hAnsi="仿宋" w:eastAsia="宋体" w:cs="仿宋"/>
                <w:color w:val="000000"/>
                <w:sz w:val="20"/>
                <w:szCs w:val="24"/>
              </w:rPr>
            </w:pPr>
            <w:r>
              <w:rPr>
                <w:rFonts w:hint="eastAsia" w:ascii="宋体" w:hAnsi="仿宋" w:eastAsia="宋体" w:cs="仿宋"/>
                <w:color w:val="000000"/>
                <w:kern w:val="0"/>
                <w:sz w:val="20"/>
                <w:szCs w:val="24"/>
              </w:rPr>
              <w:t>1</w:t>
            </w:r>
          </w:p>
        </w:tc>
        <w:tc>
          <w:tcPr>
            <w:tcW w:w="2471" w:type="dxa"/>
            <w:shd w:val="clear" w:color="auto" w:fill="auto"/>
            <w:vAlign w:val="center"/>
          </w:tcPr>
          <w:p w14:paraId="0AFC6F7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default" w:ascii="宋体" w:hAnsi="仿宋" w:eastAsia="宋体" w:cs="仿宋"/>
                <w:b w:val="0"/>
                <w:bCs/>
                <w:color w:val="000000" w:themeColor="text1"/>
                <w:kern w:val="2"/>
                <w:sz w:val="20"/>
                <w:szCs w:val="24"/>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大号标准器械篮筐</w:t>
            </w:r>
          </w:p>
        </w:tc>
        <w:tc>
          <w:tcPr>
            <w:tcW w:w="1329" w:type="dxa"/>
            <w:shd w:val="clear" w:color="auto" w:fill="auto"/>
            <w:vAlign w:val="center"/>
          </w:tcPr>
          <w:p w14:paraId="3CBBEA33">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9" w:type="dxa"/>
            <w:shd w:val="clear" w:color="auto" w:fill="auto"/>
            <w:vAlign w:val="center"/>
          </w:tcPr>
          <w:p w14:paraId="249B8DBC">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80" w:type="dxa"/>
            <w:vAlign w:val="center"/>
          </w:tcPr>
          <w:p w14:paraId="76D52059">
            <w:pPr>
              <w:snapToGrid w:val="0"/>
              <w:spacing w:line="240" w:lineRule="auto"/>
              <w:ind w:left="0" w:leftChars="0" w:right="0" w:rightChars="0" w:firstLine="0" w:firstLineChars="0"/>
              <w:jc w:val="center"/>
              <w:outlineLvl w:val="1"/>
              <w:rPr>
                <w:rFonts w:hint="eastAsia" w:ascii="宋体" w:hAnsi="仿宋" w:eastAsia="宋体" w:cs="仿宋"/>
                <w:color w:val="000000"/>
                <w:sz w:val="20"/>
                <w:szCs w:val="21"/>
                <w:lang w:val="en-US" w:eastAsia="zh-CN"/>
              </w:rPr>
            </w:pPr>
            <w:r>
              <w:rPr>
                <w:rFonts w:hint="eastAsia" w:ascii="宋体" w:hAnsi="宋体" w:eastAsia="宋体" w:cs="宋体"/>
                <w:b w:val="0"/>
                <w:bCs/>
                <w:color w:val="auto"/>
                <w:sz w:val="20"/>
                <w:szCs w:val="20"/>
                <w:highlight w:val="none"/>
                <w:vertAlign w:val="baseline"/>
                <w:lang w:val="en-US" w:eastAsia="zh-CN"/>
              </w:rPr>
              <w:t>个</w:t>
            </w:r>
          </w:p>
        </w:tc>
        <w:tc>
          <w:tcPr>
            <w:tcW w:w="774" w:type="dxa"/>
            <w:vAlign w:val="center"/>
          </w:tcPr>
          <w:p w14:paraId="2C97EE51">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 xml:space="preserve">5 </w:t>
            </w:r>
          </w:p>
        </w:tc>
        <w:tc>
          <w:tcPr>
            <w:tcW w:w="1061" w:type="dxa"/>
            <w:vAlign w:val="center"/>
          </w:tcPr>
          <w:p w14:paraId="0E6DEC41">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286</w:t>
            </w:r>
          </w:p>
        </w:tc>
        <w:tc>
          <w:tcPr>
            <w:tcW w:w="878" w:type="dxa"/>
            <w:vAlign w:val="center"/>
          </w:tcPr>
          <w:p w14:paraId="41045943">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7" w:type="dxa"/>
            <w:vAlign w:val="center"/>
          </w:tcPr>
          <w:p w14:paraId="3447CBA5">
            <w:pPr>
              <w:snapToGrid w:val="0"/>
              <w:ind w:left="0" w:leftChars="0" w:right="0" w:rightChars="0" w:firstLine="0" w:firstLineChars="0"/>
              <w:jc w:val="right"/>
              <w:rPr>
                <w:rFonts w:ascii="宋体" w:hAnsi="仿宋" w:eastAsia="宋体" w:cs="仿宋"/>
                <w:color w:val="000000"/>
                <w:sz w:val="20"/>
                <w:szCs w:val="21"/>
              </w:rPr>
            </w:pPr>
          </w:p>
        </w:tc>
      </w:tr>
      <w:tr w14:paraId="2213C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8" w:type="dxa"/>
            <w:vAlign w:val="center"/>
          </w:tcPr>
          <w:p w14:paraId="3371C50F">
            <w:pPr>
              <w:widowControl/>
              <w:snapToGrid w:val="0"/>
              <w:ind w:left="0" w:leftChars="0" w:right="0" w:rightChars="0" w:firstLine="0" w:firstLineChars="0"/>
              <w:jc w:val="center"/>
              <w:textAlignment w:val="center"/>
              <w:rPr>
                <w:rFonts w:hint="eastAsia"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2</w:t>
            </w:r>
          </w:p>
        </w:tc>
        <w:tc>
          <w:tcPr>
            <w:tcW w:w="2471" w:type="dxa"/>
            <w:shd w:val="clear" w:color="auto" w:fill="auto"/>
            <w:vAlign w:val="center"/>
          </w:tcPr>
          <w:p w14:paraId="50E43FF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宋体" w:hAnsi="仿宋" w:eastAsia="宋体" w:cs="仿宋"/>
                <w:b w:val="0"/>
                <w:bCs/>
                <w:color w:val="000000" w:themeColor="text1"/>
                <w:kern w:val="2"/>
                <w:sz w:val="20"/>
                <w:szCs w:val="24"/>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中号标准器械篮筐</w:t>
            </w:r>
          </w:p>
        </w:tc>
        <w:tc>
          <w:tcPr>
            <w:tcW w:w="1329" w:type="dxa"/>
            <w:shd w:val="clear" w:color="auto" w:fill="auto"/>
            <w:vAlign w:val="center"/>
          </w:tcPr>
          <w:p w14:paraId="0E6142F6">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9" w:type="dxa"/>
            <w:shd w:val="clear" w:color="auto" w:fill="auto"/>
            <w:vAlign w:val="center"/>
          </w:tcPr>
          <w:p w14:paraId="1C69DC2B">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80" w:type="dxa"/>
            <w:vAlign w:val="center"/>
          </w:tcPr>
          <w:p w14:paraId="230F90A4">
            <w:pPr>
              <w:snapToGrid w:val="0"/>
              <w:spacing w:line="240" w:lineRule="auto"/>
              <w:ind w:left="0" w:leftChars="0" w:right="0" w:rightChars="0" w:firstLine="0" w:firstLineChars="0"/>
              <w:jc w:val="center"/>
              <w:outlineLvl w:val="1"/>
              <w:rPr>
                <w:rFonts w:hint="eastAsia" w:ascii="宋体" w:hAnsi="仿宋" w:eastAsia="宋体" w:cs="仿宋"/>
                <w:color w:val="000000"/>
                <w:sz w:val="20"/>
                <w:szCs w:val="21"/>
                <w:lang w:val="en-US" w:eastAsia="zh-CN"/>
              </w:rPr>
            </w:pPr>
            <w:r>
              <w:rPr>
                <w:rFonts w:hint="eastAsia" w:ascii="宋体" w:hAnsi="宋体" w:eastAsia="宋体" w:cs="宋体"/>
                <w:b w:val="0"/>
                <w:bCs/>
                <w:color w:val="auto"/>
                <w:sz w:val="20"/>
                <w:szCs w:val="20"/>
                <w:highlight w:val="none"/>
                <w:vertAlign w:val="baseline"/>
                <w:lang w:val="en-US" w:eastAsia="zh-CN"/>
              </w:rPr>
              <w:t>个</w:t>
            </w:r>
          </w:p>
        </w:tc>
        <w:tc>
          <w:tcPr>
            <w:tcW w:w="774" w:type="dxa"/>
            <w:vAlign w:val="center"/>
          </w:tcPr>
          <w:p w14:paraId="25D89F65">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 xml:space="preserve">25 </w:t>
            </w:r>
          </w:p>
        </w:tc>
        <w:tc>
          <w:tcPr>
            <w:tcW w:w="1061" w:type="dxa"/>
            <w:vAlign w:val="center"/>
          </w:tcPr>
          <w:p w14:paraId="18B203D2">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280</w:t>
            </w:r>
          </w:p>
        </w:tc>
        <w:tc>
          <w:tcPr>
            <w:tcW w:w="878" w:type="dxa"/>
            <w:vAlign w:val="center"/>
          </w:tcPr>
          <w:p w14:paraId="5FFE6B0B">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7" w:type="dxa"/>
            <w:vAlign w:val="center"/>
          </w:tcPr>
          <w:p w14:paraId="10DF1931">
            <w:pPr>
              <w:snapToGrid w:val="0"/>
              <w:ind w:left="0" w:leftChars="0" w:right="0" w:rightChars="0" w:firstLine="0" w:firstLineChars="0"/>
              <w:jc w:val="right"/>
              <w:rPr>
                <w:rFonts w:ascii="宋体" w:hAnsi="仿宋" w:eastAsia="宋体" w:cs="仿宋"/>
                <w:color w:val="000000"/>
                <w:sz w:val="20"/>
                <w:szCs w:val="21"/>
              </w:rPr>
            </w:pPr>
          </w:p>
        </w:tc>
      </w:tr>
      <w:tr w14:paraId="338CB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8" w:type="dxa"/>
            <w:vAlign w:val="center"/>
          </w:tcPr>
          <w:p w14:paraId="67DC204B">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3</w:t>
            </w:r>
          </w:p>
        </w:tc>
        <w:tc>
          <w:tcPr>
            <w:tcW w:w="2471" w:type="dxa"/>
            <w:shd w:val="clear" w:color="auto" w:fill="auto"/>
            <w:vAlign w:val="center"/>
          </w:tcPr>
          <w:p w14:paraId="7D7D4B4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宋体" w:hAnsi="仿宋" w:eastAsia="宋体" w:cs="仿宋"/>
                <w:b w:val="0"/>
                <w:bCs/>
                <w:color w:val="000000" w:themeColor="text1"/>
                <w:kern w:val="2"/>
                <w:sz w:val="20"/>
                <w:szCs w:val="24"/>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小号标准器械篮筐</w:t>
            </w:r>
          </w:p>
        </w:tc>
        <w:tc>
          <w:tcPr>
            <w:tcW w:w="1329" w:type="dxa"/>
            <w:shd w:val="clear" w:color="auto" w:fill="auto"/>
            <w:vAlign w:val="center"/>
          </w:tcPr>
          <w:p w14:paraId="7C7C6DD8">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9" w:type="dxa"/>
            <w:shd w:val="clear" w:color="auto" w:fill="auto"/>
            <w:vAlign w:val="center"/>
          </w:tcPr>
          <w:p w14:paraId="121FB69D">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80" w:type="dxa"/>
            <w:vAlign w:val="center"/>
          </w:tcPr>
          <w:p w14:paraId="7DEC5847">
            <w:pPr>
              <w:snapToGrid w:val="0"/>
              <w:spacing w:line="240" w:lineRule="auto"/>
              <w:ind w:left="0" w:leftChars="0" w:right="0" w:rightChars="0" w:firstLine="0" w:firstLineChars="0"/>
              <w:jc w:val="center"/>
              <w:outlineLvl w:val="1"/>
              <w:rPr>
                <w:rFonts w:hint="eastAsia" w:ascii="宋体" w:hAnsi="仿宋" w:eastAsia="宋体" w:cs="仿宋"/>
                <w:color w:val="000000"/>
                <w:sz w:val="20"/>
                <w:szCs w:val="21"/>
                <w:lang w:val="en-US" w:eastAsia="zh-CN"/>
              </w:rPr>
            </w:pPr>
            <w:r>
              <w:rPr>
                <w:rFonts w:hint="eastAsia" w:ascii="宋体" w:hAnsi="宋体" w:eastAsia="宋体" w:cs="宋体"/>
                <w:b w:val="0"/>
                <w:bCs/>
                <w:color w:val="auto"/>
                <w:sz w:val="20"/>
                <w:szCs w:val="20"/>
                <w:highlight w:val="none"/>
                <w:vertAlign w:val="baseline"/>
                <w:lang w:val="en-US" w:eastAsia="zh-CN"/>
              </w:rPr>
              <w:t>个</w:t>
            </w:r>
          </w:p>
        </w:tc>
        <w:tc>
          <w:tcPr>
            <w:tcW w:w="774" w:type="dxa"/>
            <w:vAlign w:val="center"/>
          </w:tcPr>
          <w:p w14:paraId="6BB5AE81">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 xml:space="preserve">10 </w:t>
            </w:r>
          </w:p>
        </w:tc>
        <w:tc>
          <w:tcPr>
            <w:tcW w:w="1061" w:type="dxa"/>
            <w:vAlign w:val="center"/>
          </w:tcPr>
          <w:p w14:paraId="7D05DEA7">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260</w:t>
            </w:r>
          </w:p>
        </w:tc>
        <w:tc>
          <w:tcPr>
            <w:tcW w:w="878" w:type="dxa"/>
            <w:vAlign w:val="center"/>
          </w:tcPr>
          <w:p w14:paraId="10993129">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7" w:type="dxa"/>
            <w:vAlign w:val="center"/>
          </w:tcPr>
          <w:p w14:paraId="1DB3AB76">
            <w:pPr>
              <w:snapToGrid w:val="0"/>
              <w:ind w:left="0" w:leftChars="0" w:right="0" w:rightChars="0" w:firstLine="0" w:firstLineChars="0"/>
              <w:jc w:val="right"/>
              <w:rPr>
                <w:rFonts w:ascii="宋体" w:hAnsi="仿宋" w:eastAsia="宋体" w:cs="仿宋"/>
                <w:color w:val="000000"/>
                <w:sz w:val="20"/>
                <w:szCs w:val="21"/>
              </w:rPr>
            </w:pPr>
          </w:p>
        </w:tc>
      </w:tr>
      <w:tr w14:paraId="51615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8" w:type="dxa"/>
            <w:vAlign w:val="center"/>
          </w:tcPr>
          <w:p w14:paraId="4BF0024B">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4</w:t>
            </w:r>
          </w:p>
        </w:tc>
        <w:tc>
          <w:tcPr>
            <w:tcW w:w="2471" w:type="dxa"/>
            <w:shd w:val="clear" w:color="auto" w:fill="auto"/>
            <w:vAlign w:val="center"/>
          </w:tcPr>
          <w:p w14:paraId="4D7D5F7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宋体" w:hAnsi="仿宋" w:eastAsia="宋体" w:cs="仿宋"/>
                <w:b w:val="0"/>
                <w:bCs/>
                <w:color w:val="000000" w:themeColor="text1"/>
                <w:kern w:val="2"/>
                <w:sz w:val="20"/>
                <w:szCs w:val="24"/>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大号精密双边器械篮筐</w:t>
            </w:r>
          </w:p>
        </w:tc>
        <w:tc>
          <w:tcPr>
            <w:tcW w:w="1329" w:type="dxa"/>
            <w:shd w:val="clear" w:color="auto" w:fill="auto"/>
            <w:vAlign w:val="center"/>
          </w:tcPr>
          <w:p w14:paraId="2C73A68E">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9" w:type="dxa"/>
            <w:shd w:val="clear" w:color="auto" w:fill="auto"/>
            <w:vAlign w:val="center"/>
          </w:tcPr>
          <w:p w14:paraId="5EAACC49">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80" w:type="dxa"/>
            <w:vAlign w:val="center"/>
          </w:tcPr>
          <w:p w14:paraId="35E9ACBA">
            <w:pPr>
              <w:snapToGrid w:val="0"/>
              <w:spacing w:line="240" w:lineRule="auto"/>
              <w:ind w:left="0" w:leftChars="0" w:right="0" w:rightChars="0" w:firstLine="0" w:firstLineChars="0"/>
              <w:jc w:val="center"/>
              <w:outlineLvl w:val="1"/>
              <w:rPr>
                <w:rFonts w:hint="eastAsia" w:ascii="宋体" w:hAnsi="仿宋" w:eastAsia="宋体" w:cs="仿宋"/>
                <w:color w:val="000000"/>
                <w:sz w:val="20"/>
                <w:szCs w:val="21"/>
                <w:lang w:val="en-US" w:eastAsia="zh-CN"/>
              </w:rPr>
            </w:pPr>
            <w:r>
              <w:rPr>
                <w:rFonts w:hint="eastAsia" w:ascii="宋体" w:hAnsi="宋体" w:eastAsia="宋体" w:cs="宋体"/>
                <w:b w:val="0"/>
                <w:bCs/>
                <w:color w:val="auto"/>
                <w:sz w:val="20"/>
                <w:szCs w:val="20"/>
                <w:highlight w:val="none"/>
                <w:vertAlign w:val="baseline"/>
                <w:lang w:val="en-US" w:eastAsia="zh-CN"/>
              </w:rPr>
              <w:t>个</w:t>
            </w:r>
          </w:p>
        </w:tc>
        <w:tc>
          <w:tcPr>
            <w:tcW w:w="774" w:type="dxa"/>
            <w:vAlign w:val="center"/>
          </w:tcPr>
          <w:p w14:paraId="34E133FE">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 xml:space="preserve">12 </w:t>
            </w:r>
          </w:p>
        </w:tc>
        <w:tc>
          <w:tcPr>
            <w:tcW w:w="1061" w:type="dxa"/>
            <w:vAlign w:val="center"/>
          </w:tcPr>
          <w:p w14:paraId="71C56BD3">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390</w:t>
            </w:r>
          </w:p>
        </w:tc>
        <w:tc>
          <w:tcPr>
            <w:tcW w:w="878" w:type="dxa"/>
            <w:vAlign w:val="center"/>
          </w:tcPr>
          <w:p w14:paraId="603B0B40">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7" w:type="dxa"/>
            <w:vAlign w:val="center"/>
          </w:tcPr>
          <w:p w14:paraId="0034F4FD">
            <w:pPr>
              <w:snapToGrid w:val="0"/>
              <w:ind w:left="0" w:leftChars="0" w:right="0" w:rightChars="0" w:firstLine="0" w:firstLineChars="0"/>
              <w:jc w:val="right"/>
              <w:rPr>
                <w:rFonts w:ascii="宋体" w:hAnsi="仿宋" w:eastAsia="宋体" w:cs="仿宋"/>
                <w:color w:val="000000"/>
                <w:sz w:val="20"/>
                <w:szCs w:val="21"/>
              </w:rPr>
            </w:pPr>
          </w:p>
        </w:tc>
      </w:tr>
      <w:tr w14:paraId="13F2A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8" w:type="dxa"/>
            <w:vAlign w:val="center"/>
          </w:tcPr>
          <w:p w14:paraId="38CE03CC">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5</w:t>
            </w:r>
          </w:p>
        </w:tc>
        <w:tc>
          <w:tcPr>
            <w:tcW w:w="2471" w:type="dxa"/>
            <w:shd w:val="clear" w:color="auto" w:fill="auto"/>
            <w:vAlign w:val="center"/>
          </w:tcPr>
          <w:p w14:paraId="11667F6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宋体" w:hAnsi="仿宋" w:eastAsia="宋体" w:cs="仿宋"/>
                <w:b w:val="0"/>
                <w:bCs/>
                <w:color w:val="000000" w:themeColor="text1"/>
                <w:kern w:val="2"/>
                <w:sz w:val="20"/>
                <w:szCs w:val="24"/>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中号精密双边器械篮筐</w:t>
            </w:r>
          </w:p>
        </w:tc>
        <w:tc>
          <w:tcPr>
            <w:tcW w:w="1329" w:type="dxa"/>
            <w:shd w:val="clear" w:color="auto" w:fill="auto"/>
            <w:vAlign w:val="center"/>
          </w:tcPr>
          <w:p w14:paraId="351A0873">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9" w:type="dxa"/>
            <w:shd w:val="clear" w:color="auto" w:fill="auto"/>
            <w:vAlign w:val="center"/>
          </w:tcPr>
          <w:p w14:paraId="27EE0B15">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80" w:type="dxa"/>
            <w:vAlign w:val="center"/>
          </w:tcPr>
          <w:p w14:paraId="78F6C83B">
            <w:pPr>
              <w:snapToGrid w:val="0"/>
              <w:spacing w:line="240" w:lineRule="auto"/>
              <w:ind w:left="0" w:leftChars="0" w:right="0" w:rightChars="0" w:firstLine="0" w:firstLineChars="0"/>
              <w:jc w:val="center"/>
              <w:outlineLvl w:val="1"/>
              <w:rPr>
                <w:rFonts w:hint="eastAsia" w:ascii="宋体" w:hAnsi="仿宋" w:eastAsia="宋体" w:cs="仿宋"/>
                <w:color w:val="000000"/>
                <w:sz w:val="20"/>
                <w:szCs w:val="21"/>
                <w:lang w:val="en-US" w:eastAsia="zh-CN"/>
              </w:rPr>
            </w:pPr>
            <w:r>
              <w:rPr>
                <w:rFonts w:hint="eastAsia" w:ascii="宋体" w:hAnsi="宋体" w:eastAsia="宋体" w:cs="宋体"/>
                <w:b w:val="0"/>
                <w:bCs/>
                <w:color w:val="auto"/>
                <w:sz w:val="20"/>
                <w:szCs w:val="20"/>
                <w:highlight w:val="none"/>
                <w:vertAlign w:val="baseline"/>
                <w:lang w:val="en-US" w:eastAsia="zh-CN"/>
              </w:rPr>
              <w:t>个</w:t>
            </w:r>
          </w:p>
        </w:tc>
        <w:tc>
          <w:tcPr>
            <w:tcW w:w="774" w:type="dxa"/>
            <w:vAlign w:val="center"/>
          </w:tcPr>
          <w:p w14:paraId="3ED6D391">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 xml:space="preserve">7 </w:t>
            </w:r>
          </w:p>
        </w:tc>
        <w:tc>
          <w:tcPr>
            <w:tcW w:w="1061" w:type="dxa"/>
            <w:vAlign w:val="center"/>
          </w:tcPr>
          <w:p w14:paraId="62993E2D">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360</w:t>
            </w:r>
          </w:p>
        </w:tc>
        <w:tc>
          <w:tcPr>
            <w:tcW w:w="878" w:type="dxa"/>
            <w:vAlign w:val="center"/>
          </w:tcPr>
          <w:p w14:paraId="5D9CA253">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7" w:type="dxa"/>
            <w:vAlign w:val="center"/>
          </w:tcPr>
          <w:p w14:paraId="029C766E">
            <w:pPr>
              <w:snapToGrid w:val="0"/>
              <w:ind w:left="0" w:leftChars="0" w:right="0" w:rightChars="0" w:firstLine="0" w:firstLineChars="0"/>
              <w:jc w:val="right"/>
              <w:rPr>
                <w:rFonts w:ascii="宋体" w:hAnsi="仿宋" w:eastAsia="宋体" w:cs="仿宋"/>
                <w:color w:val="000000"/>
                <w:sz w:val="20"/>
                <w:szCs w:val="21"/>
              </w:rPr>
            </w:pPr>
          </w:p>
        </w:tc>
      </w:tr>
      <w:tr w14:paraId="4C7AF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8" w:type="dxa"/>
            <w:vAlign w:val="center"/>
          </w:tcPr>
          <w:p w14:paraId="12045A00">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6</w:t>
            </w:r>
          </w:p>
        </w:tc>
        <w:tc>
          <w:tcPr>
            <w:tcW w:w="2471" w:type="dxa"/>
            <w:shd w:val="clear" w:color="auto" w:fill="auto"/>
            <w:vAlign w:val="center"/>
          </w:tcPr>
          <w:p w14:paraId="0A8A0D3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宋体" w:hAnsi="仿宋" w:eastAsia="宋体" w:cs="仿宋"/>
                <w:b w:val="0"/>
                <w:bCs/>
                <w:color w:val="000000" w:themeColor="text1"/>
                <w:kern w:val="2"/>
                <w:sz w:val="20"/>
                <w:szCs w:val="24"/>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小号带盖、带硅胶垫精密器械篮筐</w:t>
            </w:r>
          </w:p>
        </w:tc>
        <w:tc>
          <w:tcPr>
            <w:tcW w:w="1329" w:type="dxa"/>
            <w:shd w:val="clear" w:color="auto" w:fill="auto"/>
            <w:vAlign w:val="center"/>
          </w:tcPr>
          <w:p w14:paraId="49A692C0">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9" w:type="dxa"/>
            <w:shd w:val="clear" w:color="auto" w:fill="auto"/>
            <w:vAlign w:val="center"/>
          </w:tcPr>
          <w:p w14:paraId="2F3EE1B3">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80" w:type="dxa"/>
            <w:vAlign w:val="center"/>
          </w:tcPr>
          <w:p w14:paraId="03118E8D">
            <w:pPr>
              <w:snapToGrid w:val="0"/>
              <w:spacing w:line="240" w:lineRule="auto"/>
              <w:ind w:left="0" w:leftChars="0" w:right="0" w:rightChars="0" w:firstLine="0" w:firstLineChars="0"/>
              <w:jc w:val="center"/>
              <w:outlineLvl w:val="1"/>
              <w:rPr>
                <w:rFonts w:hint="eastAsia" w:ascii="宋体" w:hAnsi="仿宋" w:eastAsia="宋体" w:cs="仿宋"/>
                <w:color w:val="000000"/>
                <w:sz w:val="20"/>
                <w:szCs w:val="21"/>
                <w:lang w:val="en-US" w:eastAsia="zh-CN"/>
              </w:rPr>
            </w:pPr>
            <w:r>
              <w:rPr>
                <w:rFonts w:hint="eastAsia" w:ascii="宋体" w:hAnsi="宋体" w:eastAsia="宋体" w:cs="宋体"/>
                <w:b w:val="0"/>
                <w:bCs/>
                <w:color w:val="auto"/>
                <w:sz w:val="20"/>
                <w:szCs w:val="20"/>
                <w:highlight w:val="none"/>
                <w:vertAlign w:val="baseline"/>
                <w:lang w:val="en-US" w:eastAsia="zh-CN"/>
              </w:rPr>
              <w:t>个</w:t>
            </w:r>
          </w:p>
        </w:tc>
        <w:tc>
          <w:tcPr>
            <w:tcW w:w="774" w:type="dxa"/>
            <w:vAlign w:val="center"/>
          </w:tcPr>
          <w:p w14:paraId="2F1453D2">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 xml:space="preserve">3 </w:t>
            </w:r>
          </w:p>
        </w:tc>
        <w:tc>
          <w:tcPr>
            <w:tcW w:w="1061" w:type="dxa"/>
            <w:vAlign w:val="center"/>
          </w:tcPr>
          <w:p w14:paraId="6FD33428">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396</w:t>
            </w:r>
          </w:p>
        </w:tc>
        <w:tc>
          <w:tcPr>
            <w:tcW w:w="878" w:type="dxa"/>
            <w:vAlign w:val="center"/>
          </w:tcPr>
          <w:p w14:paraId="11C2772D">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7" w:type="dxa"/>
            <w:vAlign w:val="center"/>
          </w:tcPr>
          <w:p w14:paraId="3287C1B3">
            <w:pPr>
              <w:snapToGrid w:val="0"/>
              <w:ind w:left="0" w:leftChars="0" w:right="0" w:rightChars="0" w:firstLine="0" w:firstLineChars="0"/>
              <w:jc w:val="right"/>
              <w:rPr>
                <w:rFonts w:ascii="宋体" w:hAnsi="仿宋" w:eastAsia="宋体" w:cs="仿宋"/>
                <w:color w:val="000000"/>
                <w:sz w:val="20"/>
                <w:szCs w:val="21"/>
              </w:rPr>
            </w:pPr>
          </w:p>
        </w:tc>
      </w:tr>
      <w:tr w14:paraId="5CB1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8" w:type="dxa"/>
            <w:vAlign w:val="center"/>
          </w:tcPr>
          <w:p w14:paraId="3A69B162">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7</w:t>
            </w:r>
          </w:p>
        </w:tc>
        <w:tc>
          <w:tcPr>
            <w:tcW w:w="2471" w:type="dxa"/>
            <w:shd w:val="clear" w:color="auto" w:fill="auto"/>
            <w:vAlign w:val="center"/>
          </w:tcPr>
          <w:p w14:paraId="3BDAB0B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宋体" w:hAnsi="仿宋" w:eastAsia="宋体" w:cs="仿宋"/>
                <w:b w:val="0"/>
                <w:bCs/>
                <w:color w:val="000000" w:themeColor="text1"/>
                <w:kern w:val="2"/>
                <w:sz w:val="20"/>
                <w:szCs w:val="24"/>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小号编织细密网带盖、带硅胶垫精密器械篮筐</w:t>
            </w:r>
          </w:p>
        </w:tc>
        <w:tc>
          <w:tcPr>
            <w:tcW w:w="1329" w:type="dxa"/>
            <w:shd w:val="clear" w:color="auto" w:fill="auto"/>
            <w:vAlign w:val="center"/>
          </w:tcPr>
          <w:p w14:paraId="4028F14A">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9" w:type="dxa"/>
            <w:shd w:val="clear" w:color="auto" w:fill="auto"/>
            <w:vAlign w:val="center"/>
          </w:tcPr>
          <w:p w14:paraId="339A6AE1">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80" w:type="dxa"/>
            <w:vAlign w:val="center"/>
          </w:tcPr>
          <w:p w14:paraId="66C7CA2D">
            <w:pPr>
              <w:snapToGrid w:val="0"/>
              <w:spacing w:line="240" w:lineRule="auto"/>
              <w:ind w:left="0" w:leftChars="0" w:right="0" w:rightChars="0" w:firstLine="0" w:firstLineChars="0"/>
              <w:jc w:val="center"/>
              <w:outlineLvl w:val="1"/>
              <w:rPr>
                <w:rFonts w:hint="eastAsia" w:ascii="宋体" w:hAnsi="仿宋" w:eastAsia="宋体" w:cs="仿宋"/>
                <w:color w:val="000000"/>
                <w:sz w:val="20"/>
                <w:szCs w:val="21"/>
                <w:lang w:val="en-US" w:eastAsia="zh-CN"/>
              </w:rPr>
            </w:pPr>
            <w:r>
              <w:rPr>
                <w:rFonts w:hint="eastAsia" w:ascii="宋体" w:hAnsi="宋体" w:eastAsia="宋体" w:cs="宋体"/>
                <w:b w:val="0"/>
                <w:bCs/>
                <w:color w:val="auto"/>
                <w:sz w:val="20"/>
                <w:szCs w:val="20"/>
                <w:highlight w:val="none"/>
                <w:vertAlign w:val="baseline"/>
                <w:lang w:val="en-US" w:eastAsia="zh-CN"/>
              </w:rPr>
              <w:t>个</w:t>
            </w:r>
          </w:p>
        </w:tc>
        <w:tc>
          <w:tcPr>
            <w:tcW w:w="774" w:type="dxa"/>
            <w:vAlign w:val="center"/>
          </w:tcPr>
          <w:p w14:paraId="26995E2F">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 xml:space="preserve">4 </w:t>
            </w:r>
          </w:p>
        </w:tc>
        <w:tc>
          <w:tcPr>
            <w:tcW w:w="1061" w:type="dxa"/>
            <w:vAlign w:val="center"/>
          </w:tcPr>
          <w:p w14:paraId="664B0342">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396</w:t>
            </w:r>
          </w:p>
        </w:tc>
        <w:tc>
          <w:tcPr>
            <w:tcW w:w="878" w:type="dxa"/>
            <w:vAlign w:val="center"/>
          </w:tcPr>
          <w:p w14:paraId="351E9B39">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7" w:type="dxa"/>
            <w:vAlign w:val="center"/>
          </w:tcPr>
          <w:p w14:paraId="47B96214">
            <w:pPr>
              <w:snapToGrid w:val="0"/>
              <w:ind w:left="0" w:leftChars="0" w:right="0" w:rightChars="0" w:firstLine="0" w:firstLineChars="0"/>
              <w:jc w:val="right"/>
              <w:rPr>
                <w:rFonts w:ascii="宋体" w:hAnsi="仿宋" w:eastAsia="宋体" w:cs="仿宋"/>
                <w:color w:val="000000"/>
                <w:sz w:val="20"/>
                <w:szCs w:val="21"/>
              </w:rPr>
            </w:pPr>
          </w:p>
        </w:tc>
      </w:tr>
      <w:tr w14:paraId="14F18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8" w:type="dxa"/>
            <w:vAlign w:val="center"/>
          </w:tcPr>
          <w:p w14:paraId="1F4223F7">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8</w:t>
            </w:r>
          </w:p>
        </w:tc>
        <w:tc>
          <w:tcPr>
            <w:tcW w:w="2471" w:type="dxa"/>
            <w:shd w:val="clear" w:color="auto" w:fill="auto"/>
            <w:vAlign w:val="center"/>
          </w:tcPr>
          <w:p w14:paraId="6382BAE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宋体" w:hAnsi="仿宋" w:eastAsia="宋体" w:cs="仿宋"/>
                <w:b w:val="0"/>
                <w:bCs/>
                <w:color w:val="000000" w:themeColor="text1"/>
                <w:kern w:val="2"/>
                <w:sz w:val="20"/>
                <w:szCs w:val="24"/>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双层带盖、带卡位硬式内窥镜器械篮筐</w:t>
            </w:r>
          </w:p>
        </w:tc>
        <w:tc>
          <w:tcPr>
            <w:tcW w:w="1329" w:type="dxa"/>
            <w:shd w:val="clear" w:color="auto" w:fill="auto"/>
            <w:vAlign w:val="center"/>
          </w:tcPr>
          <w:p w14:paraId="4EB15B4F">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9" w:type="dxa"/>
            <w:shd w:val="clear" w:color="auto" w:fill="auto"/>
            <w:vAlign w:val="center"/>
          </w:tcPr>
          <w:p w14:paraId="28077700">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80" w:type="dxa"/>
            <w:vAlign w:val="center"/>
          </w:tcPr>
          <w:p w14:paraId="0A0C5AB7">
            <w:pPr>
              <w:snapToGrid w:val="0"/>
              <w:spacing w:line="240" w:lineRule="auto"/>
              <w:ind w:left="0" w:leftChars="0" w:right="0" w:rightChars="0" w:firstLine="0" w:firstLineChars="0"/>
              <w:jc w:val="center"/>
              <w:outlineLvl w:val="1"/>
              <w:rPr>
                <w:rFonts w:hint="eastAsia" w:ascii="宋体" w:hAnsi="仿宋" w:eastAsia="宋体" w:cs="仿宋"/>
                <w:color w:val="000000"/>
                <w:sz w:val="20"/>
                <w:szCs w:val="21"/>
                <w:lang w:val="en-US" w:eastAsia="zh-CN"/>
              </w:rPr>
            </w:pPr>
            <w:r>
              <w:rPr>
                <w:rFonts w:hint="eastAsia" w:ascii="宋体" w:hAnsi="宋体" w:eastAsia="宋体" w:cs="宋体"/>
                <w:b w:val="0"/>
                <w:bCs/>
                <w:color w:val="auto"/>
                <w:sz w:val="20"/>
                <w:szCs w:val="20"/>
                <w:highlight w:val="none"/>
                <w:vertAlign w:val="baseline"/>
                <w:lang w:val="en-US" w:eastAsia="zh-CN"/>
              </w:rPr>
              <w:t>个</w:t>
            </w:r>
          </w:p>
        </w:tc>
        <w:tc>
          <w:tcPr>
            <w:tcW w:w="774" w:type="dxa"/>
            <w:vAlign w:val="center"/>
          </w:tcPr>
          <w:p w14:paraId="6E91BCA2">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 xml:space="preserve">15 </w:t>
            </w:r>
          </w:p>
        </w:tc>
        <w:tc>
          <w:tcPr>
            <w:tcW w:w="1061" w:type="dxa"/>
            <w:vAlign w:val="center"/>
          </w:tcPr>
          <w:p w14:paraId="42BD510C">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728</w:t>
            </w:r>
          </w:p>
        </w:tc>
        <w:tc>
          <w:tcPr>
            <w:tcW w:w="878" w:type="dxa"/>
            <w:vAlign w:val="center"/>
          </w:tcPr>
          <w:p w14:paraId="7B9DEB2F">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7" w:type="dxa"/>
            <w:vAlign w:val="center"/>
          </w:tcPr>
          <w:p w14:paraId="608114C7">
            <w:pPr>
              <w:snapToGrid w:val="0"/>
              <w:ind w:left="0" w:leftChars="0" w:right="0" w:rightChars="0" w:firstLine="0" w:firstLineChars="0"/>
              <w:jc w:val="right"/>
              <w:rPr>
                <w:rFonts w:ascii="宋体" w:hAnsi="仿宋" w:eastAsia="宋体" w:cs="仿宋"/>
                <w:color w:val="000000"/>
                <w:sz w:val="20"/>
                <w:szCs w:val="21"/>
              </w:rPr>
            </w:pPr>
          </w:p>
        </w:tc>
      </w:tr>
      <w:tr w14:paraId="0737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78" w:type="dxa"/>
            <w:vAlign w:val="center"/>
          </w:tcPr>
          <w:p w14:paraId="2C3B4DB3">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9</w:t>
            </w:r>
          </w:p>
        </w:tc>
        <w:tc>
          <w:tcPr>
            <w:tcW w:w="2471" w:type="dxa"/>
            <w:shd w:val="clear" w:color="auto" w:fill="auto"/>
            <w:vAlign w:val="center"/>
          </w:tcPr>
          <w:p w14:paraId="7B6043B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单层加长硬式内窥镜器械篮筐</w:t>
            </w:r>
          </w:p>
        </w:tc>
        <w:tc>
          <w:tcPr>
            <w:tcW w:w="1329" w:type="dxa"/>
            <w:shd w:val="clear" w:color="auto" w:fill="auto"/>
            <w:vAlign w:val="center"/>
          </w:tcPr>
          <w:p w14:paraId="2A01C9CA">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9" w:type="dxa"/>
            <w:shd w:val="clear" w:color="auto" w:fill="auto"/>
            <w:vAlign w:val="center"/>
          </w:tcPr>
          <w:p w14:paraId="0AA974CB">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80" w:type="dxa"/>
            <w:vAlign w:val="center"/>
          </w:tcPr>
          <w:p w14:paraId="4C43019A">
            <w:pPr>
              <w:snapToGrid w:val="0"/>
              <w:spacing w:line="240" w:lineRule="auto"/>
              <w:ind w:left="0" w:leftChars="0" w:right="0" w:rightChars="0" w:firstLine="0" w:firstLineChars="0"/>
              <w:jc w:val="center"/>
              <w:outlineLvl w:val="1"/>
              <w:rPr>
                <w:rFonts w:hint="eastAsia" w:ascii="宋体" w:hAnsi="仿宋" w:eastAsia="宋体" w:cs="仿宋"/>
                <w:color w:val="000000"/>
                <w:sz w:val="20"/>
                <w:szCs w:val="21"/>
                <w:lang w:val="en-US" w:eastAsia="zh-CN"/>
              </w:rPr>
            </w:pPr>
            <w:r>
              <w:rPr>
                <w:rFonts w:hint="eastAsia" w:ascii="宋体" w:hAnsi="宋体" w:eastAsia="宋体" w:cs="宋体"/>
                <w:b w:val="0"/>
                <w:bCs/>
                <w:color w:val="auto"/>
                <w:sz w:val="20"/>
                <w:szCs w:val="20"/>
                <w:highlight w:val="none"/>
                <w:vertAlign w:val="baseline"/>
                <w:lang w:val="en-US" w:eastAsia="zh-CN"/>
              </w:rPr>
              <w:t>个</w:t>
            </w:r>
          </w:p>
        </w:tc>
        <w:tc>
          <w:tcPr>
            <w:tcW w:w="774" w:type="dxa"/>
            <w:vAlign w:val="center"/>
          </w:tcPr>
          <w:p w14:paraId="1047F6B1">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 xml:space="preserve">1 </w:t>
            </w:r>
          </w:p>
        </w:tc>
        <w:tc>
          <w:tcPr>
            <w:tcW w:w="1061" w:type="dxa"/>
            <w:vAlign w:val="center"/>
          </w:tcPr>
          <w:p w14:paraId="2B833020">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708</w:t>
            </w:r>
          </w:p>
        </w:tc>
        <w:tc>
          <w:tcPr>
            <w:tcW w:w="878" w:type="dxa"/>
            <w:vAlign w:val="center"/>
          </w:tcPr>
          <w:p w14:paraId="743C35A1">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7" w:type="dxa"/>
            <w:vAlign w:val="center"/>
          </w:tcPr>
          <w:p w14:paraId="67F792C1">
            <w:pPr>
              <w:snapToGrid w:val="0"/>
              <w:ind w:left="0" w:leftChars="0" w:right="0" w:rightChars="0" w:firstLine="0" w:firstLineChars="0"/>
              <w:jc w:val="right"/>
              <w:rPr>
                <w:rFonts w:ascii="宋体" w:hAnsi="仿宋" w:eastAsia="宋体" w:cs="仿宋"/>
                <w:color w:val="000000"/>
                <w:sz w:val="20"/>
                <w:szCs w:val="21"/>
              </w:rPr>
            </w:pPr>
          </w:p>
        </w:tc>
      </w:tr>
      <w:tr w14:paraId="76BA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20" w:type="dxa"/>
            <w:gridSpan w:val="8"/>
            <w:vAlign w:val="center"/>
          </w:tcPr>
          <w:p w14:paraId="10486415">
            <w:pPr>
              <w:pStyle w:val="23"/>
              <w:snapToGrid w:val="0"/>
              <w:spacing w:before="62" w:line="240" w:lineRule="auto"/>
              <w:ind w:left="0" w:leftChars="0" w:right="0" w:rightChars="0" w:firstLine="0" w:firstLineChars="0"/>
              <w:jc w:val="center"/>
              <w:rPr>
                <w:rFonts w:hint="default" w:ascii="宋体" w:hAnsi="仿宋" w:eastAsia="宋体" w:cs="仿宋"/>
                <w:b/>
                <w:color w:val="000000"/>
                <w:sz w:val="20"/>
                <w:szCs w:val="21"/>
                <w:lang w:val="en-US"/>
              </w:rPr>
            </w:pPr>
            <w:r>
              <w:rPr>
                <w:rFonts w:hint="eastAsia" w:ascii="宋体" w:hAnsi="仿宋" w:eastAsia="宋体" w:cs="仿宋"/>
                <w:b/>
                <w:color w:val="000000"/>
                <w:sz w:val="20"/>
                <w:szCs w:val="21"/>
                <w:lang w:val="en-US" w:eastAsia="zh-CN"/>
              </w:rPr>
              <w:t>合计（元）</w:t>
            </w:r>
          </w:p>
        </w:tc>
        <w:tc>
          <w:tcPr>
            <w:tcW w:w="1287" w:type="dxa"/>
            <w:vAlign w:val="center"/>
          </w:tcPr>
          <w:p w14:paraId="2C4C98EB">
            <w:pPr>
              <w:snapToGrid w:val="0"/>
              <w:ind w:left="0" w:leftChars="0" w:right="0" w:rightChars="0" w:firstLine="0" w:firstLineChars="0"/>
              <w:jc w:val="right"/>
              <w:rPr>
                <w:rFonts w:ascii="宋体" w:hAnsi="仿宋" w:eastAsia="宋体" w:cs="仿宋"/>
                <w:b/>
                <w:color w:val="000000"/>
                <w:sz w:val="20"/>
                <w:szCs w:val="21"/>
              </w:rPr>
            </w:pPr>
          </w:p>
        </w:tc>
      </w:tr>
    </w:tbl>
    <w:p w14:paraId="128B12DC">
      <w:pPr>
        <w:widowControl/>
        <w:spacing w:line="360" w:lineRule="auto"/>
        <w:jc w:val="left"/>
        <w:rPr>
          <w:rFonts w:hint="eastAsia"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6B6E8BE">
      <w:pPr>
        <w:spacing w:line="360" w:lineRule="auto"/>
        <w:jc w:val="left"/>
        <w:rPr>
          <w:rFonts w:hint="eastAsia" w:ascii="宋体" w:hAnsi="宋体" w:eastAsia="宋体" w:cs="宋体"/>
          <w:szCs w:val="21"/>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sectPr>
      <w:headerReference r:id="rId3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909EF">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4C4DC">
    <w:pPr>
      <w:pStyle w:val="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9A3AB">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B0804">
    <w:pPr>
      <w:pStyle w:val="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8FF99">
    <w:pPr>
      <w:pStyle w:val="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75995">
    <w:pPr>
      <w:pStyle w:val="9"/>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9"/>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5FF53">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0"/>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87649">
    <w:pPr>
      <w:pStyle w:val="10"/>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B7D7">
    <w:pPr>
      <w:pStyle w:val="10"/>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BF1C4">
    <w:pPr>
      <w:pStyle w:val="1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0"/>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0"/>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83130">
    <w:pPr>
      <w:pStyle w:val="10"/>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3076B">
    <w:pPr>
      <w:pStyle w:val="10"/>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14757">
    <w:pPr>
      <w:pStyle w:val="1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0"/>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24356">
    <w:pPr>
      <w:pStyle w:val="10"/>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5628B575"/>
    <w:multiLevelType w:val="singleLevel"/>
    <w:tmpl w:val="5628B575"/>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2810B4"/>
    <w:rsid w:val="021D5D8F"/>
    <w:rsid w:val="06517763"/>
    <w:rsid w:val="06744454"/>
    <w:rsid w:val="079103FC"/>
    <w:rsid w:val="094D472E"/>
    <w:rsid w:val="09D37DDB"/>
    <w:rsid w:val="0ADA106B"/>
    <w:rsid w:val="0C752452"/>
    <w:rsid w:val="0CA21D1B"/>
    <w:rsid w:val="0CCD43BF"/>
    <w:rsid w:val="0F5C08A7"/>
    <w:rsid w:val="0FA32362"/>
    <w:rsid w:val="109B7A67"/>
    <w:rsid w:val="147A71AE"/>
    <w:rsid w:val="18EE0096"/>
    <w:rsid w:val="1ABB15C8"/>
    <w:rsid w:val="1B302BD7"/>
    <w:rsid w:val="1C584391"/>
    <w:rsid w:val="1E59565E"/>
    <w:rsid w:val="1E840AC7"/>
    <w:rsid w:val="20B87907"/>
    <w:rsid w:val="20E33B6F"/>
    <w:rsid w:val="20FE31B4"/>
    <w:rsid w:val="21620EBE"/>
    <w:rsid w:val="2342170A"/>
    <w:rsid w:val="235F3BE9"/>
    <w:rsid w:val="25754019"/>
    <w:rsid w:val="266B527C"/>
    <w:rsid w:val="26B62310"/>
    <w:rsid w:val="26BC7A25"/>
    <w:rsid w:val="279B01F3"/>
    <w:rsid w:val="28DF6635"/>
    <w:rsid w:val="29241B7C"/>
    <w:rsid w:val="29792012"/>
    <w:rsid w:val="2A473181"/>
    <w:rsid w:val="2D670E53"/>
    <w:rsid w:val="2F0F75BD"/>
    <w:rsid w:val="322E5C68"/>
    <w:rsid w:val="328808C1"/>
    <w:rsid w:val="331F3816"/>
    <w:rsid w:val="335464C2"/>
    <w:rsid w:val="33DA0B02"/>
    <w:rsid w:val="33E04C8F"/>
    <w:rsid w:val="3489363D"/>
    <w:rsid w:val="36E33B5E"/>
    <w:rsid w:val="3A5A5133"/>
    <w:rsid w:val="3ACD2F93"/>
    <w:rsid w:val="3DD84CED"/>
    <w:rsid w:val="3E6B5D05"/>
    <w:rsid w:val="3EB72B54"/>
    <w:rsid w:val="3F967699"/>
    <w:rsid w:val="401A5407"/>
    <w:rsid w:val="424C37E8"/>
    <w:rsid w:val="426C4E45"/>
    <w:rsid w:val="4354121F"/>
    <w:rsid w:val="43655275"/>
    <w:rsid w:val="470C4606"/>
    <w:rsid w:val="47C83823"/>
    <w:rsid w:val="490E789E"/>
    <w:rsid w:val="490F4F35"/>
    <w:rsid w:val="49E22908"/>
    <w:rsid w:val="4A5F2AFE"/>
    <w:rsid w:val="4B7A033A"/>
    <w:rsid w:val="4DAE7B79"/>
    <w:rsid w:val="50CB7645"/>
    <w:rsid w:val="52C85C92"/>
    <w:rsid w:val="53BC3594"/>
    <w:rsid w:val="54585977"/>
    <w:rsid w:val="571B30F9"/>
    <w:rsid w:val="572527C3"/>
    <w:rsid w:val="576C719B"/>
    <w:rsid w:val="5AA45688"/>
    <w:rsid w:val="5C0E1B80"/>
    <w:rsid w:val="5E6C4D7F"/>
    <w:rsid w:val="5F3A3F0B"/>
    <w:rsid w:val="612D28B6"/>
    <w:rsid w:val="61F212C3"/>
    <w:rsid w:val="624C78D4"/>
    <w:rsid w:val="67592D41"/>
    <w:rsid w:val="68F16986"/>
    <w:rsid w:val="6A3B747A"/>
    <w:rsid w:val="6B4C6025"/>
    <w:rsid w:val="6BB6035B"/>
    <w:rsid w:val="6C561999"/>
    <w:rsid w:val="6F145826"/>
    <w:rsid w:val="70922C0A"/>
    <w:rsid w:val="718F6E95"/>
    <w:rsid w:val="72D245E7"/>
    <w:rsid w:val="750E3C20"/>
    <w:rsid w:val="76BE71B6"/>
    <w:rsid w:val="77146A1E"/>
    <w:rsid w:val="79801E52"/>
    <w:rsid w:val="79D14349"/>
    <w:rsid w:val="7A995229"/>
    <w:rsid w:val="7B11178B"/>
    <w:rsid w:val="7B26298F"/>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spacing w:line="360" w:lineRule="auto"/>
      <w:ind w:left="608" w:hanging="608"/>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Date"/>
    <w:basedOn w:val="1"/>
    <w:next w:val="1"/>
    <w:qFormat/>
    <w:uiPriority w:val="0"/>
    <w:rPr>
      <w:rFonts w:ascii="Times New Roman" w:hAnsi="Times New Roman" w:eastAsia="宋体" w:cs="Times New Roman"/>
      <w:szCs w:val="20"/>
    </w:rPr>
  </w:style>
  <w:style w:type="paragraph" w:styleId="8">
    <w:name w:val="Body Text Indent 2"/>
    <w:basedOn w:val="1"/>
    <w:link w:val="18"/>
    <w:autoRedefine/>
    <w:qFormat/>
    <w:uiPriority w:val="0"/>
    <w:pPr>
      <w:spacing w:after="120" w:line="480" w:lineRule="auto"/>
      <w:ind w:left="420" w:leftChars="200"/>
    </w:pPr>
    <w:rPr>
      <w:szCs w:val="20"/>
    </w:rPr>
  </w:style>
  <w:style w:type="paragraph" w:styleId="9">
    <w:name w:val="footer"/>
    <w:basedOn w:val="1"/>
    <w:link w:val="22"/>
    <w:qFormat/>
    <w:uiPriority w:val="99"/>
    <w:pPr>
      <w:tabs>
        <w:tab w:val="center" w:pos="4153"/>
        <w:tab w:val="right" w:pos="8306"/>
      </w:tabs>
      <w:snapToGrid w:val="0"/>
      <w:jc w:val="left"/>
    </w:pPr>
    <w:rPr>
      <w:sz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ind w:left="420" w:firstLine="420" w:firstLineChars="200"/>
    </w:pPr>
    <w:rPr>
      <w:rFonts w:ascii="Tahoma" w:hAnsi="Tahoma"/>
      <w:szCs w:val="24"/>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rPr>
  </w:style>
  <w:style w:type="character" w:customStyle="1" w:styleId="18">
    <w:name w:val="正文文本缩进 2 Char"/>
    <w:link w:val="8"/>
    <w:autoRedefine/>
    <w:qFormat/>
    <w:uiPriority w:val="0"/>
    <w:rPr>
      <w:szCs w:val="20"/>
    </w:rPr>
  </w:style>
  <w:style w:type="paragraph" w:customStyle="1" w:styleId="19">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页眉 Char"/>
    <w:basedOn w:val="15"/>
    <w:link w:val="10"/>
    <w:qFormat/>
    <w:uiPriority w:val="0"/>
    <w:rPr>
      <w:rFonts w:asciiTheme="minorHAnsi" w:hAnsiTheme="minorHAnsi" w:eastAsiaTheme="minorEastAsia" w:cstheme="minorBidi"/>
      <w:kern w:val="2"/>
      <w:sz w:val="18"/>
      <w:szCs w:val="18"/>
    </w:rPr>
  </w:style>
  <w:style w:type="character" w:customStyle="1" w:styleId="22">
    <w:name w:val="页脚 Char"/>
    <w:basedOn w:val="15"/>
    <w:link w:val="9"/>
    <w:qFormat/>
    <w:uiPriority w:val="99"/>
    <w:rPr>
      <w:rFonts w:asciiTheme="minorHAnsi" w:hAnsiTheme="minorHAnsi" w:eastAsiaTheme="minorEastAsia" w:cstheme="minorBidi"/>
      <w:kern w:val="2"/>
      <w:sz w:val="18"/>
      <w:szCs w:val="22"/>
    </w:rPr>
  </w:style>
  <w:style w:type="paragraph" w:customStyle="1" w:styleId="23">
    <w:name w:val="Table Text"/>
    <w:basedOn w:val="1"/>
    <w:semiHidden/>
    <w:qFormat/>
    <w:uiPriority w:val="0"/>
    <w:rPr>
      <w:rFonts w:ascii="宋体" w:hAnsi="宋体" w:eastAsia="宋体" w:cs="宋体"/>
      <w:sz w:val="20"/>
      <w:szCs w:val="20"/>
      <w:lang w:val="en-US" w:eastAsia="en-US" w:bidi="ar-SA"/>
    </w:rPr>
  </w:style>
  <w:style w:type="paragraph" w:customStyle="1" w:styleId="24">
    <w:name w:val="列出段落2"/>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4" Type="http://schemas.openxmlformats.org/officeDocument/2006/relationships/fontTable" Target="fontTable.xml"/><Relationship Id="rId43" Type="http://schemas.openxmlformats.org/officeDocument/2006/relationships/customXml" Target="../customXml/item2.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theme" Target="theme/theme1.xml"/><Relationship Id="rId4" Type="http://schemas.openxmlformats.org/officeDocument/2006/relationships/header" Target="header2.xml"/><Relationship Id="rId39" Type="http://schemas.openxmlformats.org/officeDocument/2006/relationships/header" Target="header20.xml"/><Relationship Id="rId38" Type="http://schemas.openxmlformats.org/officeDocument/2006/relationships/footer" Target="footer17.xml"/><Relationship Id="rId37" Type="http://schemas.openxmlformats.org/officeDocument/2006/relationships/header" Target="header19.xml"/><Relationship Id="rId36" Type="http://schemas.openxmlformats.org/officeDocument/2006/relationships/footer" Target="footer16.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25</Pages>
  <Words>2101</Words>
  <Characters>2153</Characters>
  <Lines>1</Lines>
  <Paragraphs>1</Paragraphs>
  <TotalTime>2</TotalTime>
  <ScaleCrop>false</ScaleCrop>
  <LinksUpToDate>false</LinksUpToDate>
  <CharactersWithSpaces>2459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2026-05-09T07:15:10Z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