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1B46898E">
      <w:pPr>
        <w:keepNext w:val="0"/>
        <w:keepLines w:val="0"/>
        <w:pageBreakBefore w:val="0"/>
        <w:widowControl/>
        <w:kinsoku w:val="0"/>
        <w:wordWrap/>
        <w:overflowPunct/>
        <w:topLinePunct w:val="0"/>
        <w:autoSpaceDE w:val="0"/>
        <w:autoSpaceDN w:val="0"/>
        <w:bidi w:val="0"/>
        <w:adjustRightInd w:val="0"/>
        <w:snapToGrid w:val="0"/>
        <w:spacing w:before="153" w:line="240" w:lineRule="auto"/>
        <w:ind w:right="193"/>
        <w:jc w:val="center"/>
        <w:textAlignment w:val="baseline"/>
        <w:outlineLvl w:val="0"/>
        <w:rPr>
          <w:rFonts w:hint="eastAsia" w:ascii="宋体" w:hAnsi="宋体" w:eastAsia="宋体" w:cs="宋体"/>
          <w:b/>
          <w:bCs/>
          <w:spacing w:val="-1"/>
          <w:sz w:val="47"/>
          <w:szCs w:val="47"/>
          <w:lang w:val="en-US" w:eastAsia="zh-CN"/>
        </w:rPr>
      </w:pPr>
      <w:r>
        <w:rPr>
          <w:rFonts w:hint="eastAsia" w:ascii="宋体" w:hAnsi="宋体" w:eastAsia="宋体" w:cs="宋体"/>
          <w:b/>
          <w:bCs/>
          <w:spacing w:val="-1"/>
          <w:sz w:val="47"/>
          <w:szCs w:val="47"/>
          <w:lang w:val="en-US" w:eastAsia="zh-CN"/>
        </w:rPr>
        <w:t>2026年中山市东升医院护士鞋项目</w:t>
      </w:r>
    </w:p>
    <w:p w14:paraId="61EA706F">
      <w:pPr>
        <w:keepNext w:val="0"/>
        <w:keepLines w:val="0"/>
        <w:pageBreakBefore w:val="0"/>
        <w:widowControl/>
        <w:kinsoku w:val="0"/>
        <w:wordWrap/>
        <w:overflowPunct/>
        <w:topLinePunct w:val="0"/>
        <w:autoSpaceDE w:val="0"/>
        <w:autoSpaceDN w:val="0"/>
        <w:bidi w:val="0"/>
        <w:adjustRightInd w:val="0"/>
        <w:snapToGrid w:val="0"/>
        <w:spacing w:before="153" w:line="240" w:lineRule="auto"/>
        <w:ind w:right="193"/>
        <w:jc w:val="center"/>
        <w:textAlignment w:val="baseline"/>
        <w:outlineLvl w:val="0"/>
        <w:rPr>
          <w:rFonts w:ascii="宋体" w:hAnsi="宋体" w:eastAsia="宋体" w:cs="宋体"/>
          <w:sz w:val="47"/>
          <w:szCs w:val="47"/>
          <w:lang w:eastAsia="zh-CN"/>
        </w:rPr>
      </w:pP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jc w:val="both"/>
        <w:rPr>
          <w:rFonts w:ascii="宋体" w:hAnsi="宋体" w:eastAsia="宋体" w:cs="宋体"/>
          <w:b/>
          <w:bCs/>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spacing w:before="229" w:line="378" w:lineRule="auto"/>
        <w:ind w:left="120" w:right="113" w:firstLine="421"/>
        <w:jc w:val="both"/>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4AE4FFC3">
      <w:pPr>
        <w:spacing w:before="76"/>
      </w:pPr>
    </w:p>
    <w:p w14:paraId="145C478F">
      <w:pPr>
        <w:spacing w:before="76"/>
      </w:pPr>
    </w:p>
    <w:p w14:paraId="06CE8DBD">
      <w:pPr>
        <w:spacing w:before="76"/>
      </w:pPr>
    </w:p>
    <w:tbl>
      <w:tblPr>
        <w:tblStyle w:val="10"/>
        <w:tblW w:w="910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64"/>
        <w:gridCol w:w="2943"/>
        <w:gridCol w:w="2995"/>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jc w:val="center"/>
        </w:trPr>
        <w:tc>
          <w:tcPr>
            <w:tcW w:w="3164"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2943" w:type="dxa"/>
            <w:vAlign w:val="center"/>
          </w:tcPr>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val="en-US" w:eastAsia="zh-CN"/>
              </w:rPr>
              <w:t>报价金额</w:t>
            </w: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元</w:t>
            </w:r>
            <w:r>
              <w:rPr>
                <w:rFonts w:hint="eastAsia" w:ascii="宋体" w:hAnsi="宋体" w:eastAsia="宋体" w:cs="宋体"/>
                <w:b/>
                <w:bCs/>
                <w:spacing w:val="-8"/>
                <w:sz w:val="24"/>
                <w:szCs w:val="24"/>
                <w:lang w:eastAsia="zh-CN"/>
              </w:rPr>
              <w:t>）</w:t>
            </w:r>
          </w:p>
        </w:tc>
        <w:tc>
          <w:tcPr>
            <w:tcW w:w="2995"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4" w:hRule="atLeast"/>
          <w:jc w:val="center"/>
        </w:trPr>
        <w:tc>
          <w:tcPr>
            <w:tcW w:w="3164"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spacing w:val="2"/>
                <w:sz w:val="24"/>
                <w:szCs w:val="24"/>
                <w:lang w:val="en-US" w:eastAsia="zh-CN"/>
              </w:rPr>
              <w:t>2026年中山市东升医院护士鞋项目</w:t>
            </w:r>
          </w:p>
        </w:tc>
        <w:tc>
          <w:tcPr>
            <w:tcW w:w="2943"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元</w:t>
            </w:r>
          </w:p>
        </w:tc>
        <w:tc>
          <w:tcPr>
            <w:tcW w:w="2995" w:type="dxa"/>
            <w:vAlign w:val="center"/>
          </w:tcPr>
          <w:p w14:paraId="0AF32B92">
            <w:pPr>
              <w:ind w:firstLine="210" w:firstLineChars="100"/>
              <w:jc w:val="both"/>
              <w:rPr>
                <w:rFonts w:hint="eastAsia" w:eastAsia="宋体"/>
                <w:b w:val="0"/>
                <w:bCs w:val="0"/>
                <w:lang w:val="en-US" w:eastAsia="zh-CN"/>
              </w:rPr>
            </w:pPr>
            <w:r>
              <w:rPr>
                <w:rFonts w:hint="eastAsia" w:eastAsia="宋体"/>
                <w:b w:val="0"/>
                <w:bCs w:val="0"/>
                <w:lang w:val="en-US" w:eastAsia="zh-CN"/>
              </w:rPr>
              <w:t>1. 附项目清单详细报价</w:t>
            </w:r>
          </w:p>
          <w:p w14:paraId="417A2084">
            <w:pPr>
              <w:ind w:firstLine="210" w:firstLineChars="100"/>
              <w:jc w:val="both"/>
              <w:rPr>
                <w:rFonts w:hint="default" w:eastAsia="宋体"/>
                <w:b w:val="0"/>
                <w:bCs w:val="0"/>
                <w:lang w:val="en-US" w:eastAsia="zh-CN"/>
              </w:rPr>
            </w:pPr>
            <w:r>
              <w:rPr>
                <w:rFonts w:hint="eastAsia" w:eastAsia="宋体"/>
                <w:b w:val="0"/>
                <w:bCs w:val="0"/>
                <w:lang w:val="en-US" w:eastAsia="zh-CN"/>
              </w:rPr>
              <w:t>2. 注明产品品牌（如有）</w:t>
            </w:r>
          </w:p>
        </w:tc>
      </w:tr>
    </w:tbl>
    <w:p w14:paraId="0CFDB52E">
      <w:pPr>
        <w:pStyle w:val="3"/>
        <w:spacing w:line="371" w:lineRule="auto"/>
      </w:pPr>
    </w:p>
    <w:p w14:paraId="2E5522CF">
      <w:pPr>
        <w:pStyle w:val="3"/>
        <w:spacing w:line="371" w:lineRule="auto"/>
      </w:pPr>
    </w:p>
    <w:p w14:paraId="1EFC8127">
      <w:pPr>
        <w:pStyle w:val="3"/>
        <w:spacing w:line="246" w:lineRule="auto"/>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18B39A63">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本项目</w:t>
      </w:r>
      <w:r>
        <w:rPr>
          <w:rFonts w:hint="eastAsia" w:ascii="宋体" w:hAnsi="宋体" w:eastAsia="宋体" w:cs="宋体"/>
          <w:b/>
          <w:bCs/>
          <w:spacing w:val="7"/>
          <w:sz w:val="20"/>
          <w:szCs w:val="20"/>
          <w:lang w:eastAsia="zh-CN"/>
        </w:rPr>
        <w:t>采用人民币含税全包价，包括</w:t>
      </w:r>
      <w:r>
        <w:rPr>
          <w:rFonts w:hint="eastAsia" w:ascii="宋体" w:hAnsi="宋体" w:eastAsia="宋体" w:cs="宋体"/>
          <w:b/>
          <w:bCs/>
          <w:spacing w:val="7"/>
          <w:sz w:val="20"/>
          <w:szCs w:val="20"/>
          <w:lang w:val="en-US" w:eastAsia="zh-CN"/>
        </w:rPr>
        <w:t>货物</w:t>
      </w:r>
      <w:r>
        <w:rPr>
          <w:rFonts w:hint="eastAsia" w:ascii="宋体" w:hAnsi="宋体" w:eastAsia="宋体" w:cs="宋体"/>
          <w:b/>
          <w:bCs/>
          <w:spacing w:val="7"/>
          <w:sz w:val="20"/>
          <w:szCs w:val="20"/>
          <w:lang w:eastAsia="zh-CN"/>
        </w:rPr>
        <w:t>价格、包装费、运杂费、保险费、卸车费、配合费、检测费、配送费、税金及</w:t>
      </w:r>
      <w:r>
        <w:rPr>
          <w:rFonts w:hint="eastAsia" w:ascii="宋体" w:hAnsi="宋体" w:eastAsia="宋体" w:cs="宋体"/>
          <w:b/>
          <w:bCs/>
          <w:spacing w:val="7"/>
          <w:sz w:val="20"/>
          <w:szCs w:val="20"/>
          <w:lang w:val="en-US" w:eastAsia="zh-CN"/>
        </w:rPr>
        <w:t>本项目执行过程中</w:t>
      </w:r>
      <w:r>
        <w:rPr>
          <w:rFonts w:hint="eastAsia" w:ascii="宋体" w:hAnsi="宋体" w:eastAsia="宋体" w:cs="宋体"/>
          <w:b/>
          <w:bCs/>
          <w:spacing w:val="7"/>
          <w:sz w:val="20"/>
          <w:szCs w:val="20"/>
          <w:lang w:eastAsia="zh-CN"/>
        </w:rPr>
        <w:t>需要的其他费用等。</w:t>
      </w:r>
    </w:p>
    <w:p w14:paraId="4771C8B0">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报价金额必须为固定报价，不接受区间报价，报价范围不能为负数，否则将被认定为无效投标。</w:t>
      </w:r>
      <w:r>
        <w:rPr>
          <w:rFonts w:hint="eastAsia" w:ascii="宋体" w:hAnsi="宋体" w:eastAsia="宋体" w:cs="宋体"/>
          <w:b/>
          <w:bCs/>
          <w:spacing w:val="7"/>
          <w:sz w:val="20"/>
          <w:szCs w:val="20"/>
          <w:lang w:eastAsia="zh-CN"/>
        </w:rPr>
        <w:t>供应商须按要求填写所有信息，报价的金额最多保留一位小</w:t>
      </w:r>
      <w:r>
        <w:rPr>
          <w:rFonts w:hint="eastAsia" w:ascii="宋体" w:hAnsi="宋体" w:eastAsia="宋体" w:cs="宋体"/>
          <w:b/>
          <w:bCs/>
          <w:spacing w:val="7"/>
          <w:sz w:val="20"/>
          <w:szCs w:val="20"/>
          <w:lang w:val="en-US" w:eastAsia="zh-CN"/>
        </w:rPr>
        <w:t>数</w:t>
      </w:r>
      <w:r>
        <w:rPr>
          <w:rFonts w:hint="eastAsia" w:ascii="宋体" w:hAnsi="宋体" w:eastAsia="宋体" w:cs="宋体"/>
          <w:b/>
          <w:bCs/>
          <w:spacing w:val="7"/>
          <w:sz w:val="20"/>
          <w:szCs w:val="20"/>
          <w:lang w:eastAsia="zh-CN"/>
        </w:rPr>
        <w:t>点，不得随意更改本表格式。</w:t>
      </w:r>
    </w:p>
    <w:p w14:paraId="5E5536D4">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19" w:lineRule="auto"/>
        <w:textAlignment w:val="baseline"/>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3. 本项目的评审采用综合评分法，最低价格不是选取的唯一标准。</w:t>
      </w:r>
    </w:p>
    <w:p w14:paraId="41F60368">
      <w:pPr>
        <w:keepNext w:val="0"/>
        <w:keepLines w:val="0"/>
        <w:pageBreakBefore w:val="0"/>
        <w:widowControl/>
        <w:kinsoku w:val="0"/>
        <w:wordWrap/>
        <w:overflowPunct/>
        <w:topLinePunct w:val="0"/>
        <w:autoSpaceDE w:val="0"/>
        <w:autoSpaceDN w:val="0"/>
        <w:bidi w:val="0"/>
        <w:adjustRightInd w:val="0"/>
        <w:snapToGrid w:val="0"/>
        <w:spacing w:before="0" w:beforeLines="50" w:after="0" w:afterLines="50" w:line="219" w:lineRule="auto"/>
        <w:textAlignment w:val="baseline"/>
        <w:rPr>
          <w:rFonts w:hint="default" w:ascii="宋体" w:hAnsi="宋体" w:eastAsia="宋体" w:cs="宋体"/>
          <w:b/>
          <w:bCs/>
          <w:sz w:val="20"/>
          <w:szCs w:val="20"/>
          <w:lang w:val="en-US" w:eastAsia="zh-CN"/>
        </w:rPr>
      </w:pPr>
      <w:r>
        <w:rPr>
          <w:rFonts w:hint="eastAsia" w:ascii="宋体" w:hAnsi="宋体" w:eastAsia="宋体" w:cs="宋体"/>
          <w:b/>
          <w:bCs/>
          <w:sz w:val="20"/>
          <w:szCs w:val="20"/>
          <w:lang w:val="en-US" w:eastAsia="zh-CN"/>
        </w:rPr>
        <w:t>4. 按实际下单数量和中标单价进行结算。</w:t>
      </w:r>
    </w:p>
    <w:p w14:paraId="7E65CAA4">
      <w:pPr>
        <w:spacing w:before="79" w:line="219" w:lineRule="auto"/>
        <w:rPr>
          <w:rFonts w:hint="eastAsia" w:ascii="宋体" w:hAnsi="宋体" w:eastAsia="宋体" w:cs="宋体"/>
          <w:b/>
          <w:bCs/>
          <w:sz w:val="20"/>
          <w:szCs w:val="20"/>
          <w:lang w:val="en-US" w:eastAsia="zh-CN"/>
        </w:rPr>
      </w:pPr>
    </w:p>
    <w:p w14:paraId="443346DB">
      <w:pPr>
        <w:spacing w:before="79" w:line="219" w:lineRule="auto"/>
        <w:ind w:left="122"/>
        <w:rPr>
          <w:rFonts w:ascii="宋体" w:hAnsi="宋体" w:eastAsia="宋体" w:cs="宋体"/>
          <w:spacing w:val="2"/>
          <w:sz w:val="24"/>
          <w:szCs w:val="24"/>
          <w:lang w:eastAsia="zh-CN"/>
        </w:rPr>
      </w:pPr>
    </w:p>
    <w:p w14:paraId="7FE1AE2A">
      <w:pPr>
        <w:spacing w:before="79" w:line="219" w:lineRule="auto"/>
        <w:ind w:left="122"/>
        <w:rPr>
          <w:rFonts w:ascii="宋体" w:hAnsi="宋体" w:eastAsia="宋体" w:cs="宋体"/>
          <w:spacing w:val="2"/>
          <w:sz w:val="24"/>
          <w:szCs w:val="24"/>
          <w:lang w:eastAsia="zh-CN"/>
        </w:rPr>
      </w:pPr>
    </w:p>
    <w:p w14:paraId="6B7B6E8C">
      <w:pPr>
        <w:spacing w:before="79" w:line="219" w:lineRule="auto"/>
        <w:ind w:left="122"/>
        <w:rPr>
          <w:rFonts w:ascii="宋体" w:hAnsi="宋体" w:eastAsia="宋体" w:cs="宋体"/>
          <w:spacing w:val="2"/>
          <w:sz w:val="24"/>
          <w:szCs w:val="24"/>
          <w:lang w:eastAsia="zh-CN"/>
        </w:rPr>
      </w:pPr>
    </w:p>
    <w:p w14:paraId="4E8D04A3">
      <w:pPr>
        <w:spacing w:before="79" w:line="219" w:lineRule="auto"/>
        <w:ind w:left="122"/>
        <w:rPr>
          <w:rFonts w:ascii="宋体" w:hAnsi="宋体" w:eastAsia="宋体" w:cs="宋体"/>
          <w:spacing w:val="2"/>
          <w:sz w:val="24"/>
          <w:szCs w:val="24"/>
          <w:lang w:eastAsia="zh-CN"/>
        </w:rPr>
      </w:pPr>
    </w:p>
    <w:p w14:paraId="0BE7F949">
      <w:pPr>
        <w:spacing w:before="79" w:line="219" w:lineRule="auto"/>
        <w:ind w:left="122"/>
        <w:rPr>
          <w:rFonts w:ascii="宋体" w:hAnsi="宋体" w:eastAsia="宋体" w:cs="宋体"/>
          <w:spacing w:val="2"/>
          <w:sz w:val="24"/>
          <w:szCs w:val="24"/>
          <w:lang w:eastAsia="zh-CN"/>
        </w:rPr>
      </w:pPr>
    </w:p>
    <w:p w14:paraId="0DBCA2B2">
      <w:pPr>
        <w:spacing w:before="79" w:line="219" w:lineRule="auto"/>
        <w:rPr>
          <w:rFonts w:ascii="宋体" w:hAnsi="宋体" w:eastAsia="宋体" w:cs="宋体"/>
          <w:spacing w:val="2"/>
          <w:sz w:val="24"/>
          <w:szCs w:val="24"/>
          <w:lang w:eastAsia="zh-CN"/>
        </w:rPr>
      </w:pPr>
    </w:p>
    <w:p w14:paraId="5F66F77B">
      <w:pPr>
        <w:spacing w:before="79" w:line="219" w:lineRule="auto"/>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30D1DA3C">
      <w:pPr>
        <w:spacing w:before="41" w:line="228" w:lineRule="auto"/>
        <w:ind w:left="26"/>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219"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2026年中山市东升医院护士鞋项目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531" w:bottom="907" w:left="153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4858F39C">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pPr>
      <w:r>
        <w:rPr>
          <w:rFonts w:ascii="宋体" w:hAnsi="宋体" w:eastAsia="宋体" w:cs="宋体"/>
          <w:b/>
          <w:bCs/>
          <w:spacing w:val="7"/>
          <w:sz w:val="20"/>
          <w:szCs w:val="20"/>
          <w:lang w:eastAsia="zh-CN"/>
        </w:rPr>
        <w:t>三、具有独立承担民事责任的能力(营业执照)</w:t>
      </w:r>
      <w:r>
        <w:rPr>
          <w:rFonts w:hint="eastAsia" w:ascii="宋体" w:hAnsi="宋体" w:eastAsia="宋体" w:cs="宋体"/>
          <w:b/>
          <w:bCs/>
          <w:spacing w:val="7"/>
          <w:sz w:val="20"/>
          <w:szCs w:val="20"/>
          <w:lang w:eastAsia="zh-CN"/>
        </w:rPr>
        <w:t>，分支机构投标的，须提供总公司和分公司营业执照复印件，总公司出具给分支机构的授权书；</w:t>
      </w: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bookmarkStart w:id="0" w:name="_GoBack"/>
      <w:bookmarkEnd w:id="0"/>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2026年中山市东升医院护士鞋项目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1DA97DB8">
      <w:pPr>
        <w:spacing w:before="41" w:line="227" w:lineRule="auto"/>
        <w:ind w:left="26"/>
        <w:rPr>
          <w:rFonts w:hint="eastAsia" w:ascii="宋体" w:hAnsi="宋体" w:eastAsia="宋体" w:cs="宋体"/>
          <w:b/>
          <w:bCs/>
          <w:spacing w:val="8"/>
          <w:sz w:val="20"/>
          <w:szCs w:val="20"/>
          <w:lang w:val="en-US" w:eastAsia="zh-CN"/>
        </w:rPr>
      </w:pPr>
      <w:r>
        <w:rPr>
          <w:rFonts w:hint="eastAsia" w:ascii="宋体" w:hAnsi="宋体" w:eastAsia="宋体" w:cs="宋体"/>
          <w:b/>
          <w:bCs/>
          <w:spacing w:val="8"/>
          <w:sz w:val="20"/>
          <w:szCs w:val="20"/>
          <w:lang w:val="en-US" w:eastAsia="zh-CN"/>
        </w:rPr>
        <w:t>七、提供  近 12 个月内任何 1 个月编制的财务报表复印件</w:t>
      </w:r>
    </w:p>
    <w:p w14:paraId="796EEE16">
      <w:pPr>
        <w:spacing w:before="41" w:line="227" w:lineRule="auto"/>
        <w:ind w:left="26"/>
        <w:rPr>
          <w:rFonts w:hint="eastAsia" w:ascii="宋体" w:hAnsi="宋体" w:eastAsia="宋体" w:cs="宋体"/>
          <w:b/>
          <w:bCs/>
          <w:spacing w:val="8"/>
          <w:sz w:val="20"/>
          <w:szCs w:val="20"/>
          <w:lang w:val="en-US" w:eastAsia="zh-CN"/>
        </w:rPr>
        <w:sectPr>
          <w:pgSz w:w="11900" w:h="16840"/>
          <w:pgMar w:top="907" w:right="1701" w:bottom="907" w:left="1701" w:header="0" w:footer="0" w:gutter="0"/>
          <w:cols w:space="720" w:num="1"/>
        </w:sectPr>
      </w:pPr>
    </w:p>
    <w:p w14:paraId="4EA0C871">
      <w:pPr>
        <w:spacing w:before="41" w:line="227" w:lineRule="auto"/>
        <w:rPr>
          <w:rFonts w:ascii="宋体" w:hAnsi="宋体" w:eastAsia="宋体" w:cs="宋体"/>
          <w:sz w:val="20"/>
          <w:szCs w:val="20"/>
          <w:lang w:eastAsia="zh-CN"/>
        </w:rPr>
      </w:pPr>
      <w:r>
        <w:rPr>
          <w:rFonts w:hint="eastAsia" w:ascii="宋体" w:hAnsi="宋体" w:eastAsia="宋体" w:cs="宋体"/>
          <w:b/>
          <w:bCs/>
          <w:spacing w:val="8"/>
          <w:sz w:val="20"/>
          <w:szCs w:val="20"/>
          <w:lang w:val="en-US" w:eastAsia="zh-CN"/>
        </w:rPr>
        <w:t>八</w:t>
      </w:r>
      <w:r>
        <w:rPr>
          <w:rFonts w:ascii="宋体" w:hAnsi="宋体" w:eastAsia="宋体" w:cs="宋体"/>
          <w:b/>
          <w:bCs/>
          <w:spacing w:val="8"/>
          <w:sz w:val="20"/>
          <w:szCs w:val="20"/>
          <w:lang w:eastAsia="zh-CN"/>
        </w:rPr>
        <w:t>、近</w:t>
      </w:r>
      <w:r>
        <w:rPr>
          <w:rFonts w:ascii="宋体" w:hAnsi="宋体" w:eastAsia="宋体" w:cs="宋体"/>
          <w:spacing w:val="-34"/>
          <w:sz w:val="20"/>
          <w:szCs w:val="20"/>
          <w:lang w:eastAsia="zh-CN"/>
        </w:rPr>
        <w:t xml:space="preserve"> </w:t>
      </w:r>
      <w:r>
        <w:rPr>
          <w:rFonts w:ascii="Times New Roman" w:hAnsi="Times New Roman" w:eastAsia="Times New Roman" w:cs="Times New Roman"/>
          <w:b/>
          <w:bCs/>
          <w:spacing w:val="8"/>
          <w:sz w:val="20"/>
          <w:szCs w:val="20"/>
          <w:lang w:eastAsia="zh-CN"/>
        </w:rPr>
        <w:t xml:space="preserve">12 </w:t>
      </w:r>
      <w:r>
        <w:rPr>
          <w:rFonts w:ascii="宋体" w:hAnsi="宋体" w:eastAsia="宋体" w:cs="宋体"/>
          <w:b/>
          <w:bCs/>
          <w:spacing w:val="8"/>
          <w:sz w:val="20"/>
          <w:szCs w:val="20"/>
          <w:lang w:eastAsia="zh-CN"/>
        </w:rPr>
        <w:t>个月内任何时间的</w:t>
      </w:r>
      <w:r>
        <w:rPr>
          <w:rFonts w:ascii="宋体" w:hAnsi="宋体" w:eastAsia="宋体" w:cs="宋体"/>
          <w:b/>
          <w:bCs/>
          <w:spacing w:val="8"/>
          <w:sz w:val="20"/>
          <w:szCs w:val="20"/>
          <w:shd w:val="clear" w:color="auto" w:fill="FFFF00"/>
          <w:lang w:eastAsia="zh-CN"/>
        </w:rPr>
        <w:t>纳税证明资料复印件</w:t>
      </w:r>
      <w:r>
        <w:rPr>
          <w:rFonts w:ascii="宋体" w:hAnsi="宋体" w:eastAsia="宋体" w:cs="宋体"/>
          <w:b/>
          <w:bCs/>
          <w:spacing w:val="8"/>
          <w:sz w:val="20"/>
          <w:szCs w:val="20"/>
          <w:lang w:eastAsia="zh-CN"/>
        </w:rPr>
        <w:t>，如</w:t>
      </w:r>
      <w:r>
        <w:rPr>
          <w:rFonts w:ascii="宋体" w:hAnsi="宋体" w:eastAsia="宋体" w:cs="宋体"/>
          <w:b/>
          <w:bCs/>
          <w:spacing w:val="7"/>
          <w:sz w:val="20"/>
          <w:szCs w:val="20"/>
          <w:lang w:eastAsia="zh-CN"/>
        </w:rPr>
        <w:t>依法免税的，应提供相应文件证明</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keepNext w:val="0"/>
        <w:keepLines w:val="0"/>
        <w:pageBreakBefore w:val="0"/>
        <w:widowControl/>
        <w:kinsoku w:val="0"/>
        <w:wordWrap/>
        <w:overflowPunct/>
        <w:topLinePunct w:val="0"/>
        <w:autoSpaceDE w:val="0"/>
        <w:autoSpaceDN w:val="0"/>
        <w:bidi w:val="0"/>
        <w:adjustRightInd w:val="0"/>
        <w:snapToGrid w:val="0"/>
        <w:spacing w:before="44" w:line="360" w:lineRule="exact"/>
        <w:ind w:left="22" w:right="18" w:firstLine="1"/>
        <w:jc w:val="both"/>
        <w:textAlignment w:val="baseline"/>
        <w:rPr>
          <w:rFonts w:hint="eastAsia" w:ascii="宋体" w:hAnsi="宋体" w:eastAsia="宋体" w:cs="宋体"/>
          <w:b/>
          <w:bCs/>
          <w:spacing w:val="8"/>
          <w:sz w:val="20"/>
          <w:szCs w:val="20"/>
          <w:lang w:val="en-US" w:eastAsia="zh-CN"/>
        </w:rPr>
      </w:pPr>
      <w:r>
        <w:rPr>
          <w:rFonts w:hint="eastAsia" w:ascii="宋体" w:hAnsi="宋体" w:eastAsia="宋体" w:cs="宋体"/>
          <w:b/>
          <w:bCs/>
          <w:spacing w:val="8"/>
          <w:sz w:val="20"/>
          <w:szCs w:val="20"/>
          <w:lang w:val="en-US" w:eastAsia="zh-CN"/>
        </w:rPr>
        <w:t>九、近 12 个月内任何时间的缴交社保证明资料复印件，如依法不需要缴纳社会保障资金的，应提供相应文件证明</w:t>
      </w:r>
    </w:p>
    <w:p w14:paraId="6E0D33B8">
      <w:pPr>
        <w:keepNext w:val="0"/>
        <w:keepLines w:val="0"/>
        <w:pageBreakBefore w:val="0"/>
        <w:widowControl/>
        <w:kinsoku w:val="0"/>
        <w:wordWrap/>
        <w:overflowPunct/>
        <w:topLinePunct w:val="0"/>
        <w:autoSpaceDE w:val="0"/>
        <w:autoSpaceDN w:val="0"/>
        <w:bidi w:val="0"/>
        <w:adjustRightInd w:val="0"/>
        <w:snapToGrid w:val="0"/>
        <w:spacing w:before="44" w:line="360" w:lineRule="exact"/>
        <w:ind w:left="22" w:right="18" w:firstLine="1"/>
        <w:jc w:val="both"/>
        <w:textAlignment w:val="baseline"/>
        <w:rPr>
          <w:rFonts w:hint="eastAsia" w:ascii="宋体" w:hAnsi="宋体" w:eastAsia="宋体" w:cs="宋体"/>
          <w:b/>
          <w:bCs/>
          <w:spacing w:val="8"/>
          <w:sz w:val="20"/>
          <w:szCs w:val="20"/>
          <w:lang w:val="en-US" w:eastAsia="zh-CN"/>
        </w:rPr>
        <w:sectPr>
          <w:pgSz w:w="11900" w:h="16840"/>
          <w:pgMar w:top="907" w:right="1701" w:bottom="907" w:left="1701"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360" w:lineRule="exact"/>
        <w:ind w:right="18"/>
        <w:jc w:val="both"/>
        <w:textAlignment w:val="baseline"/>
        <w:rPr>
          <w:rFonts w:ascii="宋体" w:hAnsi="宋体" w:eastAsia="宋体" w:cs="宋体"/>
          <w:b/>
          <w:bCs/>
          <w:color w:val="FF0000"/>
          <w:spacing w:val="7"/>
          <w:sz w:val="20"/>
          <w:szCs w:val="20"/>
          <w:lang w:eastAsia="zh-CN"/>
        </w:rPr>
      </w:pPr>
      <w:r>
        <w:rPr>
          <w:rFonts w:hint="eastAsia" w:ascii="宋体" w:hAnsi="宋体" w:eastAsia="宋体" w:cs="宋体"/>
          <w:b/>
          <w:bCs/>
          <w:spacing w:val="8"/>
          <w:sz w:val="20"/>
          <w:szCs w:val="20"/>
          <w:lang w:val="en-US" w:eastAsia="zh-CN"/>
        </w:rPr>
        <w:t>十</w:t>
      </w:r>
      <w:r>
        <w:rPr>
          <w:rFonts w:ascii="宋体" w:hAnsi="宋体" w:eastAsia="宋体" w:cs="宋体"/>
          <w:b/>
          <w:bCs/>
          <w:spacing w:val="8"/>
          <w:sz w:val="20"/>
          <w:szCs w:val="20"/>
          <w:lang w:eastAsia="zh-CN"/>
        </w:rPr>
        <w:t>、</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未被列入“信用中国”网站</w:t>
      </w:r>
      <w:r>
        <w:rPr>
          <w:rFonts w:ascii="Calibri" w:hAnsi="Calibri" w:eastAsia="Calibri" w:cs="Calibri"/>
          <w:b/>
          <w:bCs/>
          <w:spacing w:val="8"/>
          <w:sz w:val="20"/>
          <w:szCs w:val="20"/>
          <w:lang w:eastAsia="zh-CN"/>
        </w:rPr>
        <w:t>(</w:t>
      </w:r>
      <w:r>
        <w:fldChar w:fldCharType="begin"/>
      </w:r>
      <w:r>
        <w:instrText xml:space="preserve"> HYPERLINK "https://www.creditchina.gov.cn"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creditchina</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8"/>
          <w:sz w:val="20"/>
          <w:szCs w:val="20"/>
          <w:shd w:val="clear" w:color="auto" w:fill="FFFF00"/>
          <w:lang w:eastAsia="zh-CN"/>
        </w:rPr>
        <w:t>)</w:t>
      </w:r>
      <w:r>
        <w:rPr>
          <w:rFonts w:ascii="宋体" w:hAnsi="宋体" w:eastAsia="宋体" w:cs="宋体"/>
          <w:b/>
          <w:bCs/>
          <w:spacing w:val="8"/>
          <w:sz w:val="20"/>
          <w:szCs w:val="20"/>
          <w:shd w:val="clear" w:color="auto" w:fill="FFFF00"/>
          <w:lang w:eastAsia="zh-CN"/>
        </w:rPr>
        <w:t>“记录失信被执行人或重大</w:t>
      </w:r>
      <w:r>
        <w:rPr>
          <w:rFonts w:ascii="宋体" w:hAnsi="宋体" w:eastAsia="宋体" w:cs="宋体"/>
          <w:b/>
          <w:bCs/>
          <w:spacing w:val="6"/>
          <w:sz w:val="20"/>
          <w:szCs w:val="20"/>
          <w:shd w:val="clear" w:color="auto" w:fill="FFFF00"/>
          <w:lang w:eastAsia="zh-CN"/>
        </w:rPr>
        <w:t>税收违法案件当事人名单；不处于中国政府采购网</w:t>
      </w:r>
      <w:r>
        <w:rPr>
          <w:rFonts w:ascii="Calibri" w:hAnsi="Calibri" w:eastAsia="Calibri" w:cs="Calibri"/>
          <w:b/>
          <w:bCs/>
          <w:spacing w:val="6"/>
          <w:sz w:val="20"/>
          <w:szCs w:val="20"/>
          <w:shd w:val="clear" w:color="auto" w:fill="FFFF00"/>
          <w:lang w:eastAsia="zh-CN"/>
        </w:rPr>
        <w:t>(</w:t>
      </w:r>
      <w:r>
        <w:fldChar w:fldCharType="begin"/>
      </w:r>
      <w:r>
        <w:instrText xml:space="preserve"> HYPERLINK "https://www.ccgp.gov.cn"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ccgp</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6"/>
          <w:sz w:val="20"/>
          <w:szCs w:val="20"/>
          <w:shd w:val="clear" w:color="auto" w:fill="FFFF00"/>
          <w:lang w:eastAsia="zh-CN"/>
        </w:rPr>
        <w:t>)</w:t>
      </w:r>
      <w:r>
        <w:rPr>
          <w:rFonts w:ascii="宋体" w:hAnsi="宋体" w:eastAsia="宋体" w:cs="宋体"/>
          <w:b/>
          <w:bCs/>
          <w:spacing w:val="6"/>
          <w:sz w:val="20"/>
          <w:szCs w:val="20"/>
          <w:shd w:val="clear" w:color="auto" w:fill="FFFF00"/>
          <w:lang w:eastAsia="zh-CN"/>
        </w:rPr>
        <w:t>“政府采购严重违法失</w:t>
      </w:r>
      <w:r>
        <w:rPr>
          <w:rFonts w:ascii="宋体" w:hAnsi="宋体" w:eastAsia="宋体" w:cs="宋体"/>
          <w:b/>
          <w:bCs/>
          <w:spacing w:val="7"/>
          <w:sz w:val="20"/>
          <w:szCs w:val="20"/>
          <w:shd w:val="clear" w:color="auto" w:fill="FFFF00"/>
          <w:lang w:eastAsia="zh-CN"/>
        </w:rPr>
        <w:t>信行为信息记录</w:t>
      </w:r>
      <w:r>
        <w:rPr>
          <w:rFonts w:ascii="宋体" w:hAnsi="宋体" w:eastAsia="宋体" w:cs="宋体"/>
          <w:spacing w:val="-69"/>
          <w:sz w:val="20"/>
          <w:szCs w:val="20"/>
          <w:lang w:eastAsia="zh-CN"/>
        </w:rPr>
        <w:t xml:space="preserve"> </w:t>
      </w:r>
      <w:r>
        <w:rPr>
          <w:rFonts w:ascii="宋体" w:hAnsi="宋体" w:eastAsia="宋体" w:cs="宋体"/>
          <w:b/>
          <w:bCs/>
          <w:spacing w:val="7"/>
          <w:sz w:val="20"/>
          <w:szCs w:val="20"/>
          <w:lang w:eastAsia="zh-CN"/>
        </w:rPr>
        <w:t>”中的禁止参加政府采购活动期间。</w:t>
      </w:r>
      <w:r>
        <w:rPr>
          <w:rFonts w:ascii="宋体" w:hAnsi="宋体" w:eastAsia="宋体" w:cs="宋体"/>
          <w:b/>
          <w:bCs/>
          <w:color w:val="FF0000"/>
          <w:spacing w:val="7"/>
          <w:sz w:val="20"/>
          <w:szCs w:val="20"/>
          <w:lang w:eastAsia="zh-CN"/>
        </w:rPr>
        <w:t>（提供以上截图）</w:t>
      </w:r>
    </w:p>
    <w:p w14:paraId="45700727">
      <w:pPr>
        <w:rPr>
          <w:rFonts w:ascii="宋体" w:hAnsi="宋体" w:eastAsia="宋体" w:cs="宋体"/>
          <w:b/>
          <w:bCs/>
          <w:color w:val="FF0000"/>
          <w:spacing w:val="7"/>
          <w:sz w:val="20"/>
          <w:szCs w:val="20"/>
          <w:lang w:eastAsia="zh-CN"/>
        </w:rPr>
      </w:pPr>
      <w:r>
        <w:rPr>
          <w:rFonts w:ascii="宋体" w:hAnsi="宋体" w:eastAsia="宋体" w:cs="宋体"/>
          <w:b/>
          <w:bCs/>
          <w:color w:val="FF0000"/>
          <w:spacing w:val="7"/>
          <w:sz w:val="20"/>
          <w:szCs w:val="20"/>
          <w:lang w:eastAsia="zh-CN"/>
        </w:rPr>
        <w:br w:type="page"/>
      </w:r>
    </w:p>
    <w:p w14:paraId="13962625">
      <w:pPr>
        <w:keepNext w:val="0"/>
        <w:keepLines w:val="0"/>
        <w:pageBreakBefore w:val="0"/>
        <w:widowControl/>
        <w:kinsoku w:val="0"/>
        <w:wordWrap/>
        <w:overflowPunct/>
        <w:topLinePunct w:val="0"/>
        <w:autoSpaceDE w:val="0"/>
        <w:autoSpaceDN w:val="0"/>
        <w:bidi w:val="0"/>
        <w:adjustRightInd w:val="0"/>
        <w:snapToGrid w:val="0"/>
        <w:spacing w:before="44" w:line="360" w:lineRule="exact"/>
        <w:ind w:left="22" w:right="18" w:firstLine="1"/>
        <w:jc w:val="both"/>
        <w:textAlignment w:val="baseline"/>
        <w:rPr>
          <w:rFonts w:hint="default" w:ascii="宋体" w:hAnsi="宋体" w:eastAsia="宋体" w:cs="宋体"/>
          <w:b/>
          <w:bCs/>
          <w:color w:val="auto"/>
          <w:spacing w:val="7"/>
          <w:sz w:val="20"/>
          <w:szCs w:val="20"/>
          <w:highlight w:val="none"/>
          <w:lang w:val="en-US" w:eastAsia="zh-CN"/>
        </w:rPr>
      </w:pPr>
      <w:r>
        <w:rPr>
          <w:rFonts w:hint="eastAsia" w:ascii="宋体" w:hAnsi="宋体" w:eastAsia="宋体" w:cs="宋体"/>
          <w:b/>
          <w:bCs/>
          <w:color w:val="auto"/>
          <w:spacing w:val="7"/>
          <w:sz w:val="20"/>
          <w:szCs w:val="20"/>
          <w:highlight w:val="none"/>
          <w:lang w:val="en-US" w:eastAsia="zh-CN"/>
        </w:rPr>
        <w:t>十一</w:t>
      </w:r>
      <w:r>
        <w:rPr>
          <w:rFonts w:ascii="宋体" w:hAnsi="宋体" w:eastAsia="宋体" w:cs="宋体"/>
          <w:b/>
          <w:bCs/>
          <w:color w:val="auto"/>
          <w:spacing w:val="7"/>
          <w:sz w:val="20"/>
          <w:szCs w:val="20"/>
          <w:highlight w:val="none"/>
          <w:lang w:eastAsia="zh-CN"/>
        </w:rPr>
        <w:t>、</w:t>
      </w:r>
      <w:r>
        <w:rPr>
          <w:rFonts w:hint="eastAsia" w:ascii="宋体" w:hAnsi="宋体" w:eastAsia="宋体" w:cs="宋体"/>
          <w:b/>
          <w:bCs/>
          <w:color w:val="auto"/>
          <w:spacing w:val="7"/>
          <w:sz w:val="20"/>
          <w:szCs w:val="20"/>
          <w:highlight w:val="none"/>
          <w:lang w:val="en-US" w:eastAsia="zh-CN"/>
        </w:rPr>
        <w:t>产品检测报告，报告内容应包含产品的参数标准（包含但不限于）。</w:t>
      </w:r>
    </w:p>
    <w:p w14:paraId="4679266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ascii="宋体" w:hAnsi="宋体" w:eastAsia="宋体" w:cs="宋体"/>
          <w:sz w:val="20"/>
          <w:szCs w:val="20"/>
          <w:lang w:eastAsia="zh-CN"/>
        </w:rPr>
      </w:pPr>
    </w:p>
    <w:p w14:paraId="51E0FC4E">
      <w:pPr>
        <w:rPr>
          <w:rFonts w:ascii="宋体" w:hAnsi="宋体" w:eastAsia="宋体" w:cs="宋体"/>
          <w:sz w:val="20"/>
          <w:szCs w:val="20"/>
          <w:lang w:eastAsia="zh-CN"/>
        </w:rPr>
      </w:pPr>
      <w:r>
        <w:rPr>
          <w:rFonts w:ascii="宋体" w:hAnsi="宋体" w:eastAsia="宋体" w:cs="宋体"/>
          <w:sz w:val="20"/>
          <w:szCs w:val="20"/>
          <w:lang w:eastAsia="zh-CN"/>
        </w:rPr>
        <w:br w:type="page"/>
      </w:r>
    </w:p>
    <w:p w14:paraId="20405371">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ascii="宋体" w:hAnsi="宋体" w:eastAsia="宋体" w:cs="宋体"/>
          <w:b/>
          <w:bCs/>
          <w:sz w:val="20"/>
          <w:szCs w:val="20"/>
          <w:lang w:eastAsia="zh-CN"/>
        </w:rPr>
      </w:pPr>
      <w:r>
        <w:rPr>
          <w:rFonts w:ascii="宋体" w:hAnsi="宋体" w:eastAsia="宋体" w:cs="宋体"/>
          <w:b/>
          <w:bCs/>
          <w:sz w:val="20"/>
          <w:szCs w:val="20"/>
          <w:lang w:eastAsia="zh-CN"/>
        </w:rPr>
        <w:t>十</w:t>
      </w:r>
      <w:r>
        <w:rPr>
          <w:rFonts w:hint="eastAsia" w:ascii="宋体" w:hAnsi="宋体" w:eastAsia="宋体" w:cs="宋体"/>
          <w:b/>
          <w:bCs/>
          <w:sz w:val="20"/>
          <w:szCs w:val="20"/>
          <w:lang w:val="en-US" w:eastAsia="zh-CN"/>
        </w:rPr>
        <w:t>二</w:t>
      </w:r>
      <w:r>
        <w:rPr>
          <w:rFonts w:ascii="宋体" w:hAnsi="宋体" w:eastAsia="宋体" w:cs="宋体"/>
          <w:b/>
          <w:bCs/>
          <w:sz w:val="20"/>
          <w:szCs w:val="20"/>
          <w:lang w:eastAsia="zh-CN"/>
        </w:rPr>
        <w:t>、</w:t>
      </w:r>
      <w:r>
        <w:rPr>
          <w:rFonts w:hint="eastAsia" w:ascii="宋体" w:hAnsi="宋体" w:eastAsia="宋体" w:cs="宋体"/>
          <w:b/>
          <w:bCs/>
          <w:sz w:val="20"/>
          <w:szCs w:val="20"/>
          <w:lang w:val="en-US" w:eastAsia="zh-CN"/>
        </w:rPr>
        <w:t>承诺函（格式自拟），须承诺所提供的货物必须符合国家有关规范和环保要求及采购人的技术要求，所有货物及服务不得侵犯第三方专利、商标或版权等。</w:t>
      </w:r>
      <w:r>
        <w:rPr>
          <w:rFonts w:ascii="宋体" w:hAnsi="宋体" w:eastAsia="宋体" w:cs="宋体"/>
          <w:b/>
          <w:bCs/>
          <w:sz w:val="20"/>
          <w:szCs w:val="20"/>
          <w:lang w:eastAsia="zh-CN"/>
        </w:rPr>
        <w:br w:type="page"/>
      </w:r>
    </w:p>
    <w:p w14:paraId="44909C9D">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ascii="宋体" w:hAnsi="宋体" w:eastAsia="宋体" w:cs="宋体"/>
          <w:b/>
          <w:bCs/>
          <w:sz w:val="20"/>
          <w:szCs w:val="20"/>
          <w:lang w:eastAsia="zh-CN"/>
        </w:rPr>
        <w:sectPr>
          <w:pgSz w:w="11900" w:h="16840"/>
          <w:pgMar w:top="907" w:right="1701" w:bottom="907" w:left="1701" w:header="0" w:footer="0" w:gutter="0"/>
          <w:cols w:space="720" w:num="1"/>
        </w:sectPr>
      </w:pPr>
    </w:p>
    <w:p w14:paraId="1AD104C4">
      <w:pPr>
        <w:spacing w:before="137"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三</w:t>
      </w:r>
      <w:r>
        <w:rPr>
          <w:rFonts w:ascii="宋体" w:hAnsi="宋体" w:eastAsia="宋体" w:cs="宋体"/>
          <w:b/>
          <w:bCs/>
          <w:spacing w:val="7"/>
          <w:sz w:val="20"/>
          <w:szCs w:val="20"/>
          <w:lang w:eastAsia="zh-CN"/>
        </w:rPr>
        <w:t>、采购需求偏离表</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p w14:paraId="1BEB5AA2">
      <w:pPr>
        <w:spacing w:before="163"/>
        <w:rPr>
          <w:lang w:eastAsia="zh-CN"/>
        </w:rPr>
      </w:pPr>
    </w:p>
    <w:tbl>
      <w:tblPr>
        <w:tblStyle w:val="10"/>
        <w:tblW w:w="105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705"/>
        <w:gridCol w:w="7349"/>
        <w:gridCol w:w="1214"/>
        <w:gridCol w:w="1249"/>
      </w:tblGrid>
      <w:tr w14:paraId="1C0D1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55" w:hRule="atLeast"/>
        </w:trPr>
        <w:tc>
          <w:tcPr>
            <w:tcW w:w="705" w:type="dxa"/>
            <w:vAlign w:val="center"/>
          </w:tcPr>
          <w:p w14:paraId="5BDB5DDC">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7349" w:type="dxa"/>
            <w:vAlign w:val="center"/>
          </w:tcPr>
          <w:p w14:paraId="3674397B">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214" w:type="dxa"/>
            <w:vAlign w:val="center"/>
          </w:tcPr>
          <w:p w14:paraId="53D5C9DE">
            <w:pPr>
              <w:spacing w:before="180" w:line="300" w:lineRule="exact"/>
              <w:ind w:right="241"/>
              <w:jc w:val="center"/>
              <w:rPr>
                <w:rFonts w:hint="default" w:ascii="宋体" w:hAnsi="宋体" w:eastAsia="宋体" w:cs="宋体"/>
                <w:b/>
                <w:bCs/>
                <w:lang w:val="en-US" w:eastAsia="zh-CN"/>
              </w:rPr>
            </w:pPr>
            <w:r>
              <w:rPr>
                <w:rFonts w:hint="eastAsia" w:ascii="宋体" w:hAnsi="宋体" w:eastAsia="宋体" w:cs="宋体"/>
                <w:b/>
                <w:bCs/>
                <w:lang w:val="en-US" w:eastAsia="zh-CN"/>
              </w:rPr>
              <w:t>完全响应或正/负偏离</w:t>
            </w:r>
          </w:p>
        </w:tc>
        <w:tc>
          <w:tcPr>
            <w:tcW w:w="1249" w:type="dxa"/>
            <w:vAlign w:val="center"/>
          </w:tcPr>
          <w:p w14:paraId="189B2D09">
            <w:pPr>
              <w:spacing w:before="65" w:line="300" w:lineRule="exact"/>
              <w:jc w:val="center"/>
              <w:rPr>
                <w:rFonts w:ascii="宋体" w:hAnsi="宋体" w:eastAsia="宋体" w:cs="宋体"/>
                <w:b/>
                <w:bCs/>
              </w:rPr>
            </w:pPr>
            <w:r>
              <w:rPr>
                <w:rFonts w:hint="eastAsia" w:ascii="宋体" w:hAnsi="宋体" w:eastAsia="宋体" w:cs="宋体"/>
                <w:b/>
                <w:bCs/>
                <w:spacing w:val="7"/>
              </w:rPr>
              <w:t>偏离情况</w:t>
            </w:r>
          </w:p>
        </w:tc>
      </w:tr>
      <w:tr w14:paraId="471DF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705" w:type="dxa"/>
            <w:vAlign w:val="center"/>
          </w:tcPr>
          <w:p w14:paraId="65A6A3D8">
            <w:pPr>
              <w:spacing w:before="65" w:line="270" w:lineRule="exact"/>
              <w:jc w:val="center"/>
              <w:rPr>
                <w:rFonts w:ascii="宋体" w:hAnsi="宋体" w:eastAsia="宋体" w:cs="宋体"/>
              </w:rPr>
            </w:pPr>
            <w:r>
              <w:rPr>
                <w:rFonts w:hint="eastAsia" w:ascii="宋体" w:hAnsi="宋体" w:eastAsia="宋体" w:cs="宋体"/>
                <w:position w:val="1"/>
              </w:rPr>
              <w:t>1</w:t>
            </w:r>
          </w:p>
        </w:tc>
        <w:tc>
          <w:tcPr>
            <w:tcW w:w="7349" w:type="dxa"/>
          </w:tcPr>
          <w:p w14:paraId="613EC4D5">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一、项目概况：</w:t>
            </w:r>
          </w:p>
          <w:p w14:paraId="70AFE07D">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rPr>
              <w:t>项目名称：</w:t>
            </w:r>
            <w:r>
              <w:rPr>
                <w:rFonts w:hint="eastAsia" w:ascii="宋体" w:hAnsi="宋体" w:eastAsia="宋体" w:cs="宋体"/>
                <w:sz w:val="20"/>
                <w:szCs w:val="20"/>
                <w:lang w:val="en-US" w:eastAsia="zh-CN"/>
              </w:rPr>
              <w:t>2026年中山市东升医院护士鞋项目</w:t>
            </w:r>
          </w:p>
          <w:p w14:paraId="7B73498F">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项目编号：HW-CW-BA-2026027</w:t>
            </w:r>
          </w:p>
          <w:p w14:paraId="35804A58">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3. </w:t>
            </w:r>
            <w:r>
              <w:rPr>
                <w:rFonts w:hint="eastAsia" w:ascii="宋体" w:hAnsi="宋体" w:eastAsia="宋体" w:cs="宋体"/>
                <w:sz w:val="20"/>
                <w:szCs w:val="20"/>
              </w:rPr>
              <w:t>预算金额：</w:t>
            </w:r>
            <w:r>
              <w:rPr>
                <w:rFonts w:hint="eastAsia" w:ascii="宋体" w:hAnsi="宋体" w:eastAsia="宋体" w:cs="宋体"/>
                <w:sz w:val="20"/>
                <w:szCs w:val="20"/>
                <w:lang w:val="en-US" w:eastAsia="zh-CN"/>
              </w:rPr>
              <w:t>19896元（报价不能高于</w:t>
            </w:r>
            <w:r>
              <w:rPr>
                <w:rFonts w:hint="eastAsia" w:ascii="宋体" w:hAnsi="宋体" w:eastAsia="宋体" w:cs="宋体"/>
                <w:sz w:val="20"/>
                <w:szCs w:val="20"/>
              </w:rPr>
              <w:t>预算金额</w:t>
            </w:r>
            <w:r>
              <w:rPr>
                <w:rFonts w:hint="eastAsia" w:ascii="宋体" w:hAnsi="宋体" w:eastAsia="宋体" w:cs="宋体"/>
                <w:sz w:val="20"/>
                <w:szCs w:val="20"/>
                <w:lang w:val="en-US" w:eastAsia="zh-CN"/>
              </w:rPr>
              <w:t>）</w:t>
            </w:r>
          </w:p>
          <w:p w14:paraId="7469EC19">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 质保期：1年或以上</w:t>
            </w:r>
          </w:p>
          <w:p w14:paraId="599ACED2">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 交货期：签订合同后20个日历天内完成供货</w:t>
            </w:r>
          </w:p>
          <w:p w14:paraId="4BBF22FE">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6. </w:t>
            </w:r>
            <w:r>
              <w:rPr>
                <w:rFonts w:hint="eastAsia" w:ascii="宋体" w:hAnsi="宋体" w:eastAsia="宋体" w:cs="宋体"/>
                <w:sz w:val="20"/>
                <w:szCs w:val="20"/>
              </w:rPr>
              <w:t>供货地点：运送至</w:t>
            </w:r>
            <w:r>
              <w:rPr>
                <w:rFonts w:hint="eastAsia" w:ascii="宋体" w:hAnsi="宋体" w:eastAsia="宋体" w:cs="宋体"/>
                <w:sz w:val="20"/>
                <w:szCs w:val="20"/>
                <w:lang w:val="en-US" w:eastAsia="zh-CN"/>
              </w:rPr>
              <w:t>采购</w:t>
            </w:r>
            <w:r>
              <w:rPr>
                <w:rFonts w:hint="eastAsia" w:ascii="宋体" w:hAnsi="宋体" w:eastAsia="宋体" w:cs="宋体"/>
                <w:sz w:val="20"/>
                <w:szCs w:val="20"/>
              </w:rPr>
              <w:t>人</w:t>
            </w:r>
            <w:r>
              <w:rPr>
                <w:rFonts w:hint="eastAsia" w:ascii="宋体" w:hAnsi="宋体" w:eastAsia="宋体" w:cs="宋体"/>
                <w:sz w:val="20"/>
                <w:szCs w:val="20"/>
                <w:lang w:val="en-US" w:eastAsia="zh-CN"/>
              </w:rPr>
              <w:t>指</w:t>
            </w:r>
            <w:r>
              <w:rPr>
                <w:rFonts w:hint="eastAsia" w:ascii="宋体" w:hAnsi="宋体" w:eastAsia="宋体" w:cs="宋体"/>
                <w:sz w:val="20"/>
                <w:szCs w:val="20"/>
              </w:rPr>
              <w:t>定地点</w:t>
            </w:r>
          </w:p>
          <w:p w14:paraId="46A58DA6">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 xml:space="preserve">7. </w:t>
            </w:r>
            <w:r>
              <w:rPr>
                <w:rFonts w:hint="eastAsia" w:ascii="宋体" w:hAnsi="宋体" w:eastAsia="宋体" w:cs="宋体"/>
                <w:sz w:val="20"/>
                <w:szCs w:val="20"/>
              </w:rPr>
              <w:t>文件中标有“★”的地方均被视为重要的响应条款，供应商必须完全响应。若有一项带“★”的要求未响应或不满足，将不通过资格性、符合性审查。加注“▲”的内容为重点评标项目，投标供应商必须对该标识项目按照要求进行真实应答描述。</w:t>
            </w:r>
          </w:p>
        </w:tc>
        <w:tc>
          <w:tcPr>
            <w:tcW w:w="1214" w:type="dxa"/>
          </w:tcPr>
          <w:p w14:paraId="5B3B314A">
            <w:pPr>
              <w:pStyle w:val="11"/>
              <w:rPr>
                <w:rFonts w:ascii="宋体" w:hAnsi="宋体" w:eastAsia="宋体" w:cs="宋体"/>
                <w:lang w:eastAsia="zh-CN"/>
              </w:rPr>
            </w:pPr>
          </w:p>
        </w:tc>
        <w:tc>
          <w:tcPr>
            <w:tcW w:w="1249" w:type="dxa"/>
          </w:tcPr>
          <w:p w14:paraId="28582A36">
            <w:pPr>
              <w:pStyle w:val="11"/>
              <w:rPr>
                <w:rFonts w:ascii="宋体" w:hAnsi="宋体" w:eastAsia="宋体" w:cs="宋体"/>
                <w:lang w:eastAsia="zh-CN"/>
              </w:rPr>
            </w:pPr>
          </w:p>
        </w:tc>
      </w:tr>
      <w:tr w14:paraId="1DD11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0" w:hRule="atLeast"/>
        </w:trPr>
        <w:tc>
          <w:tcPr>
            <w:tcW w:w="705" w:type="dxa"/>
            <w:vAlign w:val="center"/>
          </w:tcPr>
          <w:p w14:paraId="2D18E0F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7349" w:type="dxa"/>
          </w:tcPr>
          <w:p w14:paraId="50768A93">
            <w:pPr>
              <w:keepNext w:val="0"/>
              <w:keepLines w:val="0"/>
              <w:pageBreakBefore w:val="0"/>
              <w:widowControl w:val="0"/>
              <w:kinsoku w:val="0"/>
              <w:wordWrap/>
              <w:overflowPunct/>
              <w:topLinePunct w:val="0"/>
              <w:autoSpaceDE w:val="0"/>
              <w:autoSpaceDN w:val="0"/>
              <w:bidi w:val="0"/>
              <w:adjustRightInd w:val="0"/>
              <w:snapToGrid w:val="0"/>
              <w:spacing w:before="157" w:beforeLines="50" w:after="157" w:afterLines="50" w:line="24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8.项目清单技术参数要求：</w:t>
            </w:r>
          </w:p>
          <w:tbl>
            <w:tblPr>
              <w:tblStyle w:val="7"/>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3"/>
              <w:gridCol w:w="723"/>
              <w:gridCol w:w="562"/>
              <w:gridCol w:w="3812"/>
              <w:gridCol w:w="988"/>
              <w:gridCol w:w="763"/>
            </w:tblGrid>
            <w:tr w14:paraId="15DB2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252" w:type="pct"/>
                  <w:vAlign w:val="center"/>
                </w:tcPr>
                <w:p w14:paraId="3793E2CD">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right="0"/>
                    <w:jc w:val="center"/>
                    <w:textAlignment w:val="auto"/>
                    <w:rPr>
                      <w:rFonts w:hint="eastAsia" w:ascii="宋体" w:hAnsi="宋体" w:eastAsia="宋体" w:cs="宋体"/>
                      <w:b/>
                      <w:bCs/>
                      <w:i w:val="0"/>
                      <w:iCs w:val="0"/>
                      <w:caps w:val="0"/>
                      <w:color w:val="auto"/>
                      <w:spacing w:val="0"/>
                      <w:sz w:val="18"/>
                      <w:szCs w:val="18"/>
                      <w:u w:val="none"/>
                      <w:shd w:val="clear" w:fill="FFFFFF"/>
                      <w:vertAlign w:val="baseline"/>
                      <w:lang w:val="en-US" w:eastAsia="zh-CN"/>
                    </w:rPr>
                  </w:pPr>
                  <w:r>
                    <w:rPr>
                      <w:rFonts w:hint="eastAsia" w:ascii="宋体" w:hAnsi="宋体" w:eastAsia="宋体" w:cs="宋体"/>
                      <w:b/>
                      <w:bCs/>
                      <w:i w:val="0"/>
                      <w:iCs w:val="0"/>
                      <w:caps w:val="0"/>
                      <w:color w:val="auto"/>
                      <w:spacing w:val="0"/>
                      <w:sz w:val="18"/>
                      <w:szCs w:val="18"/>
                      <w:u w:val="none"/>
                      <w:shd w:val="clear" w:fill="FFFFFF"/>
                      <w:vertAlign w:val="baseline"/>
                      <w:lang w:val="en-US" w:eastAsia="zh-CN"/>
                    </w:rPr>
                    <w:t>编号</w:t>
                  </w:r>
                </w:p>
              </w:tc>
              <w:tc>
                <w:tcPr>
                  <w:tcW w:w="501" w:type="pct"/>
                  <w:vAlign w:val="center"/>
                </w:tcPr>
                <w:p w14:paraId="5A25DAAA">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right="0"/>
                    <w:jc w:val="center"/>
                    <w:textAlignment w:val="auto"/>
                    <w:rPr>
                      <w:rFonts w:hint="eastAsia" w:ascii="宋体" w:hAnsi="宋体" w:eastAsia="宋体" w:cs="宋体"/>
                      <w:b/>
                      <w:bCs/>
                      <w:i w:val="0"/>
                      <w:iCs w:val="0"/>
                      <w:caps w:val="0"/>
                      <w:color w:val="auto"/>
                      <w:spacing w:val="0"/>
                      <w:sz w:val="18"/>
                      <w:szCs w:val="18"/>
                      <w:u w:val="none"/>
                      <w:shd w:val="clear" w:fill="FFFFFF"/>
                      <w:vertAlign w:val="baseline"/>
                      <w:lang w:val="en-US" w:eastAsia="zh-CN"/>
                    </w:rPr>
                  </w:pPr>
                  <w:r>
                    <w:rPr>
                      <w:rFonts w:hint="eastAsia" w:ascii="宋体" w:hAnsi="宋体" w:eastAsia="宋体" w:cs="宋体"/>
                      <w:b/>
                      <w:bCs/>
                      <w:i w:val="0"/>
                      <w:iCs w:val="0"/>
                      <w:caps w:val="0"/>
                      <w:color w:val="auto"/>
                      <w:spacing w:val="0"/>
                      <w:sz w:val="18"/>
                      <w:szCs w:val="18"/>
                      <w:u w:val="none"/>
                      <w:shd w:val="clear" w:fill="FFFFFF"/>
                      <w:vertAlign w:val="baseline"/>
                      <w:lang w:val="en-US" w:eastAsia="zh-CN"/>
                    </w:rPr>
                    <w:t>名称</w:t>
                  </w:r>
                </w:p>
              </w:tc>
              <w:tc>
                <w:tcPr>
                  <w:tcW w:w="390" w:type="pct"/>
                  <w:vAlign w:val="center"/>
                </w:tcPr>
                <w:p w14:paraId="2C9A9AE3">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right="0"/>
                    <w:jc w:val="center"/>
                    <w:textAlignment w:val="auto"/>
                    <w:rPr>
                      <w:rFonts w:hint="eastAsia" w:ascii="宋体" w:hAnsi="宋体" w:eastAsia="宋体" w:cs="宋体"/>
                      <w:b/>
                      <w:bCs/>
                      <w:i w:val="0"/>
                      <w:iCs w:val="0"/>
                      <w:caps w:val="0"/>
                      <w:color w:val="auto"/>
                      <w:spacing w:val="0"/>
                      <w:sz w:val="18"/>
                      <w:szCs w:val="18"/>
                      <w:u w:val="none"/>
                      <w:shd w:val="clear" w:fill="FFFFFF"/>
                      <w:vertAlign w:val="baseline"/>
                      <w:lang w:val="en-US" w:eastAsia="zh-CN"/>
                    </w:rPr>
                  </w:pPr>
                  <w:r>
                    <w:rPr>
                      <w:rFonts w:hint="eastAsia" w:ascii="宋体" w:hAnsi="宋体" w:eastAsia="宋体" w:cs="宋体"/>
                      <w:b/>
                      <w:bCs/>
                      <w:i w:val="0"/>
                      <w:iCs w:val="0"/>
                      <w:caps w:val="0"/>
                      <w:color w:val="auto"/>
                      <w:spacing w:val="0"/>
                      <w:sz w:val="18"/>
                      <w:szCs w:val="18"/>
                      <w:u w:val="none"/>
                      <w:shd w:val="clear" w:fill="FFFFFF"/>
                      <w:vertAlign w:val="baseline"/>
                      <w:lang w:val="en-US" w:eastAsia="zh-CN"/>
                    </w:rPr>
                    <w:t>规格</w:t>
                  </w:r>
                </w:p>
              </w:tc>
              <w:tc>
                <w:tcPr>
                  <w:tcW w:w="2641" w:type="pct"/>
                  <w:vAlign w:val="center"/>
                </w:tcPr>
                <w:p w14:paraId="7EEA3E0A">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right="0"/>
                    <w:jc w:val="center"/>
                    <w:textAlignment w:val="auto"/>
                    <w:rPr>
                      <w:rFonts w:hint="eastAsia" w:ascii="宋体" w:hAnsi="宋体" w:eastAsia="宋体" w:cs="宋体"/>
                      <w:b/>
                      <w:bCs/>
                      <w:i w:val="0"/>
                      <w:iCs w:val="0"/>
                      <w:caps w:val="0"/>
                      <w:color w:val="auto"/>
                      <w:spacing w:val="0"/>
                      <w:sz w:val="18"/>
                      <w:szCs w:val="18"/>
                      <w:u w:val="none"/>
                      <w:shd w:val="clear" w:fill="FFFFFF"/>
                      <w:vertAlign w:val="baseline"/>
                      <w:lang w:val="en-US" w:eastAsia="zh-CN"/>
                    </w:rPr>
                  </w:pPr>
                  <w:r>
                    <w:rPr>
                      <w:rFonts w:hint="eastAsia" w:ascii="宋体" w:hAnsi="宋体" w:eastAsia="宋体" w:cs="宋体"/>
                      <w:b/>
                      <w:bCs/>
                      <w:i w:val="0"/>
                      <w:iCs w:val="0"/>
                      <w:caps w:val="0"/>
                      <w:color w:val="auto"/>
                      <w:spacing w:val="0"/>
                      <w:sz w:val="18"/>
                      <w:szCs w:val="18"/>
                      <w:u w:val="none"/>
                      <w:shd w:val="clear" w:fill="FFFFFF"/>
                      <w:vertAlign w:val="baseline"/>
                      <w:lang w:val="en-US" w:eastAsia="zh-CN"/>
                    </w:rPr>
                    <w:t>技术参数要求</w:t>
                  </w:r>
                </w:p>
              </w:tc>
              <w:tc>
                <w:tcPr>
                  <w:tcW w:w="685" w:type="pct"/>
                  <w:vAlign w:val="center"/>
                </w:tcPr>
                <w:p w14:paraId="1FE49551">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right="0"/>
                    <w:jc w:val="center"/>
                    <w:textAlignment w:val="auto"/>
                    <w:rPr>
                      <w:rFonts w:hint="eastAsia" w:ascii="宋体" w:hAnsi="宋体" w:eastAsia="宋体" w:cs="宋体"/>
                      <w:b/>
                      <w:bCs/>
                      <w:i w:val="0"/>
                      <w:iCs w:val="0"/>
                      <w:caps w:val="0"/>
                      <w:color w:val="auto"/>
                      <w:spacing w:val="0"/>
                      <w:sz w:val="18"/>
                      <w:szCs w:val="18"/>
                      <w:u w:val="none"/>
                      <w:shd w:val="clear" w:fill="FFFFFF"/>
                      <w:vertAlign w:val="baseline"/>
                      <w:lang w:val="en-US" w:eastAsia="zh-CN"/>
                    </w:rPr>
                  </w:pPr>
                  <w:r>
                    <w:rPr>
                      <w:rFonts w:hint="eastAsia" w:ascii="宋体" w:hAnsi="宋体" w:eastAsia="宋体" w:cs="宋体"/>
                      <w:b/>
                      <w:bCs/>
                      <w:i w:val="0"/>
                      <w:iCs w:val="0"/>
                      <w:caps w:val="0"/>
                      <w:color w:val="auto"/>
                      <w:spacing w:val="0"/>
                      <w:sz w:val="18"/>
                      <w:szCs w:val="18"/>
                      <w:u w:val="none"/>
                      <w:shd w:val="clear" w:fill="FFFFFF"/>
                      <w:vertAlign w:val="baseline"/>
                      <w:lang w:val="en-US" w:eastAsia="zh-CN"/>
                    </w:rPr>
                    <w:t>最高限价（元）</w:t>
                  </w:r>
                </w:p>
              </w:tc>
              <w:tc>
                <w:tcPr>
                  <w:tcW w:w="529" w:type="pct"/>
                  <w:vAlign w:val="center"/>
                </w:tcPr>
                <w:p w14:paraId="2DF4ACB2">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right="0"/>
                    <w:jc w:val="center"/>
                    <w:textAlignment w:val="auto"/>
                    <w:rPr>
                      <w:rFonts w:hint="eastAsia" w:ascii="宋体" w:hAnsi="宋体" w:eastAsia="宋体" w:cs="宋体"/>
                      <w:b/>
                      <w:bCs/>
                      <w:i w:val="0"/>
                      <w:iCs w:val="0"/>
                      <w:caps w:val="0"/>
                      <w:color w:val="auto"/>
                      <w:spacing w:val="0"/>
                      <w:sz w:val="18"/>
                      <w:szCs w:val="18"/>
                      <w:u w:val="none"/>
                      <w:shd w:val="clear" w:fill="FFFFFF"/>
                      <w:vertAlign w:val="baseline"/>
                      <w:lang w:val="en-US" w:eastAsia="zh-CN"/>
                    </w:rPr>
                  </w:pPr>
                  <w:r>
                    <w:rPr>
                      <w:rFonts w:hint="eastAsia" w:ascii="宋体" w:hAnsi="宋体" w:eastAsia="宋体" w:cs="宋体"/>
                      <w:b/>
                      <w:bCs/>
                      <w:i w:val="0"/>
                      <w:iCs w:val="0"/>
                      <w:caps w:val="0"/>
                      <w:color w:val="auto"/>
                      <w:spacing w:val="0"/>
                      <w:sz w:val="18"/>
                      <w:szCs w:val="18"/>
                      <w:u w:val="none"/>
                      <w:shd w:val="clear" w:fill="FFFFFF"/>
                      <w:vertAlign w:val="baseline"/>
                      <w:lang w:val="en-US" w:eastAsia="zh-CN"/>
                    </w:rPr>
                    <w:t>数量（双）</w:t>
                  </w:r>
                </w:p>
              </w:tc>
            </w:tr>
            <w:tr w14:paraId="5E957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252" w:type="pct"/>
                  <w:vAlign w:val="center"/>
                </w:tcPr>
                <w:p w14:paraId="0C6D383C">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right="0"/>
                    <w:jc w:val="center"/>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1</w:t>
                  </w:r>
                </w:p>
              </w:tc>
              <w:tc>
                <w:tcPr>
                  <w:tcW w:w="501" w:type="pct"/>
                  <w:vAlign w:val="center"/>
                </w:tcPr>
                <w:p w14:paraId="6EFF5818">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right="0"/>
                    <w:jc w:val="center"/>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护士鞋(女)</w:t>
                  </w:r>
                </w:p>
              </w:tc>
              <w:tc>
                <w:tcPr>
                  <w:tcW w:w="390" w:type="pct"/>
                  <w:vAlign w:val="center"/>
                </w:tcPr>
                <w:p w14:paraId="77B6C36B">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right="0"/>
                    <w:jc w:val="center"/>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所有码</w:t>
                  </w:r>
                </w:p>
              </w:tc>
              <w:tc>
                <w:tcPr>
                  <w:tcW w:w="2641" w:type="pct"/>
                  <w:vMerge w:val="restart"/>
                  <w:vAlign w:val="center"/>
                </w:tcPr>
                <w:p w14:paraId="595329E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1.产品符合行业最新标准QB/T2955-2017（休闲鞋）。</w:t>
                  </w:r>
                </w:p>
                <w:p w14:paraId="11A4CF1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2.鞋面：</w:t>
                  </w:r>
                </w:p>
                <w:p w14:paraId="04022A0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2.1采用白色头层软牛皮，质地柔韧，透气性强，舒适，易于清洁打理防静电。</w:t>
                  </w:r>
                </w:p>
                <w:p w14:paraId="2964A81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2.2鞋面厚度≥1.0mm。</w:t>
                  </w:r>
                </w:p>
                <w:p w14:paraId="121119D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2.3质地具有一定的延伸性和可塑性，柔软、密实、具有弹性。</w:t>
                  </w:r>
                </w:p>
                <w:p w14:paraId="4D03B5B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2.4有较好的耐水性、透气性、透水气性、吸湿性及耐汗性。</w:t>
                  </w:r>
                </w:p>
                <w:p w14:paraId="318395B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3.内里：</w:t>
                  </w:r>
                </w:p>
                <w:p w14:paraId="1EFDEAC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3.1头层猪皮里面。</w:t>
                  </w:r>
                </w:p>
                <w:p w14:paraId="0748036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3.2抗菌、吸汗、不捂脚。</w:t>
                  </w:r>
                </w:p>
                <w:p w14:paraId="3ED940E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3.3猪皮纤维素比较粗壮，相互交织密集，有较大的强度和耐磨性。</w:t>
                  </w:r>
                </w:p>
                <w:p w14:paraId="3F4B45E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3.4经抗微生物处理，防臭、防霉、防菌、绿色环保。</w:t>
                  </w:r>
                </w:p>
                <w:p w14:paraId="0FBED4C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4.鞋垫：</w:t>
                  </w:r>
                </w:p>
                <w:p w14:paraId="2E89F67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4.1定型弹力海绵按摩粒脚垫，脚弓处增加arch部位支撑。</w:t>
                  </w:r>
                </w:p>
                <w:p w14:paraId="6ED8D5B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4.2鞋垫采用前后厚度≥3.5mm舒适棉，透气、清爽、可清洗。</w:t>
                  </w:r>
                </w:p>
                <w:p w14:paraId="1263CE1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4.3活动鞋垫，易于打理，易于清洗。</w:t>
                  </w:r>
                </w:p>
                <w:p w14:paraId="74C3855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5.鞋底：</w:t>
                  </w:r>
                </w:p>
                <w:p w14:paraId="6AB4693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5.1高分子弹性橡塑材料或EVA气垫底，科学承压，抓地更牢，防滑，提供更好的稳定支持，缓解冲击力。高度≥4cm，耐重压、不变形，弹性十足，减震抗压且防滑耐磨，柔软而灵活。弹性佳，耐磨，止滑，静音。</w:t>
                  </w:r>
                </w:p>
                <w:p w14:paraId="1B60B08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5.2鞋底与鞋面除常规工艺黏合并手工拉线缝合加固。</w:t>
                  </w:r>
                </w:p>
                <w:p w14:paraId="7EB587E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5.3后跟处采用包边，不刮脚。</w:t>
                  </w:r>
                </w:p>
              </w:tc>
              <w:tc>
                <w:tcPr>
                  <w:tcW w:w="685" w:type="pct"/>
                  <w:vAlign w:val="center"/>
                </w:tcPr>
                <w:p w14:paraId="075BEE7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center"/>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88</w:t>
                  </w:r>
                </w:p>
              </w:tc>
              <w:tc>
                <w:tcPr>
                  <w:tcW w:w="529" w:type="pct"/>
                  <w:vAlign w:val="center"/>
                </w:tcPr>
                <w:p w14:paraId="248EA66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220" w:lineRule="exact"/>
                    <w:ind w:right="0" w:rightChars="0"/>
                    <w:jc w:val="center"/>
                    <w:textAlignment w:val="auto"/>
                    <w:rPr>
                      <w:rFonts w:hint="default"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205</w:t>
                  </w:r>
                </w:p>
              </w:tc>
            </w:tr>
            <w:tr w14:paraId="4A6AE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52" w:type="pct"/>
                  <w:vAlign w:val="center"/>
                </w:tcPr>
                <w:p w14:paraId="2C59D964">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right="0"/>
                    <w:jc w:val="center"/>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2</w:t>
                  </w:r>
                </w:p>
              </w:tc>
              <w:tc>
                <w:tcPr>
                  <w:tcW w:w="501" w:type="pct"/>
                  <w:vAlign w:val="center"/>
                </w:tcPr>
                <w:p w14:paraId="009F65D9">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right="0"/>
                    <w:jc w:val="center"/>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护士鞋(男)</w:t>
                  </w:r>
                </w:p>
              </w:tc>
              <w:tc>
                <w:tcPr>
                  <w:tcW w:w="390" w:type="pct"/>
                  <w:vAlign w:val="center"/>
                </w:tcPr>
                <w:p w14:paraId="27585654">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right="0"/>
                    <w:jc w:val="center"/>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所有码</w:t>
                  </w:r>
                </w:p>
              </w:tc>
              <w:tc>
                <w:tcPr>
                  <w:tcW w:w="2641" w:type="pct"/>
                  <w:vMerge w:val="continue"/>
                  <w:vAlign w:val="center"/>
                </w:tcPr>
                <w:p w14:paraId="3AA3FEE7">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right="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p>
              </w:tc>
              <w:tc>
                <w:tcPr>
                  <w:tcW w:w="685" w:type="pct"/>
                  <w:vAlign w:val="center"/>
                </w:tcPr>
                <w:p w14:paraId="457DFF4C">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right="0"/>
                    <w:jc w:val="center"/>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88</w:t>
                  </w:r>
                </w:p>
              </w:tc>
              <w:tc>
                <w:tcPr>
                  <w:tcW w:w="529" w:type="pct"/>
                  <w:vAlign w:val="center"/>
                </w:tcPr>
                <w:p w14:paraId="1556626F">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right="0"/>
                    <w:jc w:val="center"/>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2</w:t>
                  </w:r>
                </w:p>
              </w:tc>
            </w:tr>
            <w:tr w14:paraId="1D193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252" w:type="pct"/>
                  <w:vAlign w:val="center"/>
                </w:tcPr>
                <w:p w14:paraId="2E172547">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right="0"/>
                    <w:jc w:val="center"/>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3</w:t>
                  </w:r>
                </w:p>
              </w:tc>
              <w:tc>
                <w:tcPr>
                  <w:tcW w:w="501" w:type="pct"/>
                  <w:vAlign w:val="center"/>
                </w:tcPr>
                <w:p w14:paraId="580AA7CC">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left="0" w:leftChars="0" w:right="0" w:rightChars="0"/>
                    <w:jc w:val="center"/>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洞洞鞋</w:t>
                  </w:r>
                </w:p>
              </w:tc>
              <w:tc>
                <w:tcPr>
                  <w:tcW w:w="390" w:type="pct"/>
                  <w:vAlign w:val="center"/>
                </w:tcPr>
                <w:p w14:paraId="033B0A07">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left="0" w:leftChars="0" w:right="0" w:rightChars="0"/>
                    <w:jc w:val="center"/>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所有码</w:t>
                  </w:r>
                </w:p>
              </w:tc>
              <w:tc>
                <w:tcPr>
                  <w:tcW w:w="2641" w:type="pct"/>
                  <w:vAlign w:val="center"/>
                </w:tcPr>
                <w:p w14:paraId="412D0E9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left="0" w:leftChars="0"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1.产品需符合ISO9001-2015国际标准体系认证。</w:t>
                  </w:r>
                </w:p>
                <w:p w14:paraId="62AAF1AE">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left="0" w:leftChars="0" w:right="0" w:rightChars="0"/>
                    <w:jc w:val="both"/>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2.鞋子需采用优质EVA材料，防滑，鞋子轻便，舒适，具防静电，抗菌的功能，鞋子两边采用透气孔设计。</w:t>
                  </w:r>
                </w:p>
              </w:tc>
              <w:tc>
                <w:tcPr>
                  <w:tcW w:w="685" w:type="pct"/>
                  <w:vAlign w:val="center"/>
                </w:tcPr>
                <w:p w14:paraId="70BC52B5">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left="0" w:leftChars="0" w:right="0" w:rightChars="0"/>
                    <w:jc w:val="center"/>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40</w:t>
                  </w:r>
                </w:p>
              </w:tc>
              <w:tc>
                <w:tcPr>
                  <w:tcW w:w="529" w:type="pct"/>
                  <w:vAlign w:val="center"/>
                </w:tcPr>
                <w:p w14:paraId="155B6B68">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20" w:lineRule="exact"/>
                    <w:ind w:left="0" w:leftChars="0" w:right="0" w:rightChars="0"/>
                    <w:jc w:val="center"/>
                    <w:textAlignment w:val="auto"/>
                    <w:rPr>
                      <w:rFonts w:hint="eastAsia" w:ascii="宋体" w:hAnsi="宋体" w:eastAsia="宋体" w:cs="宋体"/>
                      <w:i w:val="0"/>
                      <w:iCs w:val="0"/>
                      <w:caps w:val="0"/>
                      <w:color w:val="auto"/>
                      <w:spacing w:val="0"/>
                      <w:sz w:val="18"/>
                      <w:szCs w:val="18"/>
                      <w:u w:val="none"/>
                      <w:shd w:val="clear" w:fill="FFFFFF"/>
                      <w:vertAlign w:val="baseline"/>
                      <w:lang w:val="en-US" w:eastAsia="zh-CN"/>
                    </w:rPr>
                  </w:pPr>
                  <w:r>
                    <w:rPr>
                      <w:rFonts w:hint="eastAsia" w:ascii="宋体" w:hAnsi="宋体" w:eastAsia="宋体" w:cs="宋体"/>
                      <w:i w:val="0"/>
                      <w:iCs w:val="0"/>
                      <w:caps w:val="0"/>
                      <w:color w:val="auto"/>
                      <w:spacing w:val="0"/>
                      <w:sz w:val="18"/>
                      <w:szCs w:val="18"/>
                      <w:u w:val="none"/>
                      <w:shd w:val="clear" w:fill="FFFFFF"/>
                      <w:vertAlign w:val="baseline"/>
                      <w:lang w:val="en-US" w:eastAsia="zh-CN"/>
                    </w:rPr>
                    <w:t>42</w:t>
                  </w:r>
                </w:p>
              </w:tc>
            </w:tr>
          </w:tbl>
          <w:p w14:paraId="1FF640F9">
            <w:pPr>
              <w:keepNext w:val="0"/>
              <w:keepLines w:val="0"/>
              <w:pageBreakBefore w:val="0"/>
              <w:widowControl w:val="0"/>
              <w:kinsoku w:val="0"/>
              <w:wordWrap/>
              <w:overflowPunct/>
              <w:topLinePunct w:val="0"/>
              <w:autoSpaceDE w:val="0"/>
              <w:autoSpaceDN w:val="0"/>
              <w:bidi w:val="0"/>
              <w:adjustRightInd w:val="0"/>
              <w:snapToGrid w:val="0"/>
              <w:spacing w:before="157" w:beforeLines="50" w:line="24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注：每双鞋配一个头花，头花款式由采购人提供。</w:t>
            </w:r>
          </w:p>
        </w:tc>
        <w:tc>
          <w:tcPr>
            <w:tcW w:w="1214" w:type="dxa"/>
          </w:tcPr>
          <w:p w14:paraId="11B334CA">
            <w:pPr>
              <w:pStyle w:val="11"/>
              <w:rPr>
                <w:rFonts w:ascii="宋体" w:hAnsi="宋体" w:eastAsia="宋体" w:cs="宋体"/>
                <w:lang w:eastAsia="zh-CN"/>
              </w:rPr>
            </w:pPr>
          </w:p>
        </w:tc>
        <w:tc>
          <w:tcPr>
            <w:tcW w:w="1249" w:type="dxa"/>
          </w:tcPr>
          <w:p w14:paraId="0566467E">
            <w:pPr>
              <w:pStyle w:val="11"/>
              <w:rPr>
                <w:rFonts w:ascii="宋体" w:hAnsi="宋体" w:eastAsia="宋体" w:cs="宋体"/>
                <w:lang w:eastAsia="zh-CN"/>
              </w:rPr>
            </w:pPr>
          </w:p>
        </w:tc>
      </w:tr>
      <w:tr w14:paraId="2ACC3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705" w:type="dxa"/>
            <w:vAlign w:val="center"/>
          </w:tcPr>
          <w:p w14:paraId="7A7E1C2D">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7349" w:type="dxa"/>
          </w:tcPr>
          <w:p w14:paraId="4249B0C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二、供应商的资格要求</w:t>
            </w:r>
          </w:p>
          <w:p w14:paraId="2FF4928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响应供应商必须是具有独立承担民事责任能力的在中华人民共和国境内注册的企业法人或其他组织或自然人。</w:t>
            </w:r>
          </w:p>
          <w:p w14:paraId="33577C1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响应供应商须具有效的且具备相关经营范围的营业执照，如分支机构响应的，须提供总公司和分公司营业执照复印件，总公司出具给分支机构的授权书。</w:t>
            </w:r>
          </w:p>
          <w:p w14:paraId="67B9CC4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响应供应商应具有项目的承接能力、合同的履约能力、售后供应能力和良好的信誉；</w:t>
            </w:r>
          </w:p>
          <w:p w14:paraId="206874AD">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4.</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响应供应商在参与公开招标活动中未有违法违纪行为并受过处罚，响应供应商无围标、串标行为。</w:t>
            </w:r>
          </w:p>
        </w:tc>
        <w:tc>
          <w:tcPr>
            <w:tcW w:w="1214" w:type="dxa"/>
          </w:tcPr>
          <w:p w14:paraId="6483D143">
            <w:pPr>
              <w:pStyle w:val="11"/>
              <w:rPr>
                <w:rFonts w:ascii="宋体" w:hAnsi="宋体" w:eastAsia="宋体" w:cs="宋体"/>
                <w:lang w:eastAsia="zh-CN"/>
              </w:rPr>
            </w:pPr>
          </w:p>
        </w:tc>
        <w:tc>
          <w:tcPr>
            <w:tcW w:w="1249" w:type="dxa"/>
          </w:tcPr>
          <w:p w14:paraId="774B4E9C">
            <w:pPr>
              <w:pStyle w:val="11"/>
              <w:rPr>
                <w:rFonts w:ascii="宋体" w:hAnsi="宋体" w:eastAsia="宋体" w:cs="宋体"/>
                <w:lang w:eastAsia="zh-CN"/>
              </w:rPr>
            </w:pPr>
          </w:p>
        </w:tc>
      </w:tr>
      <w:tr w14:paraId="515EF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705" w:type="dxa"/>
            <w:vAlign w:val="center"/>
          </w:tcPr>
          <w:p w14:paraId="66BBC161">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7349" w:type="dxa"/>
          </w:tcPr>
          <w:p w14:paraId="07BA5BCE">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三、 响应报价要求</w:t>
            </w:r>
          </w:p>
          <w:p w14:paraId="7D026045">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响应供应商的最终响应报价为采购人的交货单价。交货单价即是合同期间的最终单价，在合同期内，价格不再随着市场同类商品市场价格的调整而进行调整。</w:t>
            </w:r>
          </w:p>
          <w:p w14:paraId="2B2FADDF">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本次响应报价应为人民币含税全包价，包括货物价格、包装费、运杂费、保险费、卸车费、配合费、检测费、配送费、税金及本项目执行过程中需要的其他费用等。</w:t>
            </w:r>
          </w:p>
          <w:p w14:paraId="33B5265C">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响应供应商对以上采购清单的货物进行报价，注明产品品牌（如有），报价不得高于单价的最高限价，且总报价不得高于本项目采购预算价，缺项、漏项的报价为无效报价。</w:t>
            </w:r>
          </w:p>
          <w:p w14:paraId="02313B4C">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★4. 响应供应商在寄送纸质报价资料时</w:t>
            </w:r>
            <w:r>
              <w:rPr>
                <w:rFonts w:hint="eastAsia" w:ascii="宋体" w:hAnsi="宋体" w:eastAsia="宋体" w:cs="宋体"/>
                <w:b/>
                <w:bCs/>
                <w:sz w:val="20"/>
                <w:szCs w:val="20"/>
                <w:u w:val="single"/>
                <w:lang w:val="en-US" w:eastAsia="zh-CN"/>
              </w:rPr>
              <w:t>须提供符合参数要求的样品鞋各1双。（即女护士鞋1双、男护士鞋1双、洞洞鞋1双），并提供检测报告，报告内容应包含产品的参数标准。</w:t>
            </w:r>
          </w:p>
        </w:tc>
        <w:tc>
          <w:tcPr>
            <w:tcW w:w="1214" w:type="dxa"/>
          </w:tcPr>
          <w:p w14:paraId="193D8761">
            <w:pPr>
              <w:pStyle w:val="11"/>
              <w:rPr>
                <w:rFonts w:ascii="宋体" w:hAnsi="宋体" w:eastAsia="宋体" w:cs="宋体"/>
                <w:lang w:eastAsia="zh-CN"/>
              </w:rPr>
            </w:pPr>
          </w:p>
        </w:tc>
        <w:tc>
          <w:tcPr>
            <w:tcW w:w="1249" w:type="dxa"/>
          </w:tcPr>
          <w:p w14:paraId="091A4CD4">
            <w:pPr>
              <w:pStyle w:val="11"/>
              <w:rPr>
                <w:rFonts w:ascii="宋体" w:hAnsi="宋体" w:eastAsia="宋体" w:cs="宋体"/>
                <w:lang w:eastAsia="zh-CN"/>
              </w:rPr>
            </w:pPr>
          </w:p>
        </w:tc>
      </w:tr>
      <w:tr w14:paraId="15F7B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468" w:hRule="atLeast"/>
        </w:trPr>
        <w:tc>
          <w:tcPr>
            <w:tcW w:w="705" w:type="dxa"/>
            <w:vAlign w:val="center"/>
          </w:tcPr>
          <w:p w14:paraId="7F4016B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7349" w:type="dxa"/>
          </w:tcPr>
          <w:p w14:paraId="7827A654">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四、技术要求</w:t>
            </w:r>
          </w:p>
          <w:p w14:paraId="1DC3FB66">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成交供应商应提供已注册品牌制造商原装、全新、符合国家及采购人提出的有关质量标准的产品。</w:t>
            </w:r>
          </w:p>
          <w:p w14:paraId="04BEE734">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所有货物在开箱检验时必须完好，无破损，配置与装箱单相符。</w:t>
            </w:r>
          </w:p>
          <w:p w14:paraId="52BA4484">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成交供应商所提供产品的性能、配置参数等不能低于采购文件所提出的要求。</w:t>
            </w:r>
          </w:p>
          <w:p w14:paraId="3FC3CA2D">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 成交供应商所提供的货物必须符合国家有关规范和环保要求及采购人的技术要求。所有货物及服务不得侵犯第三方专利、商标或版权等。否则，成交供应商须承担对第三方的专利、商标或版权的侵权责任，并承担因此而发生的一切费用，采购人不承担与之相关的任何经济和法律责任。</w:t>
            </w:r>
          </w:p>
          <w:p w14:paraId="5E0C6E94">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5. 成交供应商不得经营未经注册、无合格证明、过期、失效或者淘汰的产品，如因产品质量原因造成的一切损失由成交供应商负全部责任。</w:t>
            </w:r>
          </w:p>
        </w:tc>
        <w:tc>
          <w:tcPr>
            <w:tcW w:w="1214" w:type="dxa"/>
          </w:tcPr>
          <w:p w14:paraId="400EB205">
            <w:pPr>
              <w:pStyle w:val="11"/>
              <w:rPr>
                <w:rFonts w:ascii="宋体" w:hAnsi="宋体" w:eastAsia="宋体" w:cs="宋体"/>
                <w:lang w:eastAsia="zh-CN"/>
              </w:rPr>
            </w:pPr>
          </w:p>
        </w:tc>
        <w:tc>
          <w:tcPr>
            <w:tcW w:w="1249" w:type="dxa"/>
          </w:tcPr>
          <w:p w14:paraId="4379F7B4">
            <w:pPr>
              <w:pStyle w:val="11"/>
              <w:rPr>
                <w:rFonts w:ascii="宋体" w:hAnsi="宋体" w:eastAsia="宋体" w:cs="宋体"/>
                <w:lang w:eastAsia="zh-CN"/>
              </w:rPr>
            </w:pPr>
          </w:p>
        </w:tc>
      </w:tr>
      <w:tr w14:paraId="7B31F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753" w:hRule="atLeast"/>
        </w:trPr>
        <w:tc>
          <w:tcPr>
            <w:tcW w:w="705" w:type="dxa"/>
            <w:vAlign w:val="center"/>
          </w:tcPr>
          <w:p w14:paraId="5E6150C9">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7349" w:type="dxa"/>
          </w:tcPr>
          <w:p w14:paraId="63278EA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五、包装、装卸、运输及保险</w:t>
            </w:r>
          </w:p>
          <w:p w14:paraId="5179CFA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成交供应商所供货物包装质量必须符合国家相关标准，货物的包装均应有良好的防锈、防腐的措施，货物要求有包装保护运至现场。凡由于包装不良造成的损失和由此产生的费用均由成交供应商承担。</w:t>
            </w:r>
          </w:p>
          <w:p w14:paraId="1A80720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成交供应商负责根据用户指定的地点，将货物送到现场过程中的全部运输，包括装卸车、货物现场的搬运，由此产生的费用均由成交供应商承担。</w:t>
            </w:r>
          </w:p>
          <w:p w14:paraId="380EE3E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如货物运输过程中因事故造成货物短缺、损坏，成交供应商应及时安排换货，以保证合同货物及时交付，换货的相关费用由成交供应商承担。</w:t>
            </w:r>
          </w:p>
          <w:p w14:paraId="545D1AAD">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4. 货物的质量保险由成交供应商负责，成交供应商负责其派出的现场服务人员人身意外保险。</w:t>
            </w:r>
          </w:p>
        </w:tc>
        <w:tc>
          <w:tcPr>
            <w:tcW w:w="1214" w:type="dxa"/>
          </w:tcPr>
          <w:p w14:paraId="0ECC2677">
            <w:pPr>
              <w:pStyle w:val="11"/>
              <w:rPr>
                <w:rFonts w:ascii="宋体" w:hAnsi="宋体" w:eastAsia="宋体" w:cs="宋体"/>
                <w:lang w:eastAsia="zh-CN"/>
              </w:rPr>
            </w:pPr>
          </w:p>
        </w:tc>
        <w:tc>
          <w:tcPr>
            <w:tcW w:w="1249" w:type="dxa"/>
          </w:tcPr>
          <w:p w14:paraId="79CBAC54">
            <w:pPr>
              <w:pStyle w:val="11"/>
              <w:rPr>
                <w:rFonts w:ascii="宋体" w:hAnsi="宋体" w:eastAsia="宋体" w:cs="宋体"/>
                <w:lang w:eastAsia="zh-CN"/>
              </w:rPr>
            </w:pPr>
          </w:p>
        </w:tc>
      </w:tr>
      <w:tr w14:paraId="4BFA7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705" w:type="dxa"/>
            <w:vAlign w:val="center"/>
          </w:tcPr>
          <w:p w14:paraId="2A8B819C">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7349" w:type="dxa"/>
          </w:tcPr>
          <w:p w14:paraId="596661C1">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六、验收方式</w:t>
            </w:r>
          </w:p>
          <w:p w14:paraId="3C66985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成交供应商将货物送货至采购人指定地点后，由采购人按照采购合同、采购文件要求和响应文件承诺进行核对，根据国家相关法律法规，对货物的规格参数和质量标准进行检查验收。</w:t>
            </w:r>
          </w:p>
          <w:p w14:paraId="6D577EF5">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货物在验收过程中发现所交付的货物有短缺、次品、损坏或其他不符合招标文件、合同规定之情形者，采购人有权拒付该批物品的费用，并由成交供应商承担由此发生的一切费用和损失。</w:t>
            </w:r>
          </w:p>
          <w:p w14:paraId="014E07A1">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所有货物在使用过程中发现以次充好或使用假冒伪劣产品的，成交供应商须无条件更换货物并按假一赔三进行赔偿。此种情况超过2次或以上的，采购人有权单方终止合同，履约保证金不予以退还。</w:t>
            </w:r>
          </w:p>
          <w:p w14:paraId="08AD2C4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 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p w14:paraId="096B98F9">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若成交供应商提供的产品发生知识产权纠纷的，由成交供应商执行处置与原知识产权所有者协商解决，采购人不承担与之相关的任何经济和法律责任。</w:t>
            </w:r>
          </w:p>
          <w:p w14:paraId="6171934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6. 成交供应商应按双方约定的时间交付采购人购买的产品等，采购人应及时组织验收；对于符合合同约定的标的物予以接收，对不符合合同要求的质量、品种、规格、数量等，采购人有权拒绝接受。成交供应商应及时更换被拒绝的产品，但不得影响采购人的使用。如影响采购人使用并造成损失，采购人有权要求成交供应商赔偿由此造成的损失。</w:t>
            </w:r>
          </w:p>
          <w:p w14:paraId="09D4144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7. 成交供应商按采购人采购计划中指定医院的地址送货，费用由成交供应商承担。</w:t>
            </w:r>
          </w:p>
        </w:tc>
        <w:tc>
          <w:tcPr>
            <w:tcW w:w="1214" w:type="dxa"/>
          </w:tcPr>
          <w:p w14:paraId="3CC5F3B6">
            <w:pPr>
              <w:pStyle w:val="11"/>
              <w:rPr>
                <w:rFonts w:ascii="宋体" w:hAnsi="宋体" w:eastAsia="宋体" w:cs="宋体"/>
                <w:lang w:eastAsia="zh-CN"/>
              </w:rPr>
            </w:pPr>
          </w:p>
        </w:tc>
        <w:tc>
          <w:tcPr>
            <w:tcW w:w="1249" w:type="dxa"/>
          </w:tcPr>
          <w:p w14:paraId="3ECDB715">
            <w:pPr>
              <w:pStyle w:val="11"/>
              <w:rPr>
                <w:rFonts w:ascii="宋体" w:hAnsi="宋体" w:eastAsia="宋体" w:cs="宋体"/>
                <w:lang w:eastAsia="zh-CN"/>
              </w:rPr>
            </w:pPr>
          </w:p>
        </w:tc>
      </w:tr>
      <w:tr w14:paraId="7EE4C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705" w:type="dxa"/>
            <w:vAlign w:val="center"/>
          </w:tcPr>
          <w:p w14:paraId="46291B8E">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7349" w:type="dxa"/>
          </w:tcPr>
          <w:p w14:paraId="787753EC">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七、售后服务要求</w:t>
            </w:r>
          </w:p>
          <w:p w14:paraId="1BAA2EC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成交供应商所提供的货物应是全新正品，其质量、规格、性能、品牌、有效期限等满足用户需求，且必须符合国家行业生产及经营标准，货真价实，均能提供相应的合格证明资料。货物交付时，成交供应商应提供合同货物真实有效的生产日期，且成交供应商保证提供货物的生产日期距交付时的时间差不超过6个月。</w:t>
            </w:r>
          </w:p>
          <w:p w14:paraId="5DA4E61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因成交供应商所供应的货物质量问题造成采购人设备故障或出现严重事故的，由成交供应商负责更换，所造成的一切损失及责任由成交供应商承担，同时采购人有权单方面终止合同且履约保证金不再退还。</w:t>
            </w:r>
          </w:p>
          <w:p w14:paraId="542C121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2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p w14:paraId="32779CBC">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 质保期：当次所提供的货物质保期为验收合格之日起壹年。质保期内，成交供应商须提供货物“包退、包换、包修”的质量“三包”服务，质保期内如货物发生断底、断面、脱胶、脱线、掉皮等问题时无条件退换货。货物如不符合国家的有关质量标准、采购文件、合同参数要求的，采购人有权拒收，成交供应商应无条件退换货物，退换期限为2个自然日内，由此产生的一切费用由成交供应商承担，如造成采购人经济损失的，采购人有权进行索赔。</w:t>
            </w:r>
          </w:p>
          <w:p w14:paraId="2378DCB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5. 货物如不符合国家的有关质量标准或进货渠道不正规，或证实货物是有缺陷的，包括潜在的缺陷或使用不符合要求的材料等，采购人有权要求成交供应商无条件退换货物，退换期限为2个自然日内，由此产生的一切费用均由成交供应商承担，并赔偿因此造成采购人的经济损失。</w:t>
            </w:r>
          </w:p>
        </w:tc>
        <w:tc>
          <w:tcPr>
            <w:tcW w:w="1214" w:type="dxa"/>
          </w:tcPr>
          <w:p w14:paraId="0F06F75D">
            <w:pPr>
              <w:pStyle w:val="11"/>
              <w:rPr>
                <w:rFonts w:ascii="宋体" w:hAnsi="宋体" w:eastAsia="宋体" w:cs="宋体"/>
                <w:lang w:eastAsia="zh-CN"/>
              </w:rPr>
            </w:pPr>
          </w:p>
        </w:tc>
        <w:tc>
          <w:tcPr>
            <w:tcW w:w="1249" w:type="dxa"/>
          </w:tcPr>
          <w:p w14:paraId="1CE95EF2">
            <w:pPr>
              <w:pStyle w:val="11"/>
              <w:rPr>
                <w:rFonts w:ascii="宋体" w:hAnsi="宋体" w:eastAsia="宋体" w:cs="宋体"/>
                <w:lang w:eastAsia="zh-CN"/>
              </w:rPr>
            </w:pPr>
          </w:p>
        </w:tc>
      </w:tr>
      <w:tr w14:paraId="36038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705" w:type="dxa"/>
            <w:vAlign w:val="center"/>
          </w:tcPr>
          <w:p w14:paraId="652B5B5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9</w:t>
            </w:r>
          </w:p>
        </w:tc>
        <w:tc>
          <w:tcPr>
            <w:tcW w:w="7349" w:type="dxa"/>
          </w:tcPr>
          <w:p w14:paraId="5CF3207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八、付款方式</w:t>
            </w:r>
          </w:p>
          <w:p w14:paraId="0E16F35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w:t>
            </w:r>
            <w:r>
              <w:rPr>
                <w:rFonts w:hint="eastAsia" w:ascii="宋体" w:hAnsi="宋体" w:eastAsia="宋体" w:cs="宋体"/>
                <w:b/>
                <w:bCs/>
                <w:color w:val="auto"/>
                <w:sz w:val="20"/>
                <w:szCs w:val="20"/>
                <w:u w:val="single"/>
                <w:shd w:val="clear" w:color="auto" w:fill="FFFFFF"/>
                <w:lang w:val="en-US" w:eastAsia="zh-CN" w:bidi="ar"/>
              </w:rPr>
              <w:t xml:space="preserve"> 按实际下单数量和中标单价进行结算</w:t>
            </w:r>
            <w:r>
              <w:rPr>
                <w:rFonts w:hint="eastAsia" w:ascii="宋体" w:hAnsi="宋体" w:eastAsia="宋体" w:cs="宋体"/>
                <w:color w:val="auto"/>
                <w:sz w:val="20"/>
                <w:szCs w:val="20"/>
                <w:shd w:val="clear" w:color="auto" w:fill="FFFFFF"/>
                <w:lang w:val="en-US" w:eastAsia="zh-CN" w:bidi="ar"/>
              </w:rPr>
              <w:t>，成交供应商按采购人要求完成送货，货物验收合格后，开具全额发票，采购人在收到发票后审核无误后60个工作日内支付货款。</w:t>
            </w:r>
          </w:p>
          <w:p w14:paraId="4CBAC8C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特别说明：合同约定的付款期限，遵守《保障中小企业款项支付条例》的规定。如成交供应商为中小企业，付款期限最长不超过60日。</w:t>
            </w:r>
          </w:p>
        </w:tc>
        <w:tc>
          <w:tcPr>
            <w:tcW w:w="1214" w:type="dxa"/>
          </w:tcPr>
          <w:p w14:paraId="1CFCF2A1">
            <w:pPr>
              <w:pStyle w:val="11"/>
              <w:rPr>
                <w:rFonts w:ascii="宋体" w:hAnsi="宋体" w:eastAsia="宋体" w:cs="宋体"/>
                <w:lang w:eastAsia="zh-CN"/>
              </w:rPr>
            </w:pPr>
          </w:p>
        </w:tc>
        <w:tc>
          <w:tcPr>
            <w:tcW w:w="1249" w:type="dxa"/>
          </w:tcPr>
          <w:p w14:paraId="5E81E370">
            <w:pPr>
              <w:pStyle w:val="11"/>
              <w:rPr>
                <w:rFonts w:ascii="宋体" w:hAnsi="宋体" w:eastAsia="宋体" w:cs="宋体"/>
                <w:lang w:eastAsia="zh-CN"/>
              </w:rPr>
            </w:pPr>
          </w:p>
        </w:tc>
      </w:tr>
      <w:tr w14:paraId="2537A6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705" w:type="dxa"/>
            <w:vAlign w:val="center"/>
          </w:tcPr>
          <w:p w14:paraId="35C3489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10</w:t>
            </w:r>
          </w:p>
        </w:tc>
        <w:tc>
          <w:tcPr>
            <w:tcW w:w="7349" w:type="dxa"/>
          </w:tcPr>
          <w:p w14:paraId="05CB1F5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九、违约责任</w:t>
            </w:r>
          </w:p>
          <w:p w14:paraId="266CFF6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 xml:space="preserve">1. 采购人应在合同规定时间内，按合同执行进度向成交供应商支付货款，每拖延一天，采购人向成交供应商支付拖延金额的5‰的违约金。 </w:t>
            </w:r>
          </w:p>
          <w:p w14:paraId="22DE0EA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成交供应商未能按时交货，或未能在交货之日起15个自然日内提供该项目验收相关所必须的合法有效的文件，每拖延一天，须向采购人支付合同金额的5‰的违约金。如拖延15个自然日成交供应商仍未履行的，则视为成交供应商不能交货，则按合同总价30%支付违约金给采购人。</w:t>
            </w:r>
          </w:p>
          <w:p w14:paraId="2C091D3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 xml:space="preserve">3. 成交供应商交付的货物不符合合同规定的，采购人有权拒收，成交供应商向采购人支付合同总价的20％的违约金。 </w:t>
            </w:r>
          </w:p>
          <w:p w14:paraId="0246927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 xml:space="preserve">4. 采购人无正当理由拒收货物的，采购人向成交供应商支付当次送货金额的 5‰的违约金。 </w:t>
            </w:r>
          </w:p>
          <w:p w14:paraId="13DB5BB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货物在保质期内如无法提供质保服务，成交供应商承担采购人就此造成的一切更换费和其它损失。</w:t>
            </w:r>
          </w:p>
          <w:p w14:paraId="392C0F6C">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6. 所有货物在使用过程中发现以次充好或使用假冒伪劣产品的，成交供应商须无条件更换货物并按假一赔三进行赔偿。采购人有权单方终止合同。</w:t>
            </w:r>
          </w:p>
          <w:p w14:paraId="3A8B8BF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7. 若成交供应商提供的货物发生知识产权纠纷的，由成交供应商执行处置与原知识产权所有者协商解决，采购人不承担与之相关的任何经济和法律责任。</w:t>
            </w:r>
          </w:p>
          <w:p w14:paraId="181E9AF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8. 因成交供应商原因造成采购人货物无法按时正常使用，成交供应商承担合同标的金额20%的违约金，违约金在货款中扣除。</w:t>
            </w:r>
          </w:p>
          <w:p w14:paraId="49EBF76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9. 双方对本项目（含涉及本项目相关通知和函电）内容应严格履行保密义务，未经一方书面同意或许可，均不得在任何时候以任何方式和理由向第三人泄露，否则，任何一方应赔偿由此给对方造成的一切损失。</w:t>
            </w:r>
          </w:p>
          <w:p w14:paraId="5D58914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10.成交供应商给采购人造成的损失，采购人可采取必要的途径或方式追索，由此引起的费用由成交供应商承担，包括但不仅限于律师费、查档费、鉴定费、公证费、交通费、诉讼费、财产保全责任保险费等。</w:t>
            </w:r>
          </w:p>
          <w:p w14:paraId="426C36A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11.其它违约责任按《中华人民共和国民法典》处理。</w:t>
            </w:r>
          </w:p>
        </w:tc>
        <w:tc>
          <w:tcPr>
            <w:tcW w:w="1214" w:type="dxa"/>
          </w:tcPr>
          <w:p w14:paraId="7D075FF8">
            <w:pPr>
              <w:pStyle w:val="11"/>
              <w:rPr>
                <w:rFonts w:ascii="宋体" w:hAnsi="宋体" w:eastAsia="宋体" w:cs="宋体"/>
                <w:lang w:eastAsia="zh-CN"/>
              </w:rPr>
            </w:pPr>
          </w:p>
        </w:tc>
        <w:tc>
          <w:tcPr>
            <w:tcW w:w="1249" w:type="dxa"/>
          </w:tcPr>
          <w:p w14:paraId="686D7884">
            <w:pPr>
              <w:pStyle w:val="11"/>
              <w:rPr>
                <w:rFonts w:ascii="宋体" w:hAnsi="宋体" w:eastAsia="宋体" w:cs="宋体"/>
                <w:lang w:eastAsia="zh-CN"/>
              </w:rPr>
            </w:pPr>
          </w:p>
        </w:tc>
      </w:tr>
      <w:tr w14:paraId="25AD0A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23" w:hRule="atLeast"/>
        </w:trPr>
        <w:tc>
          <w:tcPr>
            <w:tcW w:w="705" w:type="dxa"/>
            <w:vAlign w:val="center"/>
          </w:tcPr>
          <w:p w14:paraId="5D0A5657">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11</w:t>
            </w:r>
          </w:p>
        </w:tc>
        <w:tc>
          <w:tcPr>
            <w:tcW w:w="7349" w:type="dxa"/>
          </w:tcPr>
          <w:p w14:paraId="4A02992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十、评审方式</w:t>
            </w:r>
          </w:p>
          <w:p w14:paraId="15C42E9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本项目的评审采用</w:t>
            </w:r>
            <w:r>
              <w:rPr>
                <w:rFonts w:hint="eastAsia" w:ascii="宋体" w:hAnsi="宋体" w:eastAsia="宋体" w:cs="宋体"/>
                <w:b/>
                <w:bCs/>
                <w:color w:val="auto"/>
                <w:sz w:val="20"/>
                <w:szCs w:val="20"/>
                <w:u w:val="single"/>
                <w:shd w:val="clear" w:color="auto" w:fill="FFFFFF"/>
                <w:lang w:val="en-US" w:eastAsia="zh-CN" w:bidi="ar"/>
              </w:rPr>
              <w:t>综合评分法</w:t>
            </w:r>
            <w:r>
              <w:rPr>
                <w:rFonts w:hint="eastAsia" w:ascii="宋体" w:hAnsi="宋体" w:eastAsia="宋体" w:cs="宋体"/>
                <w:color w:val="auto"/>
                <w:sz w:val="20"/>
                <w:szCs w:val="20"/>
                <w:shd w:val="clear" w:color="auto" w:fill="FFFFFF"/>
                <w:lang w:val="en-US" w:eastAsia="zh-CN" w:bidi="ar"/>
              </w:rPr>
              <w:t>，最低价不是唯一评定标准。评分标准按照附件中山市东升医院护士鞋采购项目评分标准。先进行资格符合性评审，再进行商务、技术及价格的详细评审(商务技术评分：55分，价格评分：45分)。</w:t>
            </w:r>
          </w:p>
        </w:tc>
        <w:tc>
          <w:tcPr>
            <w:tcW w:w="1214" w:type="dxa"/>
          </w:tcPr>
          <w:p w14:paraId="141921FC">
            <w:pPr>
              <w:pStyle w:val="11"/>
              <w:rPr>
                <w:rFonts w:ascii="宋体" w:hAnsi="宋体" w:eastAsia="宋体" w:cs="宋体"/>
                <w:lang w:eastAsia="zh-CN"/>
              </w:rPr>
            </w:pPr>
          </w:p>
        </w:tc>
        <w:tc>
          <w:tcPr>
            <w:tcW w:w="1249" w:type="dxa"/>
          </w:tcPr>
          <w:p w14:paraId="20A1F2DB">
            <w:pPr>
              <w:pStyle w:val="11"/>
              <w:rPr>
                <w:rFonts w:ascii="宋体" w:hAnsi="宋体" w:eastAsia="宋体" w:cs="宋体"/>
                <w:lang w:eastAsia="zh-CN"/>
              </w:rPr>
            </w:pPr>
          </w:p>
        </w:tc>
      </w:tr>
    </w:tbl>
    <w:p w14:paraId="2B63597E">
      <w:pPr>
        <w:rPr>
          <w:lang w:eastAsia="zh-CN"/>
        </w:rPr>
      </w:pPr>
    </w:p>
    <w:p w14:paraId="3447D6D1">
      <w:pPr>
        <w:rPr>
          <w:lang w:eastAsia="zh-CN"/>
        </w:rPr>
      </w:pPr>
      <w:r>
        <w:rPr>
          <w:lang w:eastAsia="zh-CN"/>
        </w:rPr>
        <w:br w:type="page"/>
      </w:r>
    </w:p>
    <w:p w14:paraId="1F5805F7">
      <w:pPr>
        <w:spacing w:before="60"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十四、售后服务方案（格式自拟）</w:t>
      </w:r>
    </w:p>
    <w:p w14:paraId="3EE9396D">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br w:type="page"/>
      </w:r>
    </w:p>
    <w:p w14:paraId="1B55C4C2">
      <w:pPr>
        <w:spacing w:before="60" w:line="227" w:lineRule="auto"/>
        <w:rPr>
          <w:rFonts w:ascii="宋体" w:hAnsi="宋体" w:eastAsia="宋体" w:cs="宋体"/>
          <w:sz w:val="20"/>
          <w:szCs w:val="20"/>
          <w:lang w:eastAsia="zh-CN"/>
        </w:rPr>
      </w:pPr>
      <w:r>
        <w:rPr>
          <w:rFonts w:hint="eastAsia" w:ascii="宋体" w:hAnsi="宋体" w:eastAsia="宋体" w:cs="宋体"/>
          <w:b/>
          <w:bCs/>
          <w:spacing w:val="7"/>
          <w:sz w:val="20"/>
          <w:szCs w:val="20"/>
          <w:lang w:val="en-US" w:eastAsia="zh-CN"/>
        </w:rPr>
        <w:t>十五</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认为需要提供的其他材料（如无、可删）</w:t>
      </w:r>
    </w:p>
    <w:p w14:paraId="6D0D903D">
      <w:pPr>
        <w:rPr>
          <w:lang w:eastAsia="zh-CN"/>
        </w:rPr>
      </w:pPr>
    </w:p>
    <w:sectPr>
      <w:pgSz w:w="11900" w:h="16840"/>
      <w:pgMar w:top="907" w:right="850" w:bottom="907" w:left="850"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0F499"/>
    <w:multiLevelType w:val="singleLevel"/>
    <w:tmpl w:val="8B80F49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A34891"/>
    <w:rsid w:val="00B1270F"/>
    <w:rsid w:val="00DF1B45"/>
    <w:rsid w:val="01294270"/>
    <w:rsid w:val="01E26336"/>
    <w:rsid w:val="05D250F6"/>
    <w:rsid w:val="07DE22A7"/>
    <w:rsid w:val="07F8675D"/>
    <w:rsid w:val="09380026"/>
    <w:rsid w:val="0A1B60BD"/>
    <w:rsid w:val="0A382368"/>
    <w:rsid w:val="0E9C78E3"/>
    <w:rsid w:val="135B109B"/>
    <w:rsid w:val="13666B31"/>
    <w:rsid w:val="16DD5993"/>
    <w:rsid w:val="18C80C4B"/>
    <w:rsid w:val="19E67714"/>
    <w:rsid w:val="1EA21FDF"/>
    <w:rsid w:val="1EDF5020"/>
    <w:rsid w:val="20607AD1"/>
    <w:rsid w:val="20BE2A44"/>
    <w:rsid w:val="22732647"/>
    <w:rsid w:val="23487B36"/>
    <w:rsid w:val="252F708F"/>
    <w:rsid w:val="2695736E"/>
    <w:rsid w:val="26B446CD"/>
    <w:rsid w:val="26D617B0"/>
    <w:rsid w:val="2D881E4A"/>
    <w:rsid w:val="2E570DCC"/>
    <w:rsid w:val="3B082DE1"/>
    <w:rsid w:val="3EB26D88"/>
    <w:rsid w:val="40C03509"/>
    <w:rsid w:val="50573AD2"/>
    <w:rsid w:val="556A1102"/>
    <w:rsid w:val="56C24150"/>
    <w:rsid w:val="58514D81"/>
    <w:rsid w:val="5E5E5F4E"/>
    <w:rsid w:val="614949AE"/>
    <w:rsid w:val="637C10B3"/>
    <w:rsid w:val="73252077"/>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semiHidden/>
    <w:qFormat/>
    <w:uiPriority w:val="0"/>
  </w:style>
  <w:style w:type="paragraph" w:styleId="4">
    <w:name w:val="Body Text Indent 2"/>
    <w:basedOn w:val="1"/>
    <w:link w:val="12"/>
    <w:qFormat/>
    <w:uiPriority w:val="0"/>
    <w:pPr>
      <w:spacing w:after="120" w:line="480" w:lineRule="auto"/>
      <w:ind w:left="420" w:leftChars="200"/>
    </w:pPr>
    <w:rPr>
      <w:szCs w:val="20"/>
    </w:rPr>
  </w:style>
  <w:style w:type="paragraph" w:styleId="5">
    <w:name w:val="Normal (Web)"/>
    <w:basedOn w:val="1"/>
    <w:qFormat/>
    <w:uiPriority w:val="0"/>
    <w:pPr>
      <w:spacing w:before="100" w:beforeAutospacing="1" w:after="100" w:afterAutospacing="1"/>
    </w:pPr>
    <w:rPr>
      <w:rFonts w:cs="Times New Roman"/>
      <w:sz w:val="24"/>
      <w:lang w:eastAsia="zh-CN"/>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style>
  <w:style w:type="character" w:customStyle="1" w:styleId="12">
    <w:name w:val="正文文本缩进 2 Char"/>
    <w:link w:val="4"/>
    <w:autoRedefine/>
    <w:qFormat/>
    <w:uiPriority w:val="0"/>
    <w:rPr>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20</Pages>
  <Words>7187</Words>
  <Characters>7467</Characters>
  <Lines>55</Lines>
  <Paragraphs>15</Paragraphs>
  <TotalTime>3</TotalTime>
  <ScaleCrop>false</ScaleCrop>
  <LinksUpToDate>false</LinksUpToDate>
  <CharactersWithSpaces>7848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cp:lastPrinted>2026-05-13T08:23:36Z</cp:lastPrinted>
  <dcterms:modified xsi:type="dcterms:W3CDTF">2026-05-13T08:23:45Z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6DBC316C9C2841F1972D0815D29D61DB_13</vt:lpwstr>
  </property>
  <property fmtid="{D5CDD505-2E9C-101B-9397-08002B2CF9AE}" pid="4" name="KSOTemplateDocerSaveRecord">
    <vt:lpwstr>eyJoZGlkIjoiZjMxODI1ZDk1NTM3ZThjZDIyMDM0N2Q4Njc3ODMwMjMiLCJ1c2VySWQiOiIyNjI5MDY5MzEifQ==</vt:lpwstr>
  </property>
</Properties>
</file>