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37A04036">
      <w:pPr>
        <w:spacing w:before="153" w:line="295" w:lineRule="auto"/>
        <w:ind w:right="191"/>
        <w:jc w:val="center"/>
        <w:outlineLvl w:val="0"/>
        <w:rPr>
          <w:rFonts w:hint="eastAsia" w:ascii="宋体" w:hAnsi="宋体" w:eastAsia="宋体" w:cs="宋体"/>
          <w:b/>
          <w:bCs/>
          <w:spacing w:val="-1"/>
          <w:sz w:val="47"/>
          <w:szCs w:val="47"/>
          <w:lang w:val="en-US" w:eastAsia="zh-CN"/>
        </w:rPr>
      </w:pPr>
      <w:r>
        <w:rPr>
          <w:rFonts w:hint="eastAsia" w:ascii="宋体" w:hAnsi="宋体" w:eastAsia="宋体" w:cs="宋体"/>
          <w:b/>
          <w:bCs/>
          <w:spacing w:val="-1"/>
          <w:sz w:val="47"/>
          <w:szCs w:val="47"/>
          <w:lang w:val="en-US" w:eastAsia="zh-CN"/>
        </w:rPr>
        <w:t>2026年中山市东升医院工会会员及退休职工中秋慰问品项目（二次）</w:t>
      </w: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val="en-US" w:eastAsia="zh-CN"/>
        </w:rPr>
        <w:t>调研</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3F3159DE">
      <w:pPr>
        <w:pStyle w:val="3"/>
        <w:spacing w:line="248" w:lineRule="auto"/>
        <w:rPr>
          <w:lang w:eastAsia="zh-CN"/>
        </w:rPr>
      </w:pPr>
      <w:bookmarkStart w:id="0" w:name="_GoBack"/>
      <w:bookmarkEnd w:id="0"/>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w:t>
      </w:r>
      <w:r>
        <w:rPr>
          <w:rFonts w:hint="eastAsia" w:ascii="宋体" w:hAnsi="宋体" w:eastAsia="宋体" w:cs="宋体"/>
          <w:b/>
          <w:bCs/>
          <w:spacing w:val="5"/>
          <w:sz w:val="20"/>
          <w:szCs w:val="20"/>
          <w:lang w:eastAsia="zh-CN"/>
        </w:rPr>
        <w:t>调研</w:t>
      </w:r>
      <w:r>
        <w:rPr>
          <w:rFonts w:ascii="宋体" w:hAnsi="宋体" w:eastAsia="宋体" w:cs="宋体"/>
          <w:b/>
          <w:bCs/>
          <w:spacing w:val="5"/>
          <w:sz w:val="20"/>
          <w:szCs w:val="20"/>
          <w:lang w:eastAsia="zh-CN"/>
        </w:rPr>
        <w:t>报价</w:t>
      </w:r>
    </w:p>
    <w:p w14:paraId="1EB82D65">
      <w:pPr>
        <w:spacing w:before="44" w:line="223" w:lineRule="auto"/>
        <w:ind w:left="3792"/>
        <w:rPr>
          <w:rFonts w:ascii="宋体" w:hAnsi="宋体" w:eastAsia="宋体" w:cs="宋体"/>
          <w:sz w:val="31"/>
          <w:szCs w:val="31"/>
          <w:lang w:eastAsia="zh-CN"/>
        </w:rPr>
      </w:pPr>
      <w:r>
        <w:rPr>
          <w:rFonts w:hint="eastAsia" w:ascii="宋体" w:hAnsi="宋体" w:eastAsia="宋体" w:cs="宋体"/>
          <w:spacing w:val="6"/>
          <w:sz w:val="31"/>
          <w:szCs w:val="31"/>
          <w:lang w:eastAsia="zh-CN"/>
        </w:rPr>
        <w:t>调研</w:t>
      </w:r>
      <w:r>
        <w:rPr>
          <w:rFonts w:ascii="宋体" w:hAnsi="宋体" w:eastAsia="宋体" w:cs="宋体"/>
          <w:spacing w:val="6"/>
          <w:sz w:val="31"/>
          <w:szCs w:val="31"/>
          <w:lang w:eastAsia="zh-CN"/>
        </w:rPr>
        <w:t>报价单</w:t>
      </w:r>
    </w:p>
    <w:p w14:paraId="145C478F">
      <w:pPr>
        <w:keepNext w:val="0"/>
        <w:keepLines w:val="0"/>
        <w:pageBreakBefore w:val="0"/>
        <w:widowControl/>
        <w:kinsoku w:val="0"/>
        <w:wordWrap/>
        <w:overflowPunct/>
        <w:topLinePunct w:val="0"/>
        <w:autoSpaceDE w:val="0"/>
        <w:autoSpaceDN w:val="0"/>
        <w:bidi w:val="0"/>
        <w:adjustRightInd w:val="0"/>
        <w:snapToGrid w:val="0"/>
        <w:spacing w:before="229" w:line="324" w:lineRule="auto"/>
        <w:ind w:left="119" w:right="113" w:firstLine="420"/>
        <w:jc w:val="both"/>
        <w:textAlignment w:val="baseline"/>
      </w:pPr>
    </w:p>
    <w:p w14:paraId="3CA08C93">
      <w:pPr>
        <w:pStyle w:val="9"/>
      </w:pPr>
    </w:p>
    <w:tbl>
      <w:tblPr>
        <w:tblStyle w:val="10"/>
        <w:tblW w:w="93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3531"/>
        <w:gridCol w:w="2805"/>
        <w:gridCol w:w="2989"/>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822" w:hRule="atLeast"/>
          <w:jc w:val="center"/>
        </w:trPr>
        <w:tc>
          <w:tcPr>
            <w:tcW w:w="3531"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805" w:type="dxa"/>
            <w:vAlign w:val="center"/>
          </w:tcPr>
          <w:p w14:paraId="612F4846">
            <w:pPr>
              <w:spacing w:before="40" w:line="219" w:lineRule="auto"/>
              <w:jc w:val="center"/>
              <w:rPr>
                <w:rFonts w:hint="eastAsia" w:ascii="宋体" w:hAnsi="宋体" w:eastAsia="宋体" w:cs="宋体"/>
                <w:b/>
                <w:bCs/>
                <w:spacing w:val="-8"/>
                <w:sz w:val="24"/>
                <w:szCs w:val="24"/>
                <w:lang w:val="en-US" w:eastAsia="zh-CN"/>
              </w:rPr>
            </w:pPr>
            <w:r>
              <w:rPr>
                <w:rFonts w:hint="eastAsia" w:ascii="宋体" w:hAnsi="宋体" w:eastAsia="宋体" w:cs="宋体"/>
                <w:b/>
                <w:bCs/>
                <w:spacing w:val="-8"/>
                <w:sz w:val="24"/>
                <w:szCs w:val="24"/>
                <w:lang w:val="en-US" w:eastAsia="zh-CN"/>
              </w:rPr>
              <w:t>下浮率报价</w:t>
            </w:r>
          </w:p>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w:t>
            </w:r>
            <w:r>
              <w:rPr>
                <w:rFonts w:hint="eastAsia" w:ascii="宋体" w:hAnsi="宋体" w:eastAsia="宋体" w:cs="宋体"/>
                <w:b/>
                <w:bCs/>
                <w:spacing w:val="-8"/>
                <w:sz w:val="24"/>
                <w:szCs w:val="24"/>
                <w:lang w:eastAsia="zh-CN"/>
              </w:rPr>
              <w:t>）</w:t>
            </w:r>
          </w:p>
        </w:tc>
        <w:tc>
          <w:tcPr>
            <w:tcW w:w="2989"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087" w:hRule="atLeast"/>
          <w:jc w:val="center"/>
        </w:trPr>
        <w:tc>
          <w:tcPr>
            <w:tcW w:w="3531"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b/>
                <w:bCs/>
                <w:spacing w:val="2"/>
                <w:sz w:val="24"/>
                <w:szCs w:val="24"/>
                <w:lang w:val="en-US" w:eastAsia="zh-CN"/>
              </w:rPr>
              <w:t>2026年中山市东升医院工会会员及退休职工中秋慰问品项目</w:t>
            </w:r>
          </w:p>
        </w:tc>
        <w:tc>
          <w:tcPr>
            <w:tcW w:w="2805"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p>
        </w:tc>
        <w:tc>
          <w:tcPr>
            <w:tcW w:w="2989" w:type="dxa"/>
            <w:vAlign w:val="center"/>
          </w:tcPr>
          <w:p w14:paraId="1F9EC99D">
            <w:pPr>
              <w:pStyle w:val="3"/>
              <w:jc w:val="center"/>
              <w:rPr>
                <w:rFonts w:hint="default"/>
                <w:lang w:val="en-US" w:eastAsia="zh-CN"/>
              </w:rPr>
            </w:pPr>
            <w:r>
              <w:rPr>
                <w:rFonts w:hint="eastAsia"/>
                <w:lang w:val="en-US" w:eastAsia="zh-CN"/>
              </w:rPr>
              <w:t>附项目清单</w:t>
            </w:r>
          </w:p>
        </w:tc>
      </w:tr>
    </w:tbl>
    <w:p w14:paraId="1CE97BEE">
      <w:pPr>
        <w:pStyle w:val="3"/>
        <w:spacing w:line="371" w:lineRule="auto"/>
      </w:pPr>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732D2139">
      <w:pPr>
        <w:pStyle w:val="3"/>
        <w:keepNext w:val="0"/>
        <w:keepLines w:val="0"/>
        <w:pageBreakBefore w:val="0"/>
        <w:widowControl/>
        <w:numPr>
          <w:ilvl w:val="0"/>
          <w:numId w:val="0"/>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highlight w:val="none"/>
          <w:lang w:eastAsia="zh-CN"/>
        </w:rPr>
      </w:pPr>
      <w:r>
        <w:rPr>
          <w:rFonts w:ascii="宋体" w:hAnsi="宋体" w:eastAsia="宋体" w:cs="宋体"/>
          <w:b/>
          <w:bCs/>
          <w:snapToGrid w:val="0"/>
          <w:color w:val="000000"/>
          <w:spacing w:val="7"/>
          <w:sz w:val="20"/>
          <w:szCs w:val="20"/>
          <w:lang w:val="en-US" w:eastAsia="zh-CN" w:bidi="ar-SA"/>
        </w:rPr>
        <w:t>1.</w:t>
      </w:r>
      <w:r>
        <w:rPr>
          <w:rFonts w:hint="eastAsia" w:ascii="宋体" w:hAnsi="宋体" w:eastAsia="宋体" w:cs="宋体"/>
          <w:b/>
          <w:bCs/>
          <w:spacing w:val="7"/>
          <w:sz w:val="20"/>
          <w:szCs w:val="20"/>
          <w:highlight w:val="none"/>
          <w:lang w:val="en-US" w:eastAsia="zh-CN"/>
        </w:rPr>
        <w:t>本项目采用下浮率方式报价，供应商的报价下浮率0%至100%，响应报价偏离报价要求的将按无效响应处理。具体计算方式：结算价格＝200元×（1-成交下浮率）。</w:t>
      </w:r>
    </w:p>
    <w:p w14:paraId="7466AA19">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eastAsia" w:hAnsi="宋体" w:cs="宋体"/>
          <w:b/>
          <w:bCs/>
          <w:sz w:val="20"/>
          <w:szCs w:val="20"/>
          <w:lang w:val="en-US" w:eastAsia="zh-CN"/>
        </w:rPr>
      </w:pPr>
      <w:r>
        <w:rPr>
          <w:rFonts w:hint="eastAsia" w:hAnsi="宋体" w:cs="宋体"/>
          <w:b/>
          <w:bCs/>
          <w:sz w:val="20"/>
          <w:szCs w:val="20"/>
          <w:lang w:val="en-US" w:eastAsia="zh-CN"/>
        </w:rPr>
        <w:t>2.本次调研报价是项目前期调研参考，不作为招标报价。</w:t>
      </w:r>
    </w:p>
    <w:p w14:paraId="21B1F009">
      <w:pPr>
        <w:pStyle w:val="9"/>
        <w:keepNext w:val="0"/>
        <w:keepLines w:val="0"/>
        <w:pageBreakBefore w:val="0"/>
        <w:widowControl w:val="0"/>
        <w:kinsoku/>
        <w:wordWrap/>
        <w:overflowPunct/>
        <w:topLinePunct w:val="0"/>
        <w:autoSpaceDE w:val="0"/>
        <w:autoSpaceDN w:val="0"/>
        <w:bidi w:val="0"/>
        <w:adjustRightInd w:val="0"/>
        <w:snapToGrid/>
        <w:spacing w:before="0" w:beforeLines="50" w:line="300" w:lineRule="exact"/>
        <w:textAlignment w:val="auto"/>
        <w:rPr>
          <w:rFonts w:hint="default"/>
          <w:lang w:val="en-US" w:eastAsia="zh-CN"/>
        </w:rPr>
      </w:pPr>
      <w:r>
        <w:rPr>
          <w:rFonts w:hint="eastAsia" w:hAnsi="宋体" w:cs="宋体"/>
          <w:b/>
          <w:bCs/>
          <w:sz w:val="20"/>
          <w:szCs w:val="20"/>
          <w:lang w:val="en-US" w:eastAsia="zh-CN"/>
        </w:rPr>
        <w:t>3. 报价次数：1次。</w:t>
      </w:r>
    </w:p>
    <w:p w14:paraId="5E5536D4">
      <w:pPr>
        <w:spacing w:before="79" w:line="219" w:lineRule="auto"/>
        <w:ind w:left="122"/>
        <w:rPr>
          <w:rFonts w:ascii="宋体" w:hAnsi="宋体" w:eastAsia="宋体" w:cs="宋体"/>
          <w:spacing w:val="2"/>
          <w:sz w:val="24"/>
          <w:szCs w:val="24"/>
          <w:lang w:eastAsia="zh-CN"/>
        </w:rPr>
      </w:pPr>
    </w:p>
    <w:p w14:paraId="60320B2F">
      <w:pPr>
        <w:spacing w:before="79" w:line="219" w:lineRule="auto"/>
        <w:ind w:left="122"/>
        <w:rPr>
          <w:rFonts w:ascii="宋体" w:hAnsi="宋体" w:eastAsia="宋体" w:cs="宋体"/>
          <w:spacing w:val="2"/>
          <w:sz w:val="24"/>
          <w:szCs w:val="24"/>
          <w:lang w:eastAsia="zh-CN"/>
        </w:rPr>
      </w:pPr>
    </w:p>
    <w:p w14:paraId="1B5357F3">
      <w:pPr>
        <w:spacing w:before="79" w:line="219" w:lineRule="auto"/>
        <w:ind w:left="122"/>
        <w:rPr>
          <w:rFonts w:ascii="宋体" w:hAnsi="宋体" w:eastAsia="宋体" w:cs="宋体"/>
          <w:spacing w:val="2"/>
          <w:sz w:val="24"/>
          <w:szCs w:val="24"/>
          <w:lang w:eastAsia="zh-CN"/>
        </w:rPr>
      </w:pPr>
    </w:p>
    <w:p w14:paraId="135A0D05">
      <w:pPr>
        <w:pStyle w:val="9"/>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hint="eastAsia" w:ascii="宋体" w:hAnsi="宋体" w:eastAsia="宋体" w:cs="宋体"/>
          <w:b/>
          <w:bCs/>
          <w:spacing w:val="7"/>
          <w:sz w:val="20"/>
          <w:szCs w:val="20"/>
          <w:lang w:eastAsia="zh-CN"/>
        </w:rPr>
        <w:t>二</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响应供应商具有独立承担民事责任的能力且在中华人民共和国境内合法注册的独立法人，具备有效营业执照，同时具备食品经营许可证或食品药品经营许可证或仅销售预包装食品经营者备案等证件。</w:t>
      </w:r>
    </w:p>
    <w:p w14:paraId="396BE0B9">
      <w:pPr>
        <w:spacing w:before="41" w:line="227" w:lineRule="auto"/>
        <w:ind w:left="55"/>
        <w:outlineLvl w:val="0"/>
        <w:rPr>
          <w:rFonts w:ascii="宋体" w:hAnsi="宋体" w:eastAsia="宋体" w:cs="宋体"/>
          <w:sz w:val="20"/>
          <w:szCs w:val="20"/>
          <w:lang w:eastAsia="zh-CN"/>
        </w:rPr>
      </w:pPr>
      <w:r>
        <w:rPr>
          <w:rFonts w:hint="eastAsia" w:ascii="宋体" w:hAnsi="宋体" w:eastAsia="宋体" w:cs="宋体"/>
          <w:b/>
          <w:bCs/>
          <w:spacing w:val="6"/>
          <w:sz w:val="20"/>
          <w:szCs w:val="20"/>
          <w:lang w:eastAsia="zh-CN"/>
        </w:rPr>
        <w:t>三</w:t>
      </w:r>
      <w:r>
        <w:rPr>
          <w:rFonts w:ascii="宋体" w:hAnsi="宋体" w:eastAsia="宋体" w:cs="宋体"/>
          <w:b/>
          <w:bCs/>
          <w:spacing w:val="6"/>
          <w:sz w:val="20"/>
          <w:szCs w:val="20"/>
          <w:lang w:eastAsia="zh-CN"/>
        </w:rPr>
        <w:t>、法定代表人身份证明书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46792666">
      <w:pPr>
        <w:pStyle w:val="3"/>
        <w:spacing w:before="1" w:line="4112" w:lineRule="exact"/>
        <w:rPr>
          <w:rFonts w:ascii="宋体" w:hAnsi="宋体" w:eastAsia="宋体" w:cs="宋体"/>
          <w:sz w:val="20"/>
          <w:szCs w:val="20"/>
          <w:lang w:eastAsia="zh-CN"/>
        </w:rPr>
        <w:sectPr>
          <w:pgSz w:w="11900" w:h="16840"/>
          <w:pgMar w:top="907" w:right="1701" w:bottom="907" w:left="1701" w:header="0" w:footer="0" w:gutter="0"/>
          <w:cols w:space="720" w:num="1"/>
        </w:sectPr>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1AD104C4">
      <w:pPr>
        <w:spacing w:before="137" w:line="227" w:lineRule="auto"/>
        <w:rPr>
          <w:rFonts w:ascii="宋体" w:hAnsi="宋体" w:eastAsia="宋体" w:cs="宋体"/>
          <w:sz w:val="20"/>
          <w:szCs w:val="20"/>
          <w:lang w:eastAsia="zh-CN"/>
        </w:rPr>
      </w:pPr>
      <w:r>
        <w:rPr>
          <w:rFonts w:hint="eastAsia" w:ascii="宋体" w:hAnsi="宋体" w:eastAsia="宋体" w:cs="宋体"/>
          <w:b/>
          <w:bCs/>
          <w:spacing w:val="7"/>
          <w:sz w:val="20"/>
          <w:szCs w:val="20"/>
          <w:lang w:eastAsia="zh-CN"/>
        </w:rPr>
        <w:t>四</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10"/>
        <w:tblW w:w="9602" w:type="dxa"/>
        <w:tblInd w:w="-4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57" w:type="dxa"/>
          <w:left w:w="57" w:type="dxa"/>
          <w:bottom w:w="57" w:type="dxa"/>
          <w:right w:w="57" w:type="dxa"/>
        </w:tblCellMar>
      </w:tblPr>
      <w:tblGrid>
        <w:gridCol w:w="870"/>
        <w:gridCol w:w="5681"/>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926" w:hRule="atLeast"/>
        </w:trPr>
        <w:tc>
          <w:tcPr>
            <w:tcW w:w="870"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681"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0CA0F39F">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完全响应</w:t>
            </w:r>
          </w:p>
          <w:p w14:paraId="7215C25B">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hint="eastAsia" w:ascii="宋体" w:hAnsi="宋体" w:eastAsia="宋体" w:cs="宋体"/>
                <w:b/>
                <w:bCs/>
                <w:spacing w:val="7"/>
              </w:rPr>
            </w:pPr>
            <w:r>
              <w:rPr>
                <w:rFonts w:hint="eastAsia" w:ascii="宋体" w:hAnsi="宋体" w:eastAsia="宋体" w:cs="宋体"/>
                <w:b/>
                <w:bCs/>
                <w:spacing w:val="7"/>
              </w:rPr>
              <w:t>或</w:t>
            </w:r>
          </w:p>
          <w:p w14:paraId="53D5C9DE">
            <w:pPr>
              <w:keepNext w:val="0"/>
              <w:keepLines w:val="0"/>
              <w:pageBreakBefore w:val="0"/>
              <w:widowControl/>
              <w:kinsoku w:val="0"/>
              <w:wordWrap/>
              <w:overflowPunct/>
              <w:topLinePunct w:val="0"/>
              <w:autoSpaceDE w:val="0"/>
              <w:autoSpaceDN w:val="0"/>
              <w:bidi w:val="0"/>
              <w:adjustRightInd w:val="0"/>
              <w:snapToGrid w:val="0"/>
              <w:spacing w:line="300" w:lineRule="exact"/>
              <w:ind w:right="244"/>
              <w:jc w:val="center"/>
              <w:textAlignment w:val="baseline"/>
              <w:rPr>
                <w:rFonts w:ascii="宋体" w:hAnsi="宋体" w:eastAsia="宋体" w:cs="宋体"/>
                <w:b/>
                <w:bCs/>
              </w:rPr>
            </w:pPr>
            <w:r>
              <w:rPr>
                <w:rFonts w:hint="eastAsia" w:ascii="宋体" w:hAnsi="宋体" w:eastAsia="宋体" w:cs="宋体"/>
                <w:b/>
                <w:bCs/>
                <w:spacing w:val="6"/>
              </w:rPr>
              <w:t>正/负偏离</w:t>
            </w:r>
          </w:p>
        </w:tc>
        <w:tc>
          <w:tcPr>
            <w:tcW w:w="1510" w:type="dxa"/>
            <w:vAlign w:val="center"/>
          </w:tcPr>
          <w:p w14:paraId="393D5586">
            <w:pPr>
              <w:spacing w:before="65" w:line="300" w:lineRule="exact"/>
              <w:jc w:val="center"/>
              <w:rPr>
                <w:rFonts w:hint="eastAsia" w:ascii="宋体" w:hAnsi="宋体" w:eastAsia="宋体" w:cs="宋体"/>
                <w:b/>
                <w:bCs/>
                <w:spacing w:val="7"/>
              </w:rPr>
            </w:pPr>
            <w:r>
              <w:rPr>
                <w:rFonts w:hint="eastAsia" w:ascii="宋体" w:hAnsi="宋体" w:eastAsia="宋体" w:cs="宋体"/>
                <w:b/>
                <w:bCs/>
                <w:spacing w:val="7"/>
              </w:rPr>
              <w:t>偏离</w:t>
            </w:r>
          </w:p>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962" w:hRule="atLeast"/>
        </w:trPr>
        <w:tc>
          <w:tcPr>
            <w:tcW w:w="870"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681" w:type="dxa"/>
          </w:tcPr>
          <w:p w14:paraId="65CBA1BB">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供应商的资格要求</w:t>
            </w:r>
          </w:p>
          <w:p w14:paraId="1F25BA54">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1. 响应供应商必须是具有独立承担民事责任的能力：在中华人民共和国境内注册的法人或其他组织或自然人，投标（响应）时提交营业执照（或事业法人登记证或身份证等相关证明）复印件。分支机构投标的，须提供总公司和分公司营业执照复印件，总公司出具给分支机构的授权书。</w:t>
            </w:r>
          </w:p>
          <w:p w14:paraId="0F8CB8D5">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2. 响应供应商须具有效的且具备相关经营范围的营业执照；</w:t>
            </w:r>
          </w:p>
          <w:p w14:paraId="4185B4BD">
            <w:pPr>
              <w:pStyle w:val="5"/>
              <w:widowControl w:val="0"/>
              <w:kinsoku/>
              <w:autoSpaceDN/>
              <w:adjustRightInd/>
              <w:snapToGrid/>
              <w:spacing w:before="0" w:beforeAutospacing="0" w:after="0" w:afterAutospacing="0" w:line="240" w:lineRule="exact"/>
              <w:rPr>
                <w:rFonts w:hint="eastAsia" w:ascii="宋体" w:hAnsi="宋体" w:eastAsia="宋体" w:cs="宋体"/>
                <w:sz w:val="20"/>
                <w:szCs w:val="20"/>
              </w:rPr>
            </w:pPr>
            <w:r>
              <w:rPr>
                <w:rFonts w:hint="eastAsia" w:ascii="宋体" w:hAnsi="宋体" w:eastAsia="宋体" w:cs="宋体"/>
                <w:sz w:val="20"/>
                <w:szCs w:val="20"/>
              </w:rPr>
              <w:t>3. 响应供应商应具有项目的承接能力、合同的履约能力、售后供应能力和良好的信誉；</w:t>
            </w:r>
          </w:p>
          <w:p w14:paraId="3E1C2E99">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z w:val="20"/>
                <w:szCs w:val="20"/>
              </w:rPr>
              <w:t>4. 响应供应商在参与公开招标活动中未有违法违纪行为并受过处罚，响应供应商无围标、串标行为。</w:t>
            </w:r>
          </w:p>
        </w:tc>
        <w:tc>
          <w:tcPr>
            <w:tcW w:w="1541" w:type="dxa"/>
          </w:tcPr>
          <w:p w14:paraId="5B3B314A">
            <w:pPr>
              <w:pStyle w:val="11"/>
              <w:rPr>
                <w:rFonts w:ascii="宋体" w:hAnsi="宋体" w:eastAsia="宋体" w:cs="宋体"/>
                <w:lang w:eastAsia="zh-CN"/>
              </w:rPr>
            </w:pPr>
          </w:p>
        </w:tc>
        <w:tc>
          <w:tcPr>
            <w:tcW w:w="1510" w:type="dxa"/>
          </w:tcPr>
          <w:p w14:paraId="28582A36">
            <w:pPr>
              <w:pStyle w:val="11"/>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537" w:hRule="atLeast"/>
        </w:trPr>
        <w:tc>
          <w:tcPr>
            <w:tcW w:w="870"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681" w:type="dxa"/>
          </w:tcPr>
          <w:p w14:paraId="26A7521A">
            <w:pPr>
              <w:pStyle w:val="3"/>
              <w:keepNext w:val="0"/>
              <w:keepLines w:val="0"/>
              <w:pageBreakBefore w:val="0"/>
              <w:widowControl w:val="0"/>
              <w:kinsoku/>
              <w:wordWrap/>
              <w:overflowPunct/>
              <w:topLinePunct w:val="0"/>
              <w:autoSpaceDE/>
              <w:autoSpaceDN/>
              <w:bidi w:val="0"/>
              <w:adjustRightInd/>
              <w:snapToGrid/>
              <w:spacing w:before="4" w:line="48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服务内容</w:t>
            </w:r>
          </w:p>
          <w:p w14:paraId="2A50DE15">
            <w:pPr>
              <w:pStyle w:val="3"/>
              <w:keepNext w:val="0"/>
              <w:keepLines w:val="0"/>
              <w:pageBreakBefore w:val="0"/>
              <w:widowControl w:val="0"/>
              <w:numPr>
                <w:ilvl w:val="0"/>
                <w:numId w:val="0"/>
              </w:numPr>
              <w:kinsoku/>
              <w:wordWrap/>
              <w:overflowPunct/>
              <w:topLinePunct w:val="0"/>
              <w:autoSpaceDE/>
              <w:autoSpaceDN/>
              <w:bidi w:val="0"/>
              <w:adjustRightInd/>
              <w:snapToGrid/>
              <w:spacing w:before="4" w:line="480" w:lineRule="exact"/>
              <w:rPr>
                <w:rFonts w:hint="eastAsia" w:ascii="宋体" w:hAnsi="宋体" w:eastAsia="宋体" w:cs="宋体"/>
                <w:spacing w:val="-8"/>
                <w:sz w:val="20"/>
                <w:szCs w:val="20"/>
                <w:lang w:val="en-US" w:eastAsia="zh-CN"/>
              </w:rPr>
            </w:pPr>
            <w:r>
              <w:rPr>
                <w:rFonts w:hint="eastAsia" w:ascii="宋体" w:hAnsi="宋体" w:eastAsia="宋体" w:cs="宋体"/>
                <w:snapToGrid w:val="0"/>
                <w:color w:val="000000"/>
                <w:spacing w:val="-8"/>
                <w:sz w:val="20"/>
                <w:szCs w:val="20"/>
                <w:lang w:val="en-US" w:eastAsia="zh-CN" w:bidi="ar-SA"/>
              </w:rPr>
              <w:t>1.</w:t>
            </w:r>
            <w:r>
              <w:rPr>
                <w:rFonts w:hint="eastAsia" w:ascii="宋体" w:hAnsi="宋体" w:eastAsia="宋体" w:cs="宋体"/>
                <w:spacing w:val="-8"/>
                <w:sz w:val="20"/>
                <w:szCs w:val="20"/>
                <w:lang w:val="en-US" w:eastAsia="zh-CN"/>
              </w:rPr>
              <w:t>本采购项目为采购协议供货资格的取得，并不代表采购人采购本需求书上限采购数量。响应供应商中标后，采购人将按照签订合同时实际发放量和金额结算。</w:t>
            </w:r>
          </w:p>
          <w:p w14:paraId="1B20F761">
            <w:pPr>
              <w:pStyle w:val="3"/>
              <w:keepNext w:val="0"/>
              <w:keepLines w:val="0"/>
              <w:pageBreakBefore w:val="0"/>
              <w:widowControl w:val="0"/>
              <w:numPr>
                <w:numId w:val="0"/>
              </w:numPr>
              <w:kinsoku/>
              <w:wordWrap/>
              <w:overflowPunct/>
              <w:topLinePunct w:val="0"/>
              <w:autoSpaceDE/>
              <w:autoSpaceDN/>
              <w:bidi w:val="0"/>
              <w:adjustRightInd/>
              <w:snapToGrid/>
              <w:spacing w:before="4" w:line="480" w:lineRule="exact"/>
              <w:rPr>
                <w:rFonts w:hint="eastAsia" w:ascii="宋体" w:hAnsi="宋体" w:eastAsia="宋体" w:cs="宋体"/>
                <w:sz w:val="20"/>
                <w:szCs w:val="20"/>
              </w:rPr>
            </w:pPr>
            <w:r>
              <w:rPr>
                <w:rFonts w:hint="eastAsia" w:ascii="宋体" w:hAnsi="宋体" w:eastAsia="宋体" w:cs="宋体"/>
                <w:spacing w:val="-8"/>
                <w:sz w:val="20"/>
                <w:szCs w:val="20"/>
                <w:lang w:val="en-US" w:eastAsia="zh-CN"/>
              </w:rPr>
              <w:t>2.</w:t>
            </w:r>
            <w:r>
              <w:rPr>
                <w:rFonts w:hint="eastAsia" w:ascii="宋体" w:hAnsi="宋体" w:eastAsia="宋体" w:cs="宋体"/>
                <w:spacing w:val="-8"/>
                <w:sz w:val="20"/>
                <w:szCs w:val="20"/>
              </w:rPr>
              <w:t>产品清单</w:t>
            </w:r>
          </w:p>
          <w:p w14:paraId="27772F55">
            <w:pPr>
              <w:keepNext w:val="0"/>
              <w:keepLines w:val="0"/>
              <w:pageBreakBefore w:val="0"/>
              <w:widowControl w:val="0"/>
              <w:kinsoku/>
              <w:wordWrap/>
              <w:overflowPunct/>
              <w:topLinePunct w:val="0"/>
              <w:autoSpaceDE/>
              <w:autoSpaceDN/>
              <w:bidi w:val="0"/>
              <w:adjustRightInd/>
              <w:snapToGrid/>
              <w:spacing w:line="480" w:lineRule="exact"/>
              <w:ind w:firstLine="392" w:firstLineChars="200"/>
              <w:jc w:val="left"/>
              <w:rPr>
                <w:rFonts w:hint="eastAsia" w:ascii="宋体" w:hAnsi="宋体" w:eastAsia="宋体" w:cs="宋体"/>
                <w:spacing w:val="-2"/>
                <w:sz w:val="20"/>
                <w:szCs w:val="20"/>
              </w:rPr>
            </w:pPr>
            <w:r>
              <w:rPr>
                <w:rFonts w:hint="eastAsia" w:ascii="宋体" w:hAnsi="宋体" w:eastAsia="宋体" w:cs="宋体"/>
                <w:spacing w:val="-2"/>
                <w:sz w:val="20"/>
                <w:szCs w:val="20"/>
              </w:rPr>
              <w:t>本项</w:t>
            </w:r>
            <w:r>
              <w:rPr>
                <w:rFonts w:hint="eastAsia" w:ascii="宋体" w:hAnsi="宋体" w:eastAsia="宋体" w:cs="宋体"/>
                <w:spacing w:val="-57"/>
                <w:sz w:val="20"/>
                <w:szCs w:val="20"/>
              </w:rPr>
              <w:t xml:space="preserve"> </w:t>
            </w:r>
            <w:r>
              <w:rPr>
                <w:rFonts w:hint="eastAsia" w:ascii="宋体" w:hAnsi="宋体" w:eastAsia="宋体" w:cs="宋体"/>
                <w:spacing w:val="-2"/>
                <w:sz w:val="20"/>
                <w:szCs w:val="20"/>
              </w:rPr>
              <w:t>目</w:t>
            </w:r>
            <w:r>
              <w:rPr>
                <w:rFonts w:hint="eastAsia" w:ascii="宋体" w:hAnsi="宋体" w:eastAsia="宋体" w:cs="宋体"/>
                <w:sz w:val="20"/>
                <w:szCs w:val="20"/>
              </w:rPr>
              <w:t>产品要求：响应供应商自选产品品牌</w:t>
            </w:r>
            <w:r>
              <w:rPr>
                <w:rFonts w:hint="eastAsia" w:ascii="宋体" w:hAnsi="宋体" w:eastAsia="宋体" w:cs="宋体"/>
                <w:spacing w:val="-1"/>
                <w:sz w:val="20"/>
                <w:szCs w:val="20"/>
              </w:rPr>
              <w:t>，响应供应</w:t>
            </w:r>
            <w:r>
              <w:rPr>
                <w:rFonts w:hint="eastAsia" w:ascii="宋体" w:hAnsi="宋体" w:eastAsia="宋体" w:cs="宋体"/>
                <w:sz w:val="20"/>
                <w:szCs w:val="20"/>
              </w:rPr>
              <w:t>商根据产品清单规格、要求搭配产品，提供的产品品质需高于或等于参考图片、</w:t>
            </w:r>
            <w:r>
              <w:rPr>
                <w:rFonts w:hint="eastAsia" w:ascii="宋体" w:hAnsi="宋体" w:eastAsia="宋体" w:cs="宋体"/>
                <w:spacing w:val="-1"/>
                <w:sz w:val="20"/>
                <w:szCs w:val="20"/>
              </w:rPr>
              <w:t>参考品牌的</w:t>
            </w:r>
            <w:r>
              <w:rPr>
                <w:rFonts w:hint="eastAsia" w:ascii="宋体" w:hAnsi="宋体" w:eastAsia="宋体" w:cs="宋体"/>
                <w:sz w:val="20"/>
                <w:szCs w:val="20"/>
              </w:rPr>
              <w:t>产品品质，产品原包装上全部具有食品生产许可的相关信息，产品在淘宝天猫、</w:t>
            </w:r>
            <w:r>
              <w:rPr>
                <w:rFonts w:hint="eastAsia" w:ascii="宋体" w:hAnsi="宋体" w:eastAsia="宋体" w:cs="宋体"/>
                <w:spacing w:val="-1"/>
                <w:sz w:val="20"/>
                <w:szCs w:val="20"/>
              </w:rPr>
              <w:t>京东旗舰店</w:t>
            </w:r>
            <w:r>
              <w:rPr>
                <w:rFonts w:hint="eastAsia" w:ascii="宋体" w:hAnsi="宋体" w:eastAsia="宋体" w:cs="宋体"/>
                <w:spacing w:val="-2"/>
                <w:sz w:val="20"/>
                <w:szCs w:val="20"/>
              </w:rPr>
              <w:t>/自营店等官网电商平台，或中山市区内大型连锁超市提供销售。</w:t>
            </w:r>
          </w:p>
          <w:tbl>
            <w:tblPr>
              <w:tblStyle w:val="6"/>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24"/>
              <w:gridCol w:w="490"/>
              <w:gridCol w:w="1629"/>
              <w:gridCol w:w="363"/>
              <w:gridCol w:w="1076"/>
              <w:gridCol w:w="1083"/>
            </w:tblGrid>
            <w:tr w14:paraId="306B55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83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113E6">
                  <w:pPr>
                    <w:keepNext w:val="0"/>
                    <w:keepLines w:val="0"/>
                    <w:widowControl/>
                    <w:suppressLineNumbers w:val="0"/>
                    <w:jc w:val="center"/>
                    <w:textAlignment w:val="center"/>
                    <w:rPr>
                      <w:rFonts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品类</w:t>
                  </w: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67182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品牌</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7AD5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品名</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51C0F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单位</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BC0C3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规格</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0D18C3">
                  <w:pPr>
                    <w:keepNext w:val="0"/>
                    <w:keepLines w:val="0"/>
                    <w:widowControl/>
                    <w:suppressLineNumbers w:val="0"/>
                    <w:jc w:val="center"/>
                    <w:textAlignment w:val="center"/>
                    <w:rPr>
                      <w:rFonts w:hint="default" w:ascii="微软雅黑" w:hAnsi="微软雅黑" w:eastAsia="微软雅黑" w:cs="微软雅黑"/>
                      <w:b/>
                      <w:bCs/>
                      <w:i w:val="0"/>
                      <w:iCs w:val="0"/>
                      <w:color w:val="000000"/>
                      <w:kern w:val="0"/>
                      <w:sz w:val="20"/>
                      <w:szCs w:val="20"/>
                      <w:u w:val="none"/>
                      <w:lang w:val="en-US" w:eastAsia="zh-CN" w:bidi="ar"/>
                    </w:rPr>
                  </w:pPr>
                  <w:r>
                    <w:rPr>
                      <w:rFonts w:hint="eastAsia" w:ascii="微软雅黑" w:hAnsi="微软雅黑" w:eastAsia="微软雅黑" w:cs="微软雅黑"/>
                      <w:b/>
                      <w:bCs/>
                      <w:i w:val="0"/>
                      <w:iCs w:val="0"/>
                      <w:color w:val="000000"/>
                      <w:kern w:val="0"/>
                      <w:sz w:val="20"/>
                      <w:szCs w:val="20"/>
                      <w:u w:val="none"/>
                      <w:lang w:val="en-US" w:eastAsia="zh-CN" w:bidi="ar"/>
                    </w:rPr>
                    <w:t>参考图片</w:t>
                  </w:r>
                </w:p>
              </w:tc>
            </w:tr>
            <w:tr w14:paraId="14D25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3B68943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牛奶</w:t>
                  </w:r>
                </w:p>
                <w:p w14:paraId="2E614C07">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8FA2A6">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伊利</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EE84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250ml×10 伊利金典有机纯牛奶 (梦幻盖)</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0261E7">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050FB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032B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01700" cy="905510"/>
                        <wp:effectExtent l="0" t="0" r="12700" b="8890"/>
                        <wp:docPr id="2" name="图片 2" descr="aca529ceb1d35bb8a4d873ae1f5244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ca529ceb1d35bb8a4d873ae1f52443a"/>
                                <pic:cNvPicPr>
                                  <a:picLocks noChangeAspect="1"/>
                                </pic:cNvPicPr>
                              </pic:nvPicPr>
                              <pic:blipFill>
                                <a:blip r:embed="rId5"/>
                                <a:stretch>
                                  <a:fillRect/>
                                </a:stretch>
                              </pic:blipFill>
                              <pic:spPr>
                                <a:xfrm>
                                  <a:off x="0" y="0"/>
                                  <a:ext cx="901700" cy="905510"/>
                                </a:xfrm>
                                <a:prstGeom prst="rect">
                                  <a:avLst/>
                                </a:prstGeom>
                              </pic:spPr>
                            </pic:pic>
                          </a:graphicData>
                        </a:graphic>
                      </wp:inline>
                    </w:drawing>
                  </w:r>
                </w:p>
              </w:tc>
            </w:tr>
            <w:tr w14:paraId="716FB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3DD0D60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2310F9">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蒙牛</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B2561">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rPr>
                  </w:pPr>
                  <w:r>
                    <w:rPr>
                      <w:rFonts w:hint="eastAsia" w:ascii="微软雅黑" w:hAnsi="微软雅黑" w:eastAsia="微软雅黑" w:cs="微软雅黑"/>
                      <w:i w:val="0"/>
                      <w:iCs w:val="0"/>
                      <w:color w:val="000000"/>
                      <w:kern w:val="0"/>
                      <w:sz w:val="20"/>
                      <w:szCs w:val="20"/>
                      <w:u w:val="none"/>
                      <w:lang w:val="en-US" w:eastAsia="zh-CN" w:bidi="ar"/>
                    </w:rPr>
                    <w:t>250ml×10 特仑苏纯牛奶全脂灭菌乳梦幻盖（3.8g乳蛋白）</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8B19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0F07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10×250ml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E8DDAA">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3765" cy="920750"/>
                        <wp:effectExtent l="0" t="0" r="635" b="12700"/>
                        <wp:docPr id="7" name="图片 7" descr="d3243604e59aae90c7b4af9aef087b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d3243604e59aae90c7b4af9aef087b94"/>
                                <pic:cNvPicPr>
                                  <a:picLocks noChangeAspect="1"/>
                                </pic:cNvPicPr>
                              </pic:nvPicPr>
                              <pic:blipFill>
                                <a:blip r:embed="rId6"/>
                                <a:stretch>
                                  <a:fillRect/>
                                </a:stretch>
                              </pic:blipFill>
                              <pic:spPr>
                                <a:xfrm>
                                  <a:off x="0" y="0"/>
                                  <a:ext cx="913765" cy="920750"/>
                                </a:xfrm>
                                <a:prstGeom prst="rect">
                                  <a:avLst/>
                                </a:prstGeom>
                              </pic:spPr>
                            </pic:pic>
                          </a:graphicData>
                        </a:graphic>
                      </wp:inline>
                    </w:drawing>
                  </w:r>
                </w:p>
              </w:tc>
            </w:tr>
            <w:tr w14:paraId="58E34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624ABB9A">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8C3A4E">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燕塘</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755B37">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燕塘超高温灭菌全脂纯牛奶</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3CC899">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箱</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25DE2C">
                  <w:pPr>
                    <w:keepNext w:val="0"/>
                    <w:keepLines w:val="0"/>
                    <w:widowControl/>
                    <w:suppressLineNumbers w:val="0"/>
                    <w:jc w:val="center"/>
                    <w:textAlignment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24*250ml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70F283">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drawing>
                      <wp:inline distT="0" distB="0" distL="114300" distR="114300">
                        <wp:extent cx="914400" cy="1040130"/>
                        <wp:effectExtent l="0" t="0" r="0" b="7620"/>
                        <wp:docPr id="8" name="图片 8" descr="995af43fd9d98de662398e5ce4ace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95af43fd9d98de662398e5ce4ace505"/>
                                <pic:cNvPicPr>
                                  <a:picLocks noChangeAspect="1"/>
                                </pic:cNvPicPr>
                              </pic:nvPicPr>
                              <pic:blipFill>
                                <a:blip r:embed="rId7"/>
                                <a:stretch>
                                  <a:fillRect/>
                                </a:stretch>
                              </pic:blipFill>
                              <pic:spPr>
                                <a:xfrm>
                                  <a:off x="0" y="0"/>
                                  <a:ext cx="914400" cy="1040130"/>
                                </a:xfrm>
                                <a:prstGeom prst="rect">
                                  <a:avLst/>
                                </a:prstGeom>
                              </pic:spPr>
                            </pic:pic>
                          </a:graphicData>
                        </a:graphic>
                      </wp:inline>
                    </w:drawing>
                  </w:r>
                </w:p>
              </w:tc>
            </w:tr>
            <w:tr w14:paraId="2E058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73021B7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食用油</w:t>
                  </w:r>
                </w:p>
                <w:p w14:paraId="02FDF7F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7864D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金龙鱼</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332310">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5L 金龙鱼浓香花生油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B8BAF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4442F">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CE8A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21385"/>
                        <wp:effectExtent l="0" t="0" r="0" b="12065"/>
                        <wp:docPr id="9" name="图片 9" descr="16d6144a709633bdd8e86bf58637a1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6d6144a709633bdd8e86bf58637a1ec"/>
                                <pic:cNvPicPr>
                                  <a:picLocks noChangeAspect="1"/>
                                </pic:cNvPicPr>
                              </pic:nvPicPr>
                              <pic:blipFill>
                                <a:blip r:embed="rId8"/>
                                <a:stretch>
                                  <a:fillRect/>
                                </a:stretch>
                              </pic:blipFill>
                              <pic:spPr>
                                <a:xfrm>
                                  <a:off x="0" y="0"/>
                                  <a:ext cx="914400" cy="921385"/>
                                </a:xfrm>
                                <a:prstGeom prst="rect">
                                  <a:avLst/>
                                </a:prstGeom>
                              </pic:spPr>
                            </pic:pic>
                          </a:graphicData>
                        </a:graphic>
                      </wp:inline>
                    </w:drawing>
                  </w:r>
                </w:p>
              </w:tc>
            </w:tr>
            <w:tr w14:paraId="2D595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572F7EA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6B34">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胡姬花</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E9371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5.436L 胡姬花古法花生油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9887B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E9782">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5.436L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77FD8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16305"/>
                        <wp:effectExtent l="0" t="0" r="0" b="17145"/>
                        <wp:docPr id="10" name="图片 10" descr="92178476007c03b1b6bacf3312962c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92178476007c03b1b6bacf3312962c45"/>
                                <pic:cNvPicPr>
                                  <a:picLocks noChangeAspect="1"/>
                                </pic:cNvPicPr>
                              </pic:nvPicPr>
                              <pic:blipFill>
                                <a:blip r:embed="rId9"/>
                                <a:stretch>
                                  <a:fillRect/>
                                </a:stretch>
                              </pic:blipFill>
                              <pic:spPr>
                                <a:xfrm>
                                  <a:off x="0" y="0"/>
                                  <a:ext cx="914400" cy="916305"/>
                                </a:xfrm>
                                <a:prstGeom prst="rect">
                                  <a:avLst/>
                                </a:prstGeom>
                              </pic:spPr>
                            </pic:pic>
                          </a:graphicData>
                        </a:graphic>
                      </wp:inline>
                    </w:drawing>
                  </w:r>
                </w:p>
              </w:tc>
            </w:tr>
            <w:tr w14:paraId="05FE4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38F273E1">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891EA">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鲁花</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1A1CE">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5L 鲁花 5S 压榨一级花生油</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AC25D8">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桶</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7102D">
                  <w:pPr>
                    <w:keepNext w:val="0"/>
                    <w:keepLines w:val="0"/>
                    <w:widowControl/>
                    <w:suppressLineNumbers w:val="0"/>
                    <w:jc w:val="center"/>
                    <w:textAlignment w:val="center"/>
                    <w:rPr>
                      <w:rFonts w:hint="eastAsia" w:ascii="微软雅黑" w:hAnsi="微软雅黑" w:eastAsia="微软雅黑" w:cs="微软雅黑"/>
                      <w:i w:val="0"/>
                      <w:iCs w:val="0"/>
                      <w:color w:val="000000"/>
                      <w:sz w:val="20"/>
                      <w:szCs w:val="20"/>
                      <w:u w:val="none"/>
                    </w:rPr>
                  </w:pPr>
                  <w:r>
                    <w:rPr>
                      <w:rFonts w:hint="eastAsia" w:ascii="微软雅黑" w:hAnsi="微软雅黑" w:eastAsia="微软雅黑" w:cs="微软雅黑"/>
                      <w:i w:val="0"/>
                      <w:iCs w:val="0"/>
                      <w:color w:val="000000"/>
                      <w:kern w:val="0"/>
                      <w:sz w:val="20"/>
                      <w:szCs w:val="20"/>
                      <w:u w:val="none"/>
                      <w:lang w:val="en-US" w:eastAsia="zh-CN" w:bidi="ar"/>
                    </w:rPr>
                    <w:t>5L</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85AA4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15670"/>
                        <wp:effectExtent l="0" t="0" r="0" b="17780"/>
                        <wp:docPr id="11" name="图片 11" descr="93715fc04ac2e0faa6e4d60fda3d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93715fc04ac2e0faa6e4d60fda3d1996"/>
                                <pic:cNvPicPr>
                                  <a:picLocks noChangeAspect="1"/>
                                </pic:cNvPicPr>
                              </pic:nvPicPr>
                              <pic:blipFill>
                                <a:blip r:embed="rId10"/>
                                <a:stretch>
                                  <a:fillRect/>
                                </a:stretch>
                              </pic:blipFill>
                              <pic:spPr>
                                <a:xfrm>
                                  <a:off x="0" y="0"/>
                                  <a:ext cx="914400" cy="915670"/>
                                </a:xfrm>
                                <a:prstGeom prst="rect">
                                  <a:avLst/>
                                </a:prstGeom>
                              </pic:spPr>
                            </pic:pic>
                          </a:graphicData>
                        </a:graphic>
                      </wp:inline>
                    </w:drawing>
                  </w:r>
                </w:p>
              </w:tc>
            </w:tr>
            <w:tr w14:paraId="0F138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restart"/>
                  <w:tcBorders>
                    <w:top w:val="single" w:color="000000" w:sz="4" w:space="0"/>
                    <w:left w:val="single" w:color="000000" w:sz="4" w:space="0"/>
                    <w:right w:val="single" w:color="000000" w:sz="4" w:space="0"/>
                  </w:tcBorders>
                  <w:shd w:val="clear" w:color="auto" w:fill="auto"/>
                  <w:vAlign w:val="center"/>
                </w:tcPr>
                <w:p w14:paraId="22D690FC">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大米</w:t>
                  </w:r>
                </w:p>
                <w:p w14:paraId="79A38EC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503DA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太粮</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99160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 太粮靓虾王香软米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375C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0F6304">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9280C6">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18845"/>
                        <wp:effectExtent l="0" t="0" r="0" b="14605"/>
                        <wp:docPr id="12" name="图片 12" descr="1faa67d552862412ebbde0fee3a094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faa67d552862412ebbde0fee3a094a0"/>
                                <pic:cNvPicPr>
                                  <a:picLocks noChangeAspect="1"/>
                                </pic:cNvPicPr>
                              </pic:nvPicPr>
                              <pic:blipFill>
                                <a:blip r:embed="rId11"/>
                                <a:stretch>
                                  <a:fillRect/>
                                </a:stretch>
                              </pic:blipFill>
                              <pic:spPr>
                                <a:xfrm>
                                  <a:off x="0" y="0"/>
                                  <a:ext cx="914400" cy="918845"/>
                                </a:xfrm>
                                <a:prstGeom prst="rect">
                                  <a:avLst/>
                                </a:prstGeom>
                              </pic:spPr>
                            </pic:pic>
                          </a:graphicData>
                        </a:graphic>
                      </wp:inline>
                    </w:drawing>
                  </w:r>
                </w:p>
              </w:tc>
            </w:tr>
            <w:tr w14:paraId="219C2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right w:val="single" w:color="000000" w:sz="4" w:space="0"/>
                  </w:tcBorders>
                  <w:shd w:val="clear" w:color="auto" w:fill="auto"/>
                  <w:vAlign w:val="center"/>
                </w:tcPr>
                <w:p w14:paraId="51723BB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584B4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金象</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04CD14">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 金象牌精选泰国茉莉香米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169A01">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C9AB8F">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56C3B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15670"/>
                        <wp:effectExtent l="0" t="0" r="0" b="17780"/>
                        <wp:docPr id="13" name="图片 13" descr="555fd74ef5e8f0b16fcec482d9515c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555fd74ef5e8f0b16fcec482d9515cec"/>
                                <pic:cNvPicPr>
                                  <a:picLocks noChangeAspect="1"/>
                                </pic:cNvPicPr>
                              </pic:nvPicPr>
                              <pic:blipFill>
                                <a:blip r:embed="rId12"/>
                                <a:stretch>
                                  <a:fillRect/>
                                </a:stretch>
                              </pic:blipFill>
                              <pic:spPr>
                                <a:xfrm>
                                  <a:off x="0" y="0"/>
                                  <a:ext cx="914400" cy="915670"/>
                                </a:xfrm>
                                <a:prstGeom prst="rect">
                                  <a:avLst/>
                                </a:prstGeom>
                              </pic:spPr>
                            </pic:pic>
                          </a:graphicData>
                        </a:graphic>
                      </wp:inline>
                    </w:drawing>
                  </w:r>
                </w:p>
              </w:tc>
            </w:tr>
            <w:tr w14:paraId="2E836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830" w:type="pct"/>
                  <w:vMerge w:val="continue"/>
                  <w:tcBorders>
                    <w:left w:val="single" w:color="000000" w:sz="4" w:space="0"/>
                    <w:bottom w:val="single" w:color="000000" w:sz="4" w:space="0"/>
                    <w:right w:val="single" w:color="000000" w:sz="4" w:space="0"/>
                  </w:tcBorders>
                  <w:shd w:val="clear" w:color="auto" w:fill="auto"/>
                  <w:vAlign w:val="center"/>
                </w:tcPr>
                <w:p w14:paraId="79534245">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p>
              </w:tc>
              <w:tc>
                <w:tcPr>
                  <w:tcW w:w="4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ED7B92">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自然农法</w:t>
                  </w:r>
                </w:p>
              </w:tc>
              <w:tc>
                <w:tcPr>
                  <w:tcW w:w="14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3B7F88">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 自然农法五常大米</w:t>
                  </w:r>
                </w:p>
              </w:tc>
              <w:tc>
                <w:tcPr>
                  <w:tcW w:w="32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6A9ED">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袋</w:t>
                  </w:r>
                </w:p>
              </w:tc>
              <w:tc>
                <w:tcPr>
                  <w:tcW w:w="9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ED4C1B">
                  <w:pPr>
                    <w:keepNext w:val="0"/>
                    <w:keepLines w:val="0"/>
                    <w:widowControl/>
                    <w:suppressLineNumbers w:val="0"/>
                    <w:jc w:val="center"/>
                    <w:textAlignment w:val="center"/>
                    <w:rPr>
                      <w:rFonts w:hint="eastAsia" w:ascii="微软雅黑" w:hAnsi="微软雅黑" w:eastAsia="微软雅黑" w:cs="微软雅黑"/>
                      <w:i w:val="0"/>
                      <w:iCs w:val="0"/>
                      <w:color w:val="000000"/>
                      <w:kern w:val="2"/>
                      <w:sz w:val="20"/>
                      <w:szCs w:val="20"/>
                      <w:u w:val="none"/>
                      <w:lang w:val="en-US" w:eastAsia="zh-CN" w:bidi="ar-SA"/>
                    </w:rPr>
                  </w:pPr>
                  <w:r>
                    <w:rPr>
                      <w:rFonts w:hint="eastAsia" w:ascii="微软雅黑" w:hAnsi="微软雅黑" w:eastAsia="微软雅黑" w:cs="微软雅黑"/>
                      <w:i w:val="0"/>
                      <w:iCs w:val="0"/>
                      <w:color w:val="000000"/>
                      <w:kern w:val="0"/>
                      <w:sz w:val="20"/>
                      <w:szCs w:val="20"/>
                      <w:u w:val="none"/>
                      <w:lang w:val="en-US" w:eastAsia="zh-CN" w:bidi="ar"/>
                    </w:rPr>
                    <w:t>5kg</w:t>
                  </w:r>
                </w:p>
              </w:tc>
              <w:tc>
                <w:tcPr>
                  <w:tcW w:w="9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E02FD4">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drawing>
                      <wp:inline distT="0" distB="0" distL="114300" distR="114300">
                        <wp:extent cx="914400" cy="915670"/>
                        <wp:effectExtent l="0" t="0" r="0" b="17780"/>
                        <wp:docPr id="14" name="图片 14" descr="491ab00f773501e9460a1b1a04f635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491ab00f773501e9460a1b1a04f635e3"/>
                                <pic:cNvPicPr>
                                  <a:picLocks noChangeAspect="1"/>
                                </pic:cNvPicPr>
                              </pic:nvPicPr>
                              <pic:blipFill>
                                <a:blip r:embed="rId13"/>
                                <a:stretch>
                                  <a:fillRect/>
                                </a:stretch>
                              </pic:blipFill>
                              <pic:spPr>
                                <a:xfrm>
                                  <a:off x="0" y="0"/>
                                  <a:ext cx="914400" cy="915670"/>
                                </a:xfrm>
                                <a:prstGeom prst="rect">
                                  <a:avLst/>
                                </a:prstGeom>
                              </pic:spPr>
                            </pic:pic>
                          </a:graphicData>
                        </a:graphic>
                      </wp:inline>
                    </w:drawing>
                  </w:r>
                </w:p>
              </w:tc>
            </w:tr>
          </w:tbl>
          <w:p w14:paraId="2A4885AA">
            <w:pPr>
              <w:widowControl w:val="0"/>
              <w:spacing w:line="240" w:lineRule="exact"/>
              <w:rPr>
                <w:rFonts w:ascii="宋体" w:hAnsi="宋体" w:eastAsia="宋体" w:cs="宋体"/>
                <w:sz w:val="20"/>
                <w:szCs w:val="20"/>
                <w:lang w:eastAsia="zh-CN"/>
              </w:rPr>
            </w:pPr>
            <w:r>
              <w:rPr>
                <w:rFonts w:ascii="宋体" w:hAnsi="宋体" w:eastAsia="宋体" w:cs="宋体"/>
                <w:sz w:val="20"/>
                <w:szCs w:val="20"/>
              </w:rPr>
              <w:t>成套供货要求：每份慰问品标配为一箱牛奶、一桶食用油、一袋大米。牛奶、食用油、大米三大品类，每类均需在本表格所列3个参考品牌中选择其中一个品牌供货</w:t>
            </w:r>
            <w:r>
              <w:rPr>
                <w:rFonts w:hint="eastAsia" w:ascii="宋体" w:hAnsi="宋体" w:eastAsia="宋体" w:cs="宋体"/>
                <w:sz w:val="20"/>
                <w:szCs w:val="20"/>
                <w:lang w:eastAsia="zh-CN"/>
              </w:rPr>
              <w:t>。</w:t>
            </w:r>
          </w:p>
        </w:tc>
        <w:tc>
          <w:tcPr>
            <w:tcW w:w="1541" w:type="dxa"/>
          </w:tcPr>
          <w:p w14:paraId="11B334CA">
            <w:pPr>
              <w:pStyle w:val="11"/>
              <w:rPr>
                <w:rFonts w:ascii="宋体" w:hAnsi="宋体" w:eastAsia="宋体" w:cs="宋体"/>
                <w:lang w:eastAsia="zh-CN"/>
              </w:rPr>
            </w:pPr>
          </w:p>
        </w:tc>
        <w:tc>
          <w:tcPr>
            <w:tcW w:w="1510" w:type="dxa"/>
          </w:tcPr>
          <w:p w14:paraId="0566467E">
            <w:pPr>
              <w:pStyle w:val="11"/>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50" w:hRule="atLeast"/>
        </w:trPr>
        <w:tc>
          <w:tcPr>
            <w:tcW w:w="870"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681" w:type="dxa"/>
          </w:tcPr>
          <w:p w14:paraId="3B0056B9">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报价要求</w:t>
            </w:r>
          </w:p>
          <w:p w14:paraId="021BCA34">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★1.响应供应商需根据产品清单对单价预算金额200元总下浮率，下浮率在0% (含本数）-50%（含本数）范围内取值，若报价超出此范围则响应无效。</w:t>
            </w:r>
          </w:p>
          <w:p w14:paraId="0EEE30D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2.供应商报价应为人民币含税全包价，包含货物、包装费、运杂费、保险费、卸车费、配合费、检测费、配送费、税金及供应商认为需要的所有费用，采购人不再单独支付其他费用。</w:t>
            </w:r>
          </w:p>
          <w:p w14:paraId="1BA9BDB7">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3.协议供货期间的价格：成交价=200元×（1-响应下浮率）。在合同期内，产品清单中的成交价即是采购人的交货价，也是合同期间的最终价格，合同期内，成交价不再随着市场同类商品市场价格的调整而进行调整。</w:t>
            </w:r>
          </w:p>
        </w:tc>
        <w:tc>
          <w:tcPr>
            <w:tcW w:w="1541" w:type="dxa"/>
          </w:tcPr>
          <w:p w14:paraId="6483D143">
            <w:pPr>
              <w:pStyle w:val="11"/>
              <w:rPr>
                <w:rFonts w:ascii="宋体" w:hAnsi="宋体" w:eastAsia="宋体" w:cs="宋体"/>
                <w:lang w:eastAsia="zh-CN"/>
              </w:rPr>
            </w:pPr>
          </w:p>
        </w:tc>
        <w:tc>
          <w:tcPr>
            <w:tcW w:w="1510" w:type="dxa"/>
          </w:tcPr>
          <w:p w14:paraId="774B4E9C">
            <w:pPr>
              <w:pStyle w:val="11"/>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10" w:hRule="atLeast"/>
        </w:trPr>
        <w:tc>
          <w:tcPr>
            <w:tcW w:w="870"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681" w:type="dxa"/>
          </w:tcPr>
          <w:p w14:paraId="5CB00F9D">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产品总体要求</w:t>
            </w:r>
          </w:p>
          <w:p w14:paraId="46FDA6B5">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★1.所投产品为厂家出售原包装产品，不允许为散装、拆装产品，产品外包装干净、完整、精美大方，符合节日气氛。</w:t>
            </w:r>
          </w:p>
          <w:p w14:paraId="5314849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★2.所提供产品须在保质期内，国产产品在交付时的剩余保质期应达到85%及以上的时间，进口产品在交付时的剩余保质期应达到60%及以上的时间。</w:t>
            </w:r>
          </w:p>
          <w:p w14:paraId="70550639">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★3.本采购项目产品均要求正规渠道进货；进口产品，必须为国内行货，通过正规渠道进口，具有齐全的入境检验证明材料、产品合格证明材料和相关的检测报告，在国内市场享受到完整的售后服务及质量保证。</w:t>
            </w:r>
          </w:p>
          <w:p w14:paraId="00D79DC1">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4.所供产品质量要求和技术标准必须符合国家检测相关技术标准，确保产品质量稳定，绿色安全。从加工、包装、运输、贮存到销售全部符合国家规定标准。</w:t>
            </w:r>
          </w:p>
          <w:p w14:paraId="45442FAC">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5.每种产品的包装均需列明品牌、生产厂家、规格、成分、生产日期等信息。中标后，成交供应商应严格按需求书要求供应产品，不得未经采购人同意而变更供应，否则，采购人有权拒收。</w:t>
            </w:r>
          </w:p>
          <w:p w14:paraId="60B02D93">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6.所供产品在运输交付过程中产生损坏的，成交供应商须承诺坏一赔一，7个工作日内赔付。</w:t>
            </w:r>
          </w:p>
          <w:p w14:paraId="21A33256">
            <w:pPr>
              <w:widowControl w:val="0"/>
              <w:spacing w:line="240" w:lineRule="exact"/>
              <w:rPr>
                <w:rFonts w:hint="default" w:ascii="宋体" w:hAnsi="宋体" w:eastAsia="宋体" w:cs="宋体"/>
                <w:sz w:val="20"/>
                <w:szCs w:val="20"/>
                <w:lang w:val="en-US" w:eastAsia="zh-CN"/>
              </w:rPr>
            </w:pPr>
            <w:r>
              <w:rPr>
                <w:rFonts w:hint="default" w:ascii="宋体" w:hAnsi="宋体" w:eastAsia="宋体" w:cs="宋体"/>
                <w:sz w:val="20"/>
                <w:szCs w:val="20"/>
                <w:lang w:val="en-US" w:eastAsia="zh-CN"/>
              </w:rPr>
              <w:t>7.成交供应商在实际供货时，若被发现提供的货物未能达到响应文件中的有关要求，将按有关法规进行处罚，采购人将有权单方面终止合同的执行，并追究因成交供应商所提供的未达到所承诺准确率产品而产生的所有损失和责任。</w:t>
            </w:r>
          </w:p>
        </w:tc>
        <w:tc>
          <w:tcPr>
            <w:tcW w:w="1541" w:type="dxa"/>
          </w:tcPr>
          <w:p w14:paraId="193D8761">
            <w:pPr>
              <w:pStyle w:val="11"/>
              <w:rPr>
                <w:rFonts w:ascii="宋体" w:hAnsi="宋体" w:eastAsia="宋体" w:cs="宋体"/>
                <w:lang w:eastAsia="zh-CN"/>
              </w:rPr>
            </w:pPr>
          </w:p>
        </w:tc>
        <w:tc>
          <w:tcPr>
            <w:tcW w:w="1510" w:type="dxa"/>
          </w:tcPr>
          <w:p w14:paraId="091A4CD4">
            <w:pPr>
              <w:pStyle w:val="11"/>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468" w:hRule="atLeast"/>
        </w:trPr>
        <w:tc>
          <w:tcPr>
            <w:tcW w:w="870"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681" w:type="dxa"/>
          </w:tcPr>
          <w:p w14:paraId="7792C1D8">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样品</w:t>
            </w:r>
          </w:p>
          <w:p w14:paraId="725F4300">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★1.响应供应商在递交响应文件的同时应提交产品清单中的供货产品、外包装袋设计图案等样品，产品清单中提供可试吃的产品，采购人能进行试吃和拆开包装。</w:t>
            </w:r>
          </w:p>
          <w:p w14:paraId="3ACF8145">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2.样品与响应文件分开独立封装。为方便评标，响应供应商须在所提供的样品表面或显著位置标注响应供应商的名称、样品名称等信息。</w:t>
            </w:r>
          </w:p>
          <w:p w14:paraId="10DF5EA7">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本项目招标任务完结之后，成交供应商的样品封存于采购人单位，作为实物样品。采购人对响应供应商所递交样品的破损或质量不负任何责任。非成交供应商应在本项目中标公告发布之日起7个工作日内到采购人处取回样品。逾期不取回样品的，则视为自动放弃样品的所有权，采购人有权自行处置相关样品。</w:t>
            </w:r>
          </w:p>
          <w:p w14:paraId="3EB1D89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七、商务要求</w:t>
            </w:r>
          </w:p>
          <w:p w14:paraId="55C8A7D1">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★1.响应供应商具有独立承担民事责任的能力且在中华人民共和国境内合法注册的独立法人，具备有效营业执照，同时具备食品经营许可证或食品药品经营许可证或仅销售预包装食品经营者备案等证件。</w:t>
            </w:r>
          </w:p>
          <w:p w14:paraId="33A607FA">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2.响应供应商参加本次招采前三年内在行业无不良记录，在经营活动中没有重大违法记录，具有良好商业信誉和健全财务会计制度，能提供近三年财务审计报告或财务报表。</w:t>
            </w:r>
          </w:p>
          <w:p w14:paraId="5686768B">
            <w:pPr>
              <w:widowControl w:val="0"/>
              <w:spacing w:line="240" w:lineRule="exact"/>
              <w:rPr>
                <w:rFonts w:hint="eastAsia" w:ascii="宋体" w:hAnsi="宋体" w:eastAsia="宋体" w:cs="宋体"/>
                <w:sz w:val="20"/>
                <w:szCs w:val="20"/>
                <w:lang w:eastAsia="zh-CN"/>
              </w:rPr>
            </w:pPr>
            <w:r>
              <w:rPr>
                <w:rFonts w:hint="eastAsia" w:ascii="宋体" w:hAnsi="宋体" w:eastAsia="宋体" w:cs="宋体"/>
                <w:sz w:val="20"/>
                <w:szCs w:val="20"/>
                <w:lang w:eastAsia="zh-CN"/>
              </w:rPr>
              <w:t>3.响应供应商参加本次招采前三年内有同等规模成功案例，具有履行合同所必需的货物储备、运输、协调能力，且具备较强的创意策划、整体协调、沟通能力，可提供相关证明材料（例如合同或发票复印件）。</w:t>
            </w:r>
          </w:p>
          <w:p w14:paraId="5DB34EC7">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eastAsia="zh-CN"/>
              </w:rPr>
              <w:t>4.响应供应商有实体仓库或办公点，能在6小时内响应采购人的服务要求（起始位置：响应供应商仓库或办公点，终点位置：中山市东升医院）</w:t>
            </w:r>
          </w:p>
        </w:tc>
        <w:tc>
          <w:tcPr>
            <w:tcW w:w="1541" w:type="dxa"/>
          </w:tcPr>
          <w:p w14:paraId="400EB205">
            <w:pPr>
              <w:pStyle w:val="11"/>
              <w:rPr>
                <w:rFonts w:ascii="宋体" w:hAnsi="宋体" w:eastAsia="宋体" w:cs="宋体"/>
                <w:lang w:eastAsia="zh-CN"/>
              </w:rPr>
            </w:pPr>
          </w:p>
        </w:tc>
        <w:tc>
          <w:tcPr>
            <w:tcW w:w="1510" w:type="dxa"/>
          </w:tcPr>
          <w:p w14:paraId="4379F7B4">
            <w:pPr>
              <w:pStyle w:val="11"/>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753" w:hRule="atLeast"/>
        </w:trPr>
        <w:tc>
          <w:tcPr>
            <w:tcW w:w="870"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681" w:type="dxa"/>
          </w:tcPr>
          <w:p w14:paraId="3141650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交货地点和交货期</w:t>
            </w:r>
          </w:p>
          <w:p w14:paraId="59AA1696">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★1.交货地点：中山市东升医院内和120份按采购方提供的人员清单及对应地址邮寄到个人，采购人指定地点，成交供应商须按照采购人指定地点送货上门。</w:t>
            </w:r>
          </w:p>
          <w:p w14:paraId="6E2FE703">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2.交货期：成交供应商应当在中标通知书发出之日起5个工作日内按投标文件确定的事项与采购人签订合同，签订合同后15个自然日内完成交货及邮寄到个人。</w:t>
            </w:r>
          </w:p>
        </w:tc>
        <w:tc>
          <w:tcPr>
            <w:tcW w:w="1541" w:type="dxa"/>
          </w:tcPr>
          <w:p w14:paraId="0ECC2677">
            <w:pPr>
              <w:pStyle w:val="11"/>
              <w:rPr>
                <w:rFonts w:ascii="宋体" w:hAnsi="宋体" w:eastAsia="宋体" w:cs="宋体"/>
                <w:lang w:eastAsia="zh-CN"/>
              </w:rPr>
            </w:pPr>
          </w:p>
        </w:tc>
        <w:tc>
          <w:tcPr>
            <w:tcW w:w="1510" w:type="dxa"/>
          </w:tcPr>
          <w:p w14:paraId="79CBAC54">
            <w:pPr>
              <w:pStyle w:val="11"/>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054" w:hRule="atLeast"/>
        </w:trPr>
        <w:tc>
          <w:tcPr>
            <w:tcW w:w="870"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681" w:type="dxa"/>
          </w:tcPr>
          <w:p w14:paraId="6C93479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付款方式</w:t>
            </w:r>
          </w:p>
          <w:p w14:paraId="28E5D363">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成交供应商按合同规定时间提供货物并完成派发，采购人验收合格后，开具全额增值税普通发票，采购人确认无误后于6个月内全额支付成交供应商货款。</w:t>
            </w:r>
          </w:p>
        </w:tc>
        <w:tc>
          <w:tcPr>
            <w:tcW w:w="1541" w:type="dxa"/>
          </w:tcPr>
          <w:p w14:paraId="3CC5F3B6">
            <w:pPr>
              <w:pStyle w:val="11"/>
              <w:rPr>
                <w:rFonts w:ascii="宋体" w:hAnsi="宋体" w:eastAsia="宋体" w:cs="宋体"/>
                <w:lang w:eastAsia="zh-CN"/>
              </w:rPr>
            </w:pPr>
          </w:p>
        </w:tc>
        <w:tc>
          <w:tcPr>
            <w:tcW w:w="1510" w:type="dxa"/>
          </w:tcPr>
          <w:p w14:paraId="3ECDB715">
            <w:pPr>
              <w:pStyle w:val="11"/>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681" w:type="dxa"/>
          </w:tcPr>
          <w:p w14:paraId="55C073D1">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验收要求</w:t>
            </w:r>
          </w:p>
          <w:p w14:paraId="6AADBFE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采购人按供货要求对成交供应商所配送货物的包装、质量、数量和保质期时限等进行现场抽查，抽查内容必须与报名阶段响应文件一致，成交供应商须对其提供的产品质量全面负责，如发现问题，采购人有权拒收，成交供应商要在两天之内给予明确答复，如无则取消供货资格。</w:t>
            </w:r>
          </w:p>
        </w:tc>
        <w:tc>
          <w:tcPr>
            <w:tcW w:w="1541" w:type="dxa"/>
          </w:tcPr>
          <w:p w14:paraId="0F06F75D">
            <w:pPr>
              <w:pStyle w:val="11"/>
              <w:rPr>
                <w:rFonts w:ascii="宋体" w:hAnsi="宋体" w:eastAsia="宋体" w:cs="宋体"/>
                <w:lang w:eastAsia="zh-CN"/>
              </w:rPr>
            </w:pPr>
          </w:p>
        </w:tc>
        <w:tc>
          <w:tcPr>
            <w:tcW w:w="1510" w:type="dxa"/>
          </w:tcPr>
          <w:p w14:paraId="1CE95EF2">
            <w:pPr>
              <w:pStyle w:val="11"/>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695" w:hRule="atLeast"/>
        </w:trPr>
        <w:tc>
          <w:tcPr>
            <w:tcW w:w="870"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681" w:type="dxa"/>
          </w:tcPr>
          <w:p w14:paraId="310241A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违约责任</w:t>
            </w:r>
          </w:p>
          <w:p w14:paraId="336FECB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1.成交供应商交付的货物不符合合同规定的（如包装有损坏或有严重污渍、国产产品剩余保质期不足85%及进口产品保质期不足60%等情形的），采购人有权拒收。成交供应商应在一个工作 日内进行更换后再验收，超过一个工作日未更换进行的，成交供应商须向采购人支付合同总货款的5%的违约金。</w:t>
            </w:r>
          </w:p>
          <w:p w14:paraId="2E89CAE5">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2.出现下列情况的，采购人有权向成交供应商要求支付合同总货款10%的违约金：</w:t>
            </w:r>
          </w:p>
          <w:p w14:paraId="4CFF7A3B">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（1）未按合同约定的时间交付货物的，每逾期一日，成交供应商应当按照合同总货款的1%向采购人支付违约金，逾期超过3个工作日的，采购人有权解除合同并要求支付该违约金；</w:t>
            </w:r>
          </w:p>
          <w:p w14:paraId="24202BAF">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（2）成交供应商提供产品存在假冒伪劣、过期或其他质量安全问题的；</w:t>
            </w:r>
          </w:p>
          <w:p w14:paraId="400D6CE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（3）成交供应商交付的产品或提供的服务不符合招标文件、成交供应商投标文件或合同规定的；</w:t>
            </w:r>
          </w:p>
          <w:p w14:paraId="3CF975F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（4）在采购人抽检中发现有质量问题，解决态度不积极的；</w:t>
            </w:r>
          </w:p>
          <w:p w14:paraId="680F357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（5）成交供应商提供的产品，实际价值明显低于市场流通渠道或平台价值，或供货价格高于门店销售正价的。</w:t>
            </w:r>
          </w:p>
          <w:p w14:paraId="50980A20">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3.因成交供应商提供的商品在食用或使用后出现不良反应，造成有效投诉的，其一切后果均由成交供应商负责并赔偿采购人损失，采购人不负任何责任并有权取消其供货资格。</w:t>
            </w:r>
          </w:p>
          <w:p w14:paraId="7A35E333">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4.如上级部门发文取消有关节假日慰问品发放许可，合同自动取消，采购人不承担任何责任。</w:t>
            </w:r>
          </w:p>
        </w:tc>
        <w:tc>
          <w:tcPr>
            <w:tcW w:w="1541" w:type="dxa"/>
          </w:tcPr>
          <w:p w14:paraId="1CFCF2A1">
            <w:pPr>
              <w:pStyle w:val="11"/>
              <w:rPr>
                <w:rFonts w:ascii="宋体" w:hAnsi="宋体" w:eastAsia="宋体" w:cs="宋体"/>
                <w:lang w:eastAsia="zh-CN"/>
              </w:rPr>
            </w:pPr>
          </w:p>
        </w:tc>
        <w:tc>
          <w:tcPr>
            <w:tcW w:w="1510" w:type="dxa"/>
          </w:tcPr>
          <w:p w14:paraId="5E81E370">
            <w:pPr>
              <w:pStyle w:val="11"/>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71" w:hRule="atLeast"/>
        </w:trPr>
        <w:tc>
          <w:tcPr>
            <w:tcW w:w="870"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681" w:type="dxa"/>
          </w:tcPr>
          <w:p w14:paraId="5E29908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其它要求</w:t>
            </w:r>
          </w:p>
          <w:p w14:paraId="009B1C4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1.响应供应商具有产品安全（质量）追溯能力，能实现对配送产品的安全追溯，响应文件中应明确产品安全（质量）追溯的措施及具体方案。</w:t>
            </w:r>
          </w:p>
          <w:p w14:paraId="22D8EF09">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响应供应商在响应文件中可列明在项目实施过程中要求响应供应商提供的配合条件，所列配合条件响应供应商将尽量配合解决，但不代表采购人全部接受，采购人有权全部或部分拒绝响应供应商提出的配合条件。</w:t>
            </w:r>
          </w:p>
          <w:p w14:paraId="7E703CF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3.本招标文件未明确的其它约定事项或条款，待采购人与成交供应商签订合同时，由双方协商订立。</w:t>
            </w:r>
          </w:p>
        </w:tc>
        <w:tc>
          <w:tcPr>
            <w:tcW w:w="1541" w:type="dxa"/>
          </w:tcPr>
          <w:p w14:paraId="7D075FF8">
            <w:pPr>
              <w:pStyle w:val="11"/>
              <w:rPr>
                <w:rFonts w:ascii="宋体" w:hAnsi="宋体" w:eastAsia="宋体" w:cs="宋体"/>
                <w:lang w:eastAsia="zh-CN"/>
              </w:rPr>
            </w:pPr>
          </w:p>
        </w:tc>
        <w:tc>
          <w:tcPr>
            <w:tcW w:w="1510" w:type="dxa"/>
          </w:tcPr>
          <w:p w14:paraId="686D7884">
            <w:pPr>
              <w:pStyle w:val="11"/>
              <w:rPr>
                <w:rFonts w:ascii="宋体" w:hAnsi="宋体" w:eastAsia="宋体" w:cs="宋体"/>
                <w:lang w:eastAsia="zh-CN"/>
              </w:rPr>
            </w:pPr>
          </w:p>
        </w:tc>
      </w:tr>
    </w:tbl>
    <w:p w14:paraId="5EFF081B">
      <w:pPr>
        <w:rPr>
          <w:lang w:eastAsia="zh-CN"/>
        </w:rPr>
      </w:pPr>
    </w:p>
    <w:p w14:paraId="3447D6D1">
      <w:pPr>
        <w:rPr>
          <w:lang w:eastAsia="zh-CN"/>
        </w:rPr>
      </w:pPr>
      <w:r>
        <w:rPr>
          <w:lang w:eastAsia="zh-CN"/>
        </w:rPr>
        <w:br w:type="page"/>
      </w:r>
    </w:p>
    <w:p w14:paraId="12316B45">
      <w:pPr>
        <w:spacing w:before="41" w:line="227" w:lineRule="auto"/>
        <w:jc w:val="both"/>
        <w:rPr>
          <w:rFonts w:hint="default" w:ascii="宋体" w:hAnsi="宋体" w:eastAsia="宋体" w:cs="宋体"/>
          <w:b/>
          <w:bCs/>
          <w:spacing w:val="5"/>
          <w:sz w:val="20"/>
          <w:szCs w:val="20"/>
          <w:lang w:val="en-US" w:eastAsia="zh-CN"/>
        </w:rPr>
      </w:pPr>
      <w:r>
        <w:rPr>
          <w:rFonts w:hint="eastAsia" w:ascii="宋体" w:hAnsi="宋体" w:eastAsia="宋体" w:cs="宋体"/>
          <w:b/>
          <w:bCs/>
          <w:spacing w:val="5"/>
          <w:sz w:val="20"/>
          <w:szCs w:val="20"/>
          <w:lang w:val="en-US" w:eastAsia="zh-CN"/>
        </w:rPr>
        <w:t>五、近三年同类规模业绩相关证明文件</w:t>
      </w:r>
    </w:p>
    <w:p w14:paraId="1D14C0F7">
      <w:pPr>
        <w:spacing w:before="41" w:line="227" w:lineRule="auto"/>
        <w:jc w:val="both"/>
        <w:rPr>
          <w:rFonts w:ascii="宋体" w:hAnsi="宋体" w:eastAsia="宋体" w:cs="宋体"/>
          <w:sz w:val="20"/>
          <w:szCs w:val="20"/>
          <w:lang w:eastAsia="zh-CN"/>
        </w:rPr>
      </w:pPr>
    </w:p>
    <w:p w14:paraId="7029066B">
      <w:pPr>
        <w:pStyle w:val="3"/>
        <w:spacing w:line="260" w:lineRule="auto"/>
        <w:rPr>
          <w:lang w:eastAsia="zh-CN"/>
        </w:rPr>
      </w:pPr>
    </w:p>
    <w:p w14:paraId="2CD238D2">
      <w:pPr>
        <w:pStyle w:val="3"/>
        <w:spacing w:line="261" w:lineRule="auto"/>
        <w:rPr>
          <w:lang w:eastAsia="zh-CN"/>
        </w:rPr>
      </w:pPr>
    </w:p>
    <w:p w14:paraId="02EAC68A">
      <w:pPr>
        <w:keepNext w:val="0"/>
        <w:keepLines w:val="0"/>
        <w:pageBreakBefore w:val="0"/>
        <w:widowControl/>
        <w:kinsoku w:val="0"/>
        <w:wordWrap/>
        <w:overflowPunct/>
        <w:topLinePunct w:val="0"/>
        <w:autoSpaceDE w:val="0"/>
        <w:autoSpaceDN w:val="0"/>
        <w:bidi w:val="0"/>
        <w:adjustRightInd w:val="0"/>
        <w:snapToGrid w:val="0"/>
        <w:spacing w:before="78" w:after="0" w:afterLines="50" w:line="212" w:lineRule="auto"/>
        <w:ind w:left="3572"/>
        <w:textAlignment w:val="baseline"/>
        <w:rPr>
          <w:rFonts w:ascii="宋体" w:hAnsi="宋体" w:eastAsia="宋体" w:cs="宋体"/>
          <w:sz w:val="24"/>
          <w:szCs w:val="24"/>
        </w:rPr>
      </w:pPr>
      <w:r>
        <w:rPr>
          <w:rFonts w:ascii="宋体" w:hAnsi="宋体" w:eastAsia="宋体" w:cs="宋体"/>
          <w:b/>
          <w:bCs/>
          <w:spacing w:val="-4"/>
          <w:sz w:val="24"/>
          <w:szCs w:val="24"/>
        </w:rPr>
        <w:t>业绩一览表</w:t>
      </w:r>
    </w:p>
    <w:tbl>
      <w:tblPr>
        <w:tblStyle w:val="10"/>
        <w:tblW w:w="9191"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7"/>
        <w:gridCol w:w="1854"/>
        <w:gridCol w:w="1986"/>
        <w:gridCol w:w="1722"/>
        <w:gridCol w:w="1191"/>
        <w:gridCol w:w="147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967" w:type="dxa"/>
            <w:tcBorders>
              <w:top w:val="single" w:color="000000" w:sz="2" w:space="0"/>
              <w:left w:val="single" w:color="000000" w:sz="2" w:space="0"/>
            </w:tcBorders>
            <w:shd w:val="clear" w:color="auto" w:fill="E0E0E0"/>
          </w:tcPr>
          <w:p w14:paraId="5DB97775">
            <w:pPr>
              <w:spacing w:before="86" w:line="229" w:lineRule="auto"/>
              <w:ind w:left="136"/>
              <w:rPr>
                <w:rFonts w:ascii="宋体" w:hAnsi="宋体" w:eastAsia="宋体" w:cs="宋体"/>
                <w:sz w:val="20"/>
                <w:szCs w:val="20"/>
              </w:rPr>
            </w:pPr>
            <w:r>
              <w:rPr>
                <w:rFonts w:ascii="宋体" w:hAnsi="宋体" w:eastAsia="宋体" w:cs="宋体"/>
                <w:b/>
                <w:bCs/>
                <w:spacing w:val="4"/>
                <w:sz w:val="20"/>
                <w:szCs w:val="20"/>
              </w:rPr>
              <w:t>序号</w:t>
            </w:r>
          </w:p>
        </w:tc>
        <w:tc>
          <w:tcPr>
            <w:tcW w:w="1854" w:type="dxa"/>
            <w:tcBorders>
              <w:top w:val="single" w:color="000000" w:sz="2" w:space="0"/>
            </w:tcBorders>
            <w:shd w:val="clear" w:color="auto" w:fill="E0E0E0"/>
          </w:tcPr>
          <w:p w14:paraId="36A33F95">
            <w:pPr>
              <w:spacing w:before="87" w:line="228" w:lineRule="auto"/>
              <w:ind w:left="511"/>
              <w:rPr>
                <w:rFonts w:ascii="宋体" w:hAnsi="宋体" w:eastAsia="宋体" w:cs="宋体"/>
                <w:sz w:val="20"/>
                <w:szCs w:val="20"/>
              </w:rPr>
            </w:pPr>
            <w:r>
              <w:rPr>
                <w:rFonts w:ascii="宋体" w:hAnsi="宋体" w:eastAsia="宋体" w:cs="宋体"/>
                <w:b/>
                <w:bCs/>
                <w:spacing w:val="5"/>
                <w:sz w:val="20"/>
                <w:szCs w:val="20"/>
              </w:rPr>
              <w:t>项目名称</w:t>
            </w:r>
          </w:p>
        </w:tc>
        <w:tc>
          <w:tcPr>
            <w:tcW w:w="1986" w:type="dxa"/>
            <w:tcBorders>
              <w:top w:val="single" w:color="000000" w:sz="2" w:space="0"/>
            </w:tcBorders>
            <w:shd w:val="clear" w:color="auto" w:fill="E0E0E0"/>
          </w:tcPr>
          <w:p w14:paraId="0DF3CBF5">
            <w:pPr>
              <w:spacing w:before="87" w:line="228" w:lineRule="auto"/>
              <w:ind w:left="577"/>
              <w:rPr>
                <w:rFonts w:ascii="宋体" w:hAnsi="宋体" w:eastAsia="宋体" w:cs="宋体"/>
                <w:sz w:val="20"/>
                <w:szCs w:val="20"/>
              </w:rPr>
            </w:pPr>
            <w:r>
              <w:rPr>
                <w:rFonts w:ascii="宋体" w:hAnsi="宋体" w:eastAsia="宋体" w:cs="宋体"/>
                <w:b/>
                <w:bCs/>
                <w:spacing w:val="5"/>
                <w:sz w:val="20"/>
                <w:szCs w:val="20"/>
              </w:rPr>
              <w:t>项目地址</w:t>
            </w:r>
          </w:p>
        </w:tc>
        <w:tc>
          <w:tcPr>
            <w:tcW w:w="1722" w:type="dxa"/>
            <w:tcBorders>
              <w:top w:val="single" w:color="000000" w:sz="2" w:space="0"/>
            </w:tcBorders>
            <w:shd w:val="clear" w:color="auto" w:fill="E0E0E0"/>
          </w:tcPr>
          <w:p w14:paraId="15EC4D6E">
            <w:pPr>
              <w:spacing w:before="86" w:line="228" w:lineRule="auto"/>
              <w:ind w:left="443"/>
              <w:rPr>
                <w:rFonts w:ascii="宋体" w:hAnsi="宋体" w:eastAsia="宋体" w:cs="宋体"/>
                <w:sz w:val="20"/>
                <w:szCs w:val="20"/>
              </w:rPr>
            </w:pPr>
            <w:r>
              <w:rPr>
                <w:rFonts w:ascii="宋体" w:hAnsi="宋体" w:eastAsia="宋体" w:cs="宋体"/>
                <w:b/>
                <w:bCs/>
                <w:spacing w:val="6"/>
                <w:sz w:val="20"/>
                <w:szCs w:val="20"/>
              </w:rPr>
              <w:t>合同内容</w:t>
            </w:r>
          </w:p>
        </w:tc>
        <w:tc>
          <w:tcPr>
            <w:tcW w:w="1191" w:type="dxa"/>
            <w:tcBorders>
              <w:top w:val="single" w:color="000000" w:sz="2" w:space="0"/>
            </w:tcBorders>
            <w:shd w:val="clear" w:color="auto" w:fill="E0E0E0"/>
          </w:tcPr>
          <w:p w14:paraId="302CE52B">
            <w:pPr>
              <w:spacing w:before="86" w:line="226" w:lineRule="auto"/>
              <w:ind w:left="178"/>
              <w:rPr>
                <w:rFonts w:ascii="宋体" w:hAnsi="宋体" w:eastAsia="宋体" w:cs="宋体"/>
                <w:sz w:val="20"/>
                <w:szCs w:val="20"/>
              </w:rPr>
            </w:pPr>
            <w:r>
              <w:rPr>
                <w:rFonts w:ascii="宋体" w:hAnsi="宋体" w:eastAsia="宋体" w:cs="宋体"/>
                <w:b/>
                <w:bCs/>
                <w:spacing w:val="6"/>
                <w:sz w:val="20"/>
                <w:szCs w:val="20"/>
              </w:rPr>
              <w:t>合同总价</w:t>
            </w:r>
          </w:p>
        </w:tc>
        <w:tc>
          <w:tcPr>
            <w:tcW w:w="1471" w:type="dxa"/>
            <w:tcBorders>
              <w:top w:val="single" w:color="000000" w:sz="2" w:space="0"/>
              <w:right w:val="single" w:color="000000" w:sz="2" w:space="0"/>
            </w:tcBorders>
            <w:shd w:val="clear" w:color="auto" w:fill="E0E0E0"/>
          </w:tcPr>
          <w:p w14:paraId="0D1B9475">
            <w:pPr>
              <w:spacing w:before="87" w:line="228" w:lineRule="auto"/>
              <w:ind w:left="311"/>
              <w:rPr>
                <w:rFonts w:ascii="宋体" w:hAnsi="宋体" w:eastAsia="宋体" w:cs="宋体"/>
                <w:sz w:val="20"/>
                <w:szCs w:val="20"/>
              </w:rPr>
            </w:pPr>
            <w:r>
              <w:rPr>
                <w:rFonts w:ascii="宋体" w:hAnsi="宋体" w:eastAsia="宋体" w:cs="宋体"/>
                <w:b/>
                <w:bCs/>
                <w:spacing w:val="6"/>
                <w:sz w:val="20"/>
                <w:szCs w:val="20"/>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967" w:type="dxa"/>
            <w:tcBorders>
              <w:left w:val="single" w:color="000000" w:sz="2" w:space="0"/>
            </w:tcBorders>
          </w:tcPr>
          <w:p w14:paraId="0C86F914">
            <w:pPr>
              <w:pStyle w:val="11"/>
            </w:pPr>
          </w:p>
        </w:tc>
        <w:tc>
          <w:tcPr>
            <w:tcW w:w="1854" w:type="dxa"/>
          </w:tcPr>
          <w:p w14:paraId="43601105">
            <w:pPr>
              <w:pStyle w:val="11"/>
            </w:pPr>
          </w:p>
        </w:tc>
        <w:tc>
          <w:tcPr>
            <w:tcW w:w="1986" w:type="dxa"/>
          </w:tcPr>
          <w:p w14:paraId="6311272B">
            <w:pPr>
              <w:pStyle w:val="11"/>
            </w:pPr>
          </w:p>
        </w:tc>
        <w:tc>
          <w:tcPr>
            <w:tcW w:w="1722" w:type="dxa"/>
          </w:tcPr>
          <w:p w14:paraId="3768DC7F">
            <w:pPr>
              <w:pStyle w:val="11"/>
            </w:pPr>
          </w:p>
        </w:tc>
        <w:tc>
          <w:tcPr>
            <w:tcW w:w="1191" w:type="dxa"/>
          </w:tcPr>
          <w:p w14:paraId="2305DC57">
            <w:pPr>
              <w:pStyle w:val="11"/>
            </w:pPr>
          </w:p>
        </w:tc>
        <w:tc>
          <w:tcPr>
            <w:tcW w:w="1471" w:type="dxa"/>
            <w:tcBorders>
              <w:right w:val="single" w:color="000000" w:sz="2" w:space="0"/>
            </w:tcBorders>
          </w:tcPr>
          <w:p w14:paraId="1DC4DC5D">
            <w:pPr>
              <w:pStyle w:val="11"/>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967" w:type="dxa"/>
            <w:tcBorders>
              <w:left w:val="single" w:color="000000" w:sz="2" w:space="0"/>
            </w:tcBorders>
          </w:tcPr>
          <w:p w14:paraId="0016E6C7">
            <w:pPr>
              <w:pStyle w:val="11"/>
            </w:pPr>
          </w:p>
        </w:tc>
        <w:tc>
          <w:tcPr>
            <w:tcW w:w="1854" w:type="dxa"/>
          </w:tcPr>
          <w:p w14:paraId="26C3F9DC">
            <w:pPr>
              <w:pStyle w:val="11"/>
            </w:pPr>
          </w:p>
        </w:tc>
        <w:tc>
          <w:tcPr>
            <w:tcW w:w="1986" w:type="dxa"/>
          </w:tcPr>
          <w:p w14:paraId="0C8FC5A6">
            <w:pPr>
              <w:pStyle w:val="11"/>
            </w:pPr>
          </w:p>
        </w:tc>
        <w:tc>
          <w:tcPr>
            <w:tcW w:w="1722" w:type="dxa"/>
          </w:tcPr>
          <w:p w14:paraId="036176B2">
            <w:pPr>
              <w:pStyle w:val="11"/>
            </w:pPr>
          </w:p>
        </w:tc>
        <w:tc>
          <w:tcPr>
            <w:tcW w:w="1191" w:type="dxa"/>
          </w:tcPr>
          <w:p w14:paraId="69BDA775">
            <w:pPr>
              <w:pStyle w:val="11"/>
            </w:pPr>
          </w:p>
        </w:tc>
        <w:tc>
          <w:tcPr>
            <w:tcW w:w="1471" w:type="dxa"/>
            <w:tcBorders>
              <w:right w:val="single" w:color="000000" w:sz="2" w:space="0"/>
            </w:tcBorders>
          </w:tcPr>
          <w:p w14:paraId="74EE419A">
            <w:pPr>
              <w:pStyle w:val="11"/>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967" w:type="dxa"/>
            <w:tcBorders>
              <w:left w:val="single" w:color="000000" w:sz="2" w:space="0"/>
              <w:bottom w:val="single" w:color="000000" w:sz="2" w:space="0"/>
            </w:tcBorders>
          </w:tcPr>
          <w:p w14:paraId="6AD9ADC2">
            <w:pPr>
              <w:pStyle w:val="11"/>
            </w:pPr>
          </w:p>
        </w:tc>
        <w:tc>
          <w:tcPr>
            <w:tcW w:w="1854" w:type="dxa"/>
            <w:tcBorders>
              <w:bottom w:val="single" w:color="000000" w:sz="2" w:space="0"/>
            </w:tcBorders>
          </w:tcPr>
          <w:p w14:paraId="40B04108">
            <w:pPr>
              <w:pStyle w:val="11"/>
            </w:pPr>
          </w:p>
        </w:tc>
        <w:tc>
          <w:tcPr>
            <w:tcW w:w="1986" w:type="dxa"/>
            <w:tcBorders>
              <w:bottom w:val="single" w:color="000000" w:sz="2" w:space="0"/>
            </w:tcBorders>
          </w:tcPr>
          <w:p w14:paraId="4C40CFD8">
            <w:pPr>
              <w:pStyle w:val="11"/>
            </w:pPr>
          </w:p>
        </w:tc>
        <w:tc>
          <w:tcPr>
            <w:tcW w:w="1722" w:type="dxa"/>
            <w:tcBorders>
              <w:bottom w:val="single" w:color="000000" w:sz="2" w:space="0"/>
            </w:tcBorders>
          </w:tcPr>
          <w:p w14:paraId="4F595AE5">
            <w:pPr>
              <w:pStyle w:val="11"/>
            </w:pPr>
          </w:p>
        </w:tc>
        <w:tc>
          <w:tcPr>
            <w:tcW w:w="1191" w:type="dxa"/>
            <w:tcBorders>
              <w:bottom w:val="single" w:color="000000" w:sz="2" w:space="0"/>
            </w:tcBorders>
          </w:tcPr>
          <w:p w14:paraId="7692FA63">
            <w:pPr>
              <w:pStyle w:val="11"/>
            </w:pPr>
          </w:p>
        </w:tc>
        <w:tc>
          <w:tcPr>
            <w:tcW w:w="1471" w:type="dxa"/>
            <w:tcBorders>
              <w:bottom w:val="single" w:color="000000" w:sz="2" w:space="0"/>
              <w:right w:val="single" w:color="000000" w:sz="2" w:space="0"/>
            </w:tcBorders>
          </w:tcPr>
          <w:p w14:paraId="48AC055B">
            <w:pPr>
              <w:pStyle w:val="11"/>
            </w:pPr>
          </w:p>
        </w:tc>
      </w:tr>
    </w:tbl>
    <w:p w14:paraId="11E10EDA">
      <w:pPr>
        <w:keepNext w:val="0"/>
        <w:keepLines w:val="0"/>
        <w:pageBreakBefore w:val="0"/>
        <w:widowControl/>
        <w:kinsoku w:val="0"/>
        <w:wordWrap/>
        <w:overflowPunct/>
        <w:topLinePunct w:val="0"/>
        <w:autoSpaceDE w:val="0"/>
        <w:autoSpaceDN w:val="0"/>
        <w:bidi w:val="0"/>
        <w:adjustRightInd w:val="0"/>
        <w:snapToGrid w:val="0"/>
        <w:spacing w:before="0" w:beforeLines="50" w:line="228" w:lineRule="auto"/>
        <w:ind w:left="23"/>
        <w:textAlignment w:val="baseline"/>
        <w:outlineLvl w:val="1"/>
        <w:rPr>
          <w:rFonts w:ascii="宋体" w:hAnsi="宋体" w:eastAsia="宋体" w:cs="宋体"/>
          <w:sz w:val="20"/>
          <w:szCs w:val="20"/>
          <w:lang w:eastAsia="zh-CN"/>
        </w:rPr>
      </w:pPr>
      <w:r>
        <w:rPr>
          <w:rFonts w:ascii="宋体" w:hAnsi="宋体" w:eastAsia="宋体" w:cs="宋体"/>
          <w:b/>
          <w:bCs/>
          <w:spacing w:val="8"/>
          <w:sz w:val="20"/>
          <w:szCs w:val="20"/>
          <w:lang w:eastAsia="zh-CN"/>
        </w:rPr>
        <w:t>注：</w:t>
      </w:r>
      <w:r>
        <w:rPr>
          <w:rFonts w:hint="eastAsia" w:ascii="宋体" w:hAnsi="宋体" w:eastAsia="宋体" w:cs="宋体"/>
          <w:b/>
          <w:bCs/>
          <w:spacing w:val="8"/>
          <w:sz w:val="20"/>
          <w:szCs w:val="20"/>
          <w:lang w:val="en-US" w:eastAsia="zh-CN"/>
        </w:rPr>
        <w:t>供应商</w:t>
      </w:r>
      <w:r>
        <w:rPr>
          <w:rFonts w:ascii="宋体" w:hAnsi="宋体" w:eastAsia="宋体" w:cs="宋体"/>
          <w:b/>
          <w:bCs/>
          <w:spacing w:val="8"/>
          <w:sz w:val="20"/>
          <w:szCs w:val="20"/>
          <w:lang w:eastAsia="zh-CN"/>
        </w:rPr>
        <w:t>必须如实填写此表格。</w:t>
      </w:r>
      <w:r>
        <w:rPr>
          <w:rFonts w:ascii="宋体" w:hAnsi="宋体" w:eastAsia="宋体" w:cs="宋体"/>
          <w:spacing w:val="8"/>
          <w:sz w:val="20"/>
          <w:szCs w:val="20"/>
          <w:lang w:eastAsia="zh-CN"/>
        </w:rPr>
        <w:t>（此表可延长）</w:t>
      </w:r>
    </w:p>
    <w:p w14:paraId="724C4D81">
      <w:pPr>
        <w:pStyle w:val="3"/>
        <w:spacing w:line="270" w:lineRule="auto"/>
        <w:rPr>
          <w:lang w:eastAsia="zh-CN"/>
        </w:rPr>
      </w:pPr>
    </w:p>
    <w:p w14:paraId="0D453BE2">
      <w:pPr>
        <w:pStyle w:val="3"/>
        <w:spacing w:line="270" w:lineRule="auto"/>
        <w:rPr>
          <w:lang w:eastAsia="zh-CN"/>
        </w:rPr>
      </w:pPr>
    </w:p>
    <w:p w14:paraId="7263ABBE">
      <w:pPr>
        <w:pStyle w:val="3"/>
        <w:spacing w:line="270" w:lineRule="auto"/>
        <w:rPr>
          <w:lang w:eastAsia="zh-CN"/>
        </w:rPr>
      </w:pPr>
    </w:p>
    <w:p w14:paraId="1E0368E6">
      <w:pPr>
        <w:pStyle w:val="3"/>
        <w:spacing w:line="270" w:lineRule="auto"/>
        <w:rPr>
          <w:lang w:eastAsia="zh-CN"/>
        </w:rPr>
      </w:pPr>
    </w:p>
    <w:p w14:paraId="4F1157A5">
      <w:pPr>
        <w:pStyle w:val="3"/>
        <w:spacing w:line="270" w:lineRule="auto"/>
        <w:rPr>
          <w:lang w:eastAsia="zh-CN"/>
        </w:rPr>
      </w:pPr>
    </w:p>
    <w:p w14:paraId="66CFC844">
      <w:pPr>
        <w:pStyle w:val="3"/>
        <w:spacing w:line="270" w:lineRule="auto"/>
        <w:rPr>
          <w:lang w:eastAsia="zh-CN"/>
        </w:rPr>
      </w:pPr>
    </w:p>
    <w:p w14:paraId="480F5979">
      <w:pPr>
        <w:pStyle w:val="3"/>
        <w:spacing w:line="270" w:lineRule="auto"/>
        <w:rPr>
          <w:lang w:eastAsia="zh-CN"/>
        </w:rPr>
      </w:pPr>
    </w:p>
    <w:p w14:paraId="799DCC83">
      <w:pPr>
        <w:spacing w:before="65" w:line="227" w:lineRule="auto"/>
        <w:ind w:left="22"/>
        <w:rPr>
          <w:rFonts w:ascii="宋体" w:hAnsi="宋体" w:eastAsia="宋体" w:cs="宋体"/>
          <w:spacing w:val="9"/>
          <w:sz w:val="20"/>
          <w:szCs w:val="20"/>
          <w:lang w:eastAsia="zh-CN"/>
        </w:rPr>
      </w:pPr>
    </w:p>
    <w:p w14:paraId="35A09637">
      <w:pPr>
        <w:spacing w:before="65" w:line="227" w:lineRule="auto"/>
        <w:ind w:left="22"/>
        <w:rPr>
          <w:rFonts w:ascii="宋体" w:hAnsi="宋体" w:eastAsia="宋体" w:cs="宋体"/>
          <w:spacing w:val="9"/>
          <w:sz w:val="20"/>
          <w:szCs w:val="20"/>
          <w:lang w:eastAsia="zh-CN"/>
        </w:rPr>
      </w:pPr>
    </w:p>
    <w:p w14:paraId="3FCD7951">
      <w:pPr>
        <w:spacing w:before="65" w:line="227" w:lineRule="auto"/>
        <w:ind w:left="22"/>
        <w:rPr>
          <w:rFonts w:ascii="宋体" w:hAnsi="宋体" w:eastAsia="宋体" w:cs="宋体"/>
          <w:spacing w:val="9"/>
          <w:sz w:val="20"/>
          <w:szCs w:val="20"/>
          <w:lang w:eastAsia="zh-CN"/>
        </w:rPr>
      </w:pPr>
    </w:p>
    <w:p w14:paraId="05D76151">
      <w:pPr>
        <w:spacing w:before="162" w:line="227" w:lineRule="auto"/>
        <w:ind w:left="22"/>
        <w:rPr>
          <w:rFonts w:ascii="宋体" w:hAnsi="宋体" w:eastAsia="宋体" w:cs="宋体"/>
          <w:sz w:val="20"/>
          <w:szCs w:val="20"/>
          <w:lang w:eastAsia="zh-CN"/>
        </w:rPr>
      </w:pPr>
      <w:r>
        <w:rPr>
          <w:rFonts w:hint="eastAsia" w:ascii="宋体" w:hAnsi="宋体" w:eastAsia="宋体" w:cs="宋体"/>
          <w:spacing w:val="8"/>
          <w:sz w:val="20"/>
          <w:szCs w:val="20"/>
          <w:lang w:val="en-US" w:eastAsia="zh-CN"/>
        </w:rPr>
        <w:t>供应商</w:t>
      </w:r>
      <w:r>
        <w:rPr>
          <w:rFonts w:ascii="宋体" w:hAnsi="宋体" w:eastAsia="宋体" w:cs="宋体"/>
          <w:spacing w:val="8"/>
          <w:sz w:val="20"/>
          <w:szCs w:val="20"/>
          <w:lang w:eastAsia="zh-CN"/>
        </w:rPr>
        <w:t>名称（盖章</w:t>
      </w:r>
      <w:r>
        <w:rPr>
          <w:rFonts w:ascii="宋体" w:hAnsi="宋体" w:eastAsia="宋体" w:cs="宋体"/>
          <w:spacing w:val="13"/>
          <w:sz w:val="20"/>
          <w:szCs w:val="20"/>
          <w:lang w:eastAsia="zh-CN"/>
        </w:rPr>
        <w:t>）：</w:t>
      </w:r>
      <w:r>
        <w:rPr>
          <w:rFonts w:ascii="宋体" w:hAnsi="宋体" w:eastAsia="宋体" w:cs="宋体"/>
          <w:sz w:val="20"/>
          <w:szCs w:val="20"/>
          <w:u w:val="single"/>
          <w:lang w:eastAsia="zh-CN"/>
        </w:rPr>
        <w:t xml:space="preserve">                          </w:t>
      </w:r>
    </w:p>
    <w:p w14:paraId="5B5A1280">
      <w:pPr>
        <w:spacing w:before="65" w:line="227" w:lineRule="auto"/>
        <w:ind w:left="22"/>
        <w:rPr>
          <w:rFonts w:ascii="宋体" w:hAnsi="宋体" w:eastAsia="宋体" w:cs="宋体"/>
          <w:spacing w:val="9"/>
          <w:sz w:val="20"/>
          <w:szCs w:val="20"/>
          <w:lang w:eastAsia="zh-CN"/>
        </w:rPr>
      </w:pPr>
    </w:p>
    <w:p w14:paraId="73AB7F11">
      <w:pPr>
        <w:spacing w:before="65" w:line="227" w:lineRule="auto"/>
        <w:ind w:left="22"/>
        <w:rPr>
          <w:rFonts w:ascii="宋体" w:hAnsi="宋体" w:eastAsia="宋体" w:cs="宋体"/>
          <w:sz w:val="20"/>
          <w:szCs w:val="20"/>
          <w:lang w:eastAsia="zh-CN"/>
        </w:rPr>
      </w:pPr>
      <w:r>
        <w:rPr>
          <w:rFonts w:hint="eastAsia" w:ascii="宋体" w:hAnsi="宋体" w:eastAsia="宋体" w:cs="宋体"/>
          <w:spacing w:val="9"/>
          <w:sz w:val="20"/>
          <w:szCs w:val="20"/>
          <w:lang w:val="en-US" w:eastAsia="zh-CN"/>
        </w:rPr>
        <w:t>供应商</w:t>
      </w:r>
      <w:r>
        <w:rPr>
          <w:rFonts w:ascii="宋体" w:hAnsi="宋体" w:eastAsia="宋体" w:cs="宋体"/>
          <w:spacing w:val="9"/>
          <w:sz w:val="20"/>
          <w:szCs w:val="20"/>
          <w:lang w:eastAsia="zh-CN"/>
        </w:rPr>
        <w:t>法定代表人（或法定代表人授权代表）签字：</w:t>
      </w:r>
      <w:r>
        <w:rPr>
          <w:rFonts w:ascii="宋体" w:hAnsi="宋体" w:eastAsia="宋体" w:cs="宋体"/>
          <w:sz w:val="20"/>
          <w:szCs w:val="20"/>
          <w:u w:val="single"/>
          <w:lang w:eastAsia="zh-CN"/>
        </w:rPr>
        <w:t xml:space="preserve">                    </w:t>
      </w:r>
    </w:p>
    <w:p w14:paraId="505ED41D">
      <w:pPr>
        <w:spacing w:before="260" w:line="228" w:lineRule="auto"/>
        <w:ind w:left="58"/>
        <w:rPr>
          <w:rFonts w:ascii="宋体" w:hAnsi="宋体" w:eastAsia="宋体" w:cs="宋体"/>
          <w:sz w:val="20"/>
          <w:szCs w:val="20"/>
          <w:lang w:eastAsia="zh-CN"/>
        </w:rPr>
      </w:pPr>
      <w:r>
        <w:rPr>
          <w:rFonts w:ascii="宋体" w:hAnsi="宋体" w:eastAsia="宋体" w:cs="宋体"/>
          <w:spacing w:val="-6"/>
          <w:sz w:val="20"/>
          <w:szCs w:val="20"/>
          <w:lang w:eastAsia="zh-CN"/>
        </w:rPr>
        <w:t>日期：</w:t>
      </w:r>
      <w:r>
        <w:rPr>
          <w:rFonts w:ascii="宋体" w:hAnsi="宋体" w:eastAsia="宋体" w:cs="宋体"/>
          <w:spacing w:val="13"/>
          <w:sz w:val="20"/>
          <w:szCs w:val="20"/>
          <w:lang w:eastAsia="zh-CN"/>
        </w:rPr>
        <w:t xml:space="preserve">   </w:t>
      </w:r>
      <w:r>
        <w:rPr>
          <w:rFonts w:ascii="宋体" w:hAnsi="宋体" w:eastAsia="宋体" w:cs="宋体"/>
          <w:spacing w:val="-6"/>
          <w:sz w:val="20"/>
          <w:szCs w:val="20"/>
          <w:lang w:eastAsia="zh-CN"/>
        </w:rPr>
        <w:t>年</w:t>
      </w:r>
      <w:r>
        <w:rPr>
          <w:rFonts w:ascii="宋体" w:hAnsi="宋体" w:eastAsia="宋体" w:cs="宋体"/>
          <w:spacing w:val="9"/>
          <w:sz w:val="20"/>
          <w:szCs w:val="20"/>
          <w:lang w:eastAsia="zh-CN"/>
        </w:rPr>
        <w:t xml:space="preserve">   </w:t>
      </w:r>
      <w:r>
        <w:rPr>
          <w:rFonts w:ascii="宋体" w:hAnsi="宋体" w:eastAsia="宋体" w:cs="宋体"/>
          <w:spacing w:val="-6"/>
          <w:sz w:val="20"/>
          <w:szCs w:val="20"/>
          <w:lang w:eastAsia="zh-CN"/>
        </w:rPr>
        <w:t>月</w:t>
      </w:r>
      <w:r>
        <w:rPr>
          <w:rFonts w:ascii="宋体" w:hAnsi="宋体" w:eastAsia="宋体" w:cs="宋体"/>
          <w:spacing w:val="21"/>
          <w:sz w:val="20"/>
          <w:szCs w:val="20"/>
          <w:lang w:eastAsia="zh-CN"/>
        </w:rPr>
        <w:t xml:space="preserve">   </w:t>
      </w:r>
      <w:r>
        <w:rPr>
          <w:rFonts w:ascii="宋体" w:hAnsi="宋体" w:eastAsia="宋体" w:cs="宋体"/>
          <w:spacing w:val="-6"/>
          <w:sz w:val="20"/>
          <w:szCs w:val="20"/>
          <w:lang w:eastAsia="zh-CN"/>
        </w:rPr>
        <w:t>日</w:t>
      </w:r>
    </w:p>
    <w:p w14:paraId="7B370B04">
      <w:pPr>
        <w:spacing w:line="378" w:lineRule="auto"/>
        <w:rPr>
          <w:rFonts w:ascii="宋体" w:hAnsi="宋体" w:eastAsia="宋体" w:cs="宋体"/>
          <w:sz w:val="20"/>
          <w:szCs w:val="20"/>
          <w:lang w:eastAsia="zh-CN"/>
        </w:rPr>
        <w:sectPr>
          <w:pgSz w:w="11900" w:h="16840"/>
          <w:pgMar w:top="907" w:right="1474" w:bottom="907" w:left="1474" w:header="0" w:footer="0" w:gutter="0"/>
          <w:cols w:space="720" w:num="1"/>
        </w:sectPr>
      </w:pPr>
    </w:p>
    <w:p w14:paraId="37C98485">
      <w:pPr>
        <w:rPr>
          <w:rFonts w:hint="default" w:ascii="宋体" w:hAnsi="宋体" w:eastAsia="宋体" w:cs="宋体"/>
          <w:sz w:val="20"/>
          <w:szCs w:val="20"/>
          <w:lang w:val="en-US" w:eastAsia="zh-CN"/>
        </w:rPr>
      </w:pPr>
      <w:r>
        <w:rPr>
          <w:rFonts w:hint="eastAsia" w:ascii="宋体" w:hAnsi="宋体" w:eastAsia="宋体" w:cs="宋体"/>
          <w:b/>
          <w:bCs/>
          <w:spacing w:val="7"/>
          <w:sz w:val="20"/>
          <w:szCs w:val="20"/>
          <w:lang w:eastAsia="zh-CN"/>
        </w:rPr>
        <w:t>六</w:t>
      </w:r>
      <w:r>
        <w:rPr>
          <w:rFonts w:ascii="宋体" w:hAnsi="宋体" w:eastAsia="宋体" w:cs="宋体"/>
          <w:b/>
          <w:bCs/>
          <w:spacing w:val="7"/>
          <w:sz w:val="20"/>
          <w:szCs w:val="20"/>
          <w:lang w:eastAsia="zh-CN"/>
        </w:rPr>
        <w:t>、项目整体实施方案（格式自拟）</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包括但不限于：项目实施方案、应急方案、售后服务方案等。</w:t>
      </w:r>
    </w:p>
    <w:p w14:paraId="1B55C4C2">
      <w:pPr>
        <w:rPr>
          <w:rFonts w:ascii="宋体" w:hAnsi="宋体" w:eastAsia="宋体" w:cs="宋体"/>
          <w:sz w:val="20"/>
          <w:szCs w:val="20"/>
          <w:lang w:eastAsia="zh-CN"/>
        </w:rPr>
      </w:pPr>
      <w:r>
        <w:rPr>
          <w:rFonts w:hint="eastAsia" w:ascii="宋体" w:hAnsi="宋体" w:eastAsia="宋体" w:cs="宋体"/>
          <w:b/>
          <w:bCs/>
          <w:spacing w:val="7"/>
          <w:sz w:val="20"/>
          <w:szCs w:val="20"/>
          <w:lang w:eastAsia="zh-CN"/>
        </w:rPr>
        <w:br w:type="page"/>
      </w:r>
      <w:r>
        <w:rPr>
          <w:rFonts w:hint="eastAsia" w:ascii="宋体" w:hAnsi="宋体" w:eastAsia="宋体" w:cs="宋体"/>
          <w:b/>
          <w:bCs/>
          <w:spacing w:val="7"/>
          <w:sz w:val="20"/>
          <w:szCs w:val="20"/>
          <w:lang w:val="en-US" w:eastAsia="zh-CN"/>
        </w:rPr>
        <w:t>七</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包括但不限于：中小企业声明函等相关证明文件</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格式自拟，</w:t>
      </w:r>
      <w:r>
        <w:rPr>
          <w:rFonts w:ascii="宋体" w:hAnsi="宋体" w:eastAsia="宋体" w:cs="宋体"/>
          <w:b/>
          <w:bCs/>
          <w:spacing w:val="7"/>
          <w:sz w:val="20"/>
          <w:szCs w:val="20"/>
          <w:lang w:eastAsia="zh-CN"/>
        </w:rPr>
        <w:t>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3945D38"/>
    <w:rsid w:val="04CE0985"/>
    <w:rsid w:val="05D250F6"/>
    <w:rsid w:val="06794550"/>
    <w:rsid w:val="06BE352D"/>
    <w:rsid w:val="07D772C8"/>
    <w:rsid w:val="07DE22A7"/>
    <w:rsid w:val="08805332"/>
    <w:rsid w:val="0A1B60BD"/>
    <w:rsid w:val="0A382368"/>
    <w:rsid w:val="0D5D5C42"/>
    <w:rsid w:val="0E881903"/>
    <w:rsid w:val="0E9C78E3"/>
    <w:rsid w:val="0F846B80"/>
    <w:rsid w:val="10D939A5"/>
    <w:rsid w:val="126C008B"/>
    <w:rsid w:val="1291195C"/>
    <w:rsid w:val="13666B31"/>
    <w:rsid w:val="15DE349E"/>
    <w:rsid w:val="16CC646C"/>
    <w:rsid w:val="16DD5993"/>
    <w:rsid w:val="18C80C4B"/>
    <w:rsid w:val="1A923556"/>
    <w:rsid w:val="1C616530"/>
    <w:rsid w:val="1E9D0594"/>
    <w:rsid w:val="1EA21FDF"/>
    <w:rsid w:val="1EDF5020"/>
    <w:rsid w:val="1F51709C"/>
    <w:rsid w:val="1FCB0CC2"/>
    <w:rsid w:val="20607AD1"/>
    <w:rsid w:val="20BE2A44"/>
    <w:rsid w:val="22732647"/>
    <w:rsid w:val="23197101"/>
    <w:rsid w:val="231E7145"/>
    <w:rsid w:val="23487B36"/>
    <w:rsid w:val="267A1EFC"/>
    <w:rsid w:val="2695736E"/>
    <w:rsid w:val="26B446CD"/>
    <w:rsid w:val="27867BF7"/>
    <w:rsid w:val="281105FD"/>
    <w:rsid w:val="28580DF7"/>
    <w:rsid w:val="2AB638E3"/>
    <w:rsid w:val="2C356314"/>
    <w:rsid w:val="2F5129F3"/>
    <w:rsid w:val="2F7E615E"/>
    <w:rsid w:val="336C189B"/>
    <w:rsid w:val="36073C0B"/>
    <w:rsid w:val="3B082DE1"/>
    <w:rsid w:val="3EB26D88"/>
    <w:rsid w:val="3F7A12F5"/>
    <w:rsid w:val="40671DCB"/>
    <w:rsid w:val="40C03509"/>
    <w:rsid w:val="41C53BAE"/>
    <w:rsid w:val="433379C8"/>
    <w:rsid w:val="4427517F"/>
    <w:rsid w:val="49A32D66"/>
    <w:rsid w:val="4A4831FA"/>
    <w:rsid w:val="4C030C69"/>
    <w:rsid w:val="4FAF7B58"/>
    <w:rsid w:val="50573AD2"/>
    <w:rsid w:val="5178029F"/>
    <w:rsid w:val="54B97F1A"/>
    <w:rsid w:val="5500455B"/>
    <w:rsid w:val="556A1102"/>
    <w:rsid w:val="5774562F"/>
    <w:rsid w:val="58514D81"/>
    <w:rsid w:val="58EA5D45"/>
    <w:rsid w:val="590B523B"/>
    <w:rsid w:val="5A276988"/>
    <w:rsid w:val="5E5E5F4E"/>
    <w:rsid w:val="5F1A2F60"/>
    <w:rsid w:val="65355DD7"/>
    <w:rsid w:val="6AE7340E"/>
    <w:rsid w:val="6B147BF9"/>
    <w:rsid w:val="6C143FC0"/>
    <w:rsid w:val="73252077"/>
    <w:rsid w:val="7372318C"/>
    <w:rsid w:val="75E87F4B"/>
    <w:rsid w:val="790F76AC"/>
    <w:rsid w:val="796901D9"/>
    <w:rsid w:val="7CF17C98"/>
    <w:rsid w:val="7EBE700C"/>
    <w:rsid w:val="7EEC0B7A"/>
    <w:rsid w:val="7F480AFB"/>
    <w:rsid w:val="7FAA57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2"/>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paragraph" w:customStyle="1" w:styleId="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style>
  <w:style w:type="character" w:customStyle="1" w:styleId="12">
    <w:name w:val="正文文本缩进 2 Char"/>
    <w:link w:val="4"/>
    <w:autoRedefine/>
    <w:qFormat/>
    <w:uiPriority w:val="0"/>
    <w:rPr>
      <w:szCs w:val="20"/>
    </w:rPr>
  </w:style>
  <w:style w:type="character" w:customStyle="1" w:styleId="13">
    <w:name w:val="font11"/>
    <w:basedOn w:val="7"/>
    <w:autoRedefine/>
    <w:qFormat/>
    <w:uiPriority w:val="0"/>
    <w:rPr>
      <w:rFonts w:hint="eastAsia" w:ascii="宋体" w:hAnsi="宋体" w:eastAsia="宋体" w:cs="宋体"/>
      <w:color w:val="000000"/>
      <w:sz w:val="22"/>
      <w:szCs w:val="22"/>
      <w:u w:val="single"/>
    </w:rPr>
  </w:style>
  <w:style w:type="character" w:customStyle="1" w:styleId="14">
    <w:name w:val="font31"/>
    <w:basedOn w:val="7"/>
    <w:qFormat/>
    <w:uiPriority w:val="0"/>
    <w:rPr>
      <w:rFonts w:hint="eastAsia" w:ascii="宋体" w:hAnsi="宋体" w:eastAsia="宋体" w:cs="宋体"/>
      <w:color w:val="000000"/>
      <w:sz w:val="21"/>
      <w:szCs w:val="21"/>
      <w:u w:val="none"/>
    </w:rPr>
  </w:style>
  <w:style w:type="paragraph" w:styleId="15">
    <w:name w:val="List Paragraph"/>
    <w:basedOn w:val="1"/>
    <w:qFormat/>
    <w:uiPriority w:val="34"/>
    <w:pPr>
      <w:widowControl/>
      <w:ind w:firstLine="420" w:firstLineChars="200"/>
      <w:jc w:val="left"/>
    </w:pPr>
    <w:rPr>
      <w:kern w:val="0"/>
      <w:szCs w:val="20"/>
    </w:rPr>
  </w:style>
  <w:style w:type="paragraph" w:customStyle="1" w:styleId="16">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10.jpeg"/><Relationship Id="rId12" Type="http://schemas.openxmlformats.org/officeDocument/2006/relationships/image" Target="media/image9.jpeg"/><Relationship Id="rId11" Type="http://schemas.openxmlformats.org/officeDocument/2006/relationships/image" Target="media/image8.jpeg"/><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3500</Words>
  <Characters>3629</Characters>
  <Lines>55</Lines>
  <Paragraphs>15</Paragraphs>
  <TotalTime>0</TotalTime>
  <ScaleCrop>false</ScaleCrop>
  <LinksUpToDate>false</LinksUpToDate>
  <CharactersWithSpaces>4020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18924981193</cp:lastModifiedBy>
  <dcterms:modified xsi:type="dcterms:W3CDTF">2026-08-11T08:51:15Z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4D63848694C74F2A8E530C2C05EC0A86_13</vt:lpwstr>
  </property>
  <property fmtid="{D5CDD505-2E9C-101B-9397-08002B2CF9AE}" pid="4" name="KSOTemplateDocerSaveRecord">
    <vt:lpwstr>eyJoZGlkIjoiMDI1YTQ0MGQ2NDc4NmQ3MjU4NTFkMzZmNDA5NDM5ODgiLCJ1c2VySWQiOiI3MDcxOTEyNjEifQ==</vt:lpwstr>
  </property>
</Properties>
</file>