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中山市东升医院电脑及打印机等信息类维修配件与耗材定点采购项目</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145C478F">
      <w:pPr>
        <w:spacing w:before="76"/>
      </w:pPr>
    </w:p>
    <w:p w14:paraId="3CA08C93">
      <w:pPr>
        <w:pStyle w:val="9"/>
      </w:pPr>
    </w:p>
    <w:tbl>
      <w:tblPr>
        <w:tblStyle w:val="10"/>
        <w:tblW w:w="93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3531"/>
        <w:gridCol w:w="2805"/>
        <w:gridCol w:w="2989"/>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822" w:hRule="atLeast"/>
          <w:jc w:val="center"/>
        </w:trPr>
        <w:tc>
          <w:tcPr>
            <w:tcW w:w="3531"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2805" w:type="dxa"/>
            <w:vAlign w:val="center"/>
          </w:tcPr>
          <w:p w14:paraId="612F4846">
            <w:pPr>
              <w:spacing w:before="40" w:line="219" w:lineRule="auto"/>
              <w:jc w:val="center"/>
              <w:rPr>
                <w:rFonts w:hint="default" w:ascii="宋体" w:hAnsi="宋体" w:eastAsia="宋体" w:cs="宋体"/>
                <w:b/>
                <w:bCs/>
                <w:spacing w:val="-8"/>
                <w:sz w:val="24"/>
                <w:szCs w:val="24"/>
                <w:lang w:val="en-US" w:eastAsia="zh-CN"/>
              </w:rPr>
            </w:pPr>
            <w:r>
              <w:rPr>
                <w:rFonts w:hint="eastAsia" w:ascii="宋体" w:hAnsi="宋体" w:eastAsia="宋体" w:cs="宋体"/>
                <w:b/>
                <w:bCs/>
                <w:spacing w:val="-8"/>
                <w:sz w:val="24"/>
                <w:szCs w:val="24"/>
                <w:lang w:val="en-US" w:eastAsia="zh-CN"/>
              </w:rPr>
              <w:t>下浮率报价</w:t>
            </w:r>
          </w:p>
          <w:p w14:paraId="29BBBE45">
            <w:pPr>
              <w:spacing w:before="40" w:line="219" w:lineRule="auto"/>
              <w:jc w:val="center"/>
              <w:rPr>
                <w:rFonts w:hint="default" w:ascii="宋体" w:hAnsi="宋体" w:eastAsia="宋体" w:cs="宋体"/>
                <w:sz w:val="24"/>
                <w:szCs w:val="24"/>
                <w:lang w:val="en-US" w:eastAsia="zh-CN"/>
              </w:rPr>
            </w:pP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w:t>
            </w:r>
          </w:p>
        </w:tc>
        <w:tc>
          <w:tcPr>
            <w:tcW w:w="2989"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087" w:hRule="atLeast"/>
          <w:jc w:val="center"/>
        </w:trPr>
        <w:tc>
          <w:tcPr>
            <w:tcW w:w="3531"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b/>
                <w:bCs/>
                <w:spacing w:val="2"/>
                <w:sz w:val="24"/>
                <w:szCs w:val="24"/>
                <w:lang w:val="en-US" w:eastAsia="zh-CN"/>
              </w:rPr>
              <w:t>中山市东升医院电脑及打印机等信息类维修配件与耗材定点采购项目</w:t>
            </w:r>
          </w:p>
        </w:tc>
        <w:tc>
          <w:tcPr>
            <w:tcW w:w="2805"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p>
        </w:tc>
        <w:tc>
          <w:tcPr>
            <w:tcW w:w="2989" w:type="dxa"/>
            <w:vAlign w:val="center"/>
          </w:tcPr>
          <w:p w14:paraId="15B4A106">
            <w:pPr>
              <w:pStyle w:val="3"/>
              <w:jc w:val="center"/>
              <w:rPr>
                <w:rFonts w:hint="default"/>
                <w:b/>
                <w:bCs/>
                <w:lang w:val="en-US" w:eastAsia="zh-CN"/>
              </w:rPr>
            </w:pPr>
          </w:p>
        </w:tc>
      </w:tr>
    </w:tbl>
    <w:p w14:paraId="1CE97BEE">
      <w:pPr>
        <w:pStyle w:val="3"/>
        <w:spacing w:line="371" w:lineRule="auto"/>
      </w:pPr>
    </w:p>
    <w:p w14:paraId="1EFC8127">
      <w:pPr>
        <w:pStyle w:val="3"/>
        <w:keepNext w:val="0"/>
        <w:keepLines w:val="0"/>
        <w:pageBreakBefore w:val="0"/>
        <w:wordWrap/>
        <w:overflowPunct/>
        <w:topLinePunct w:val="0"/>
        <w:autoSpaceDE w:val="0"/>
        <w:autoSpaceDN w:val="0"/>
        <w:bidi w:val="0"/>
        <w:adjustRightInd w:val="0"/>
        <w:spacing w:before="0" w:beforeLines="30" w:line="240" w:lineRule="exact"/>
        <w:rPr>
          <w:rFonts w:ascii="宋体" w:hAnsi="宋体" w:eastAsia="宋体" w:cs="宋体"/>
          <w:b/>
          <w:bCs/>
          <w:spacing w:val="7"/>
          <w:sz w:val="18"/>
          <w:szCs w:val="18"/>
          <w:lang w:eastAsia="zh-CN"/>
        </w:rPr>
      </w:pPr>
      <w:r>
        <w:rPr>
          <w:rFonts w:ascii="宋体" w:hAnsi="宋体" w:eastAsia="宋体" w:cs="宋体"/>
          <w:b/>
          <w:bCs/>
          <w:spacing w:val="7"/>
          <w:sz w:val="18"/>
          <w:szCs w:val="18"/>
          <w:lang w:eastAsia="zh-CN"/>
        </w:rPr>
        <w:t>注意：</w:t>
      </w:r>
    </w:p>
    <w:p w14:paraId="732D2139">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30" w:line="240" w:lineRule="exact"/>
        <w:textAlignment w:val="baseline"/>
        <w:rPr>
          <w:rFonts w:ascii="宋体" w:hAnsi="宋体" w:eastAsia="宋体" w:cs="宋体"/>
          <w:b/>
          <w:bCs/>
          <w:spacing w:val="7"/>
          <w:sz w:val="18"/>
          <w:szCs w:val="18"/>
          <w:highlight w:val="none"/>
          <w:lang w:eastAsia="zh-CN"/>
        </w:rPr>
      </w:pPr>
      <w:r>
        <w:rPr>
          <w:rFonts w:hint="eastAsia" w:ascii="宋体" w:hAnsi="宋体" w:eastAsia="宋体" w:cs="宋体"/>
          <w:b/>
          <w:bCs/>
          <w:spacing w:val="7"/>
          <w:sz w:val="18"/>
          <w:szCs w:val="18"/>
          <w:highlight w:val="none"/>
          <w:lang w:val="en-US" w:eastAsia="zh-CN"/>
        </w:rPr>
        <w:t>响应供应商应针对项目预算中第（1）、（2）项内容，报出一个统一的下浮率。第（2）项所附附件一《信息类设备维修配件及耗材目录采购清单》所列各项单价的最高限价，应在此基础上统一下浮；下浮后的单价即为合同期内的最终价格，合同期内不随市场同类商品价格变动而调整。凡超出该单价范围的报价，均视为无效响应。</w:t>
      </w:r>
    </w:p>
    <w:p w14:paraId="005D54E2">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30" w:line="240" w:lineRule="exact"/>
        <w:textAlignment w:val="baseline"/>
        <w:rPr>
          <w:rFonts w:ascii="宋体" w:hAnsi="宋体" w:eastAsia="宋体" w:cs="宋体"/>
          <w:b/>
          <w:bCs/>
          <w:spacing w:val="7"/>
          <w:sz w:val="18"/>
          <w:szCs w:val="18"/>
          <w:highlight w:val="none"/>
          <w:lang w:eastAsia="zh-CN"/>
        </w:rPr>
      </w:pPr>
      <w:r>
        <w:rPr>
          <w:rFonts w:hint="eastAsia" w:ascii="宋体" w:hAnsi="宋体" w:eastAsia="宋体" w:cs="宋体"/>
          <w:b/>
          <w:bCs/>
          <w:spacing w:val="7"/>
          <w:sz w:val="18"/>
          <w:szCs w:val="18"/>
          <w:highlight w:val="none"/>
          <w:lang w:val="en-US" w:eastAsia="zh-CN"/>
        </w:rPr>
        <w:t>电脑、打印机等办公设备维修配件及耗材的供货价格，按以下公式计算：</w:t>
      </w:r>
    </w:p>
    <w:p w14:paraId="63A8406B">
      <w:pPr>
        <w:pStyle w:val="3"/>
        <w:keepNext w:val="0"/>
        <w:keepLines w:val="0"/>
        <w:pageBreakBefore w:val="0"/>
        <w:widowControl/>
        <w:numPr>
          <w:ilvl w:val="0"/>
          <w:numId w:val="0"/>
        </w:numPr>
        <w:kinsoku w:val="0"/>
        <w:wordWrap/>
        <w:overflowPunct/>
        <w:topLinePunct w:val="0"/>
        <w:autoSpaceDE w:val="0"/>
        <w:autoSpaceDN w:val="0"/>
        <w:bidi w:val="0"/>
        <w:adjustRightInd w:val="0"/>
        <w:snapToGrid w:val="0"/>
        <w:spacing w:before="0" w:beforeLines="30" w:line="240" w:lineRule="exact"/>
        <w:ind w:firstLine="195" w:firstLineChars="100"/>
        <w:textAlignment w:val="baseline"/>
        <w:rPr>
          <w:rFonts w:ascii="宋体" w:hAnsi="宋体" w:eastAsia="宋体" w:cs="宋体"/>
          <w:b/>
          <w:bCs/>
          <w:spacing w:val="7"/>
          <w:sz w:val="18"/>
          <w:szCs w:val="18"/>
          <w:highlight w:val="none"/>
          <w:lang w:eastAsia="zh-CN"/>
        </w:rPr>
      </w:pPr>
      <w:r>
        <w:rPr>
          <w:rFonts w:hint="eastAsia" w:ascii="宋体" w:hAnsi="宋体" w:eastAsia="宋体" w:cs="宋体"/>
          <w:b/>
          <w:bCs/>
          <w:spacing w:val="7"/>
          <w:sz w:val="18"/>
          <w:szCs w:val="18"/>
          <w:highlight w:val="none"/>
          <w:lang w:val="en-US" w:eastAsia="zh-CN"/>
        </w:rPr>
        <w:t>供货单价 = 最高单价限价 ×（1 - 成交下浮率），计算结果四舍五入保留至小数点后两位。</w:t>
      </w:r>
    </w:p>
    <w:p w14:paraId="2E05867E">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30" w:line="240" w:lineRule="exact"/>
        <w:textAlignment w:val="baseline"/>
        <w:rPr>
          <w:rFonts w:ascii="宋体" w:hAnsi="宋体" w:eastAsia="宋体" w:cs="宋体"/>
          <w:b/>
          <w:bCs/>
          <w:spacing w:val="7"/>
          <w:sz w:val="18"/>
          <w:szCs w:val="18"/>
          <w:highlight w:val="none"/>
          <w:lang w:eastAsia="zh-CN"/>
        </w:rPr>
      </w:pPr>
      <w:r>
        <w:rPr>
          <w:rFonts w:hint="eastAsia" w:ascii="宋体" w:hAnsi="宋体" w:eastAsia="宋体" w:cs="宋体"/>
          <w:b/>
          <w:bCs/>
          <w:spacing w:val="7"/>
          <w:sz w:val="18"/>
          <w:szCs w:val="18"/>
          <w:highlight w:val="none"/>
          <w:lang w:val="en-US" w:eastAsia="zh-CN"/>
        </w:rPr>
        <w:t>《信息类设备维修配件及耗材目录采购清单》之外的配件或耗材，不适用上述成交下浮率的计算方式，其价格以电商平台京东自营店当前报价为准。</w:t>
      </w:r>
    </w:p>
    <w:p w14:paraId="31EE09CF">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30" w:line="240" w:lineRule="exact"/>
        <w:ind w:left="0" w:leftChars="0" w:firstLine="0" w:firstLineChars="0"/>
        <w:textAlignment w:val="baseline"/>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本项目的评审采用最低价法，在符合项目需求的前提下，选取最低价格为拟中选供应商，如有两家或以上供应商相同报价时，以平台响应报名时间更早者为优先。</w:t>
      </w:r>
    </w:p>
    <w:p w14:paraId="33A26FE9">
      <w:pPr>
        <w:pStyle w:val="9"/>
        <w:keepNext w:val="0"/>
        <w:keepLines w:val="0"/>
        <w:pageBreakBefore w:val="0"/>
        <w:widowControl w:val="0"/>
        <w:kinsoku/>
        <w:wordWrap/>
        <w:overflowPunct/>
        <w:topLinePunct w:val="0"/>
        <w:autoSpaceDE w:val="0"/>
        <w:autoSpaceDN w:val="0"/>
        <w:bidi w:val="0"/>
        <w:adjustRightInd w:val="0"/>
        <w:snapToGrid/>
        <w:spacing w:before="0" w:beforeLines="30" w:line="240" w:lineRule="exact"/>
        <w:textAlignment w:val="auto"/>
        <w:rPr>
          <w:rFonts w:hint="eastAsia" w:hAnsi="宋体" w:cs="宋体"/>
          <w:b/>
          <w:bCs/>
          <w:sz w:val="18"/>
          <w:szCs w:val="18"/>
          <w:highlight w:val="none"/>
          <w:lang w:val="en-US" w:eastAsia="zh-CN"/>
        </w:rPr>
      </w:pPr>
      <w:r>
        <w:rPr>
          <w:rFonts w:hint="eastAsia" w:hAnsi="宋体" w:cs="宋体"/>
          <w:b/>
          <w:bCs/>
          <w:sz w:val="18"/>
          <w:szCs w:val="18"/>
          <w:highlight w:val="none"/>
          <w:lang w:val="en-US" w:eastAsia="zh-CN"/>
        </w:rPr>
        <w:t>5. 报价次数：1次。</w:t>
      </w:r>
    </w:p>
    <w:p w14:paraId="5CA9783B">
      <w:pPr>
        <w:pStyle w:val="9"/>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highlight w:val="yellow"/>
          <w:lang w:val="en-US" w:eastAsia="zh-CN"/>
        </w:rPr>
      </w:pPr>
    </w:p>
    <w:p w14:paraId="7D601A1E">
      <w:pPr>
        <w:pStyle w:val="9"/>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highlight w:val="yellow"/>
          <w:lang w:val="en-US" w:eastAsia="zh-CN"/>
        </w:rPr>
      </w:pPr>
    </w:p>
    <w:p w14:paraId="76A95503">
      <w:pPr>
        <w:pStyle w:val="9"/>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highlight w:val="yellow"/>
          <w:lang w:val="en-US" w:eastAsia="zh-CN"/>
        </w:rPr>
      </w:pPr>
    </w:p>
    <w:p w14:paraId="255193EE">
      <w:pPr>
        <w:pStyle w:val="9"/>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highlight w:val="yellow"/>
          <w:lang w:val="en-US" w:eastAsia="zh-CN"/>
        </w:rPr>
      </w:pPr>
    </w:p>
    <w:p w14:paraId="31894B9F">
      <w:pPr>
        <w:pStyle w:val="9"/>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highlight w:val="yellow"/>
          <w:lang w:val="en-US" w:eastAsia="zh-CN"/>
        </w:rPr>
      </w:pPr>
    </w:p>
    <w:p w14:paraId="135A0D05">
      <w:pPr>
        <w:pStyle w:val="9"/>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30D1DA3C">
      <w:pPr>
        <w:spacing w:before="41" w:line="228" w:lineRule="auto"/>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360"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中山市东升医院电脑及打印机等信息类维修配件与耗材定点采购项目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474" w:bottom="907" w:left="1474"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val="en-US" w:eastAsia="zh-CN"/>
        </w:rPr>
        <w:t>复印件加盖公章</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中山市东升医院电脑及打印机等信息类维修配件与耗材定点采购项目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587" w:bottom="907" w:left="1587" w:header="0" w:footer="0" w:gutter="0"/>
          <w:cols w:space="720" w:num="1"/>
        </w:sectPr>
      </w:pPr>
    </w:p>
    <w:p w14:paraId="1DA97DB8">
      <w:pPr>
        <w:spacing w:before="41" w:line="378" w:lineRule="auto"/>
        <w:ind w:left="22" w:right="18"/>
        <w:rPr>
          <w:rFonts w:hint="default" w:ascii="宋体" w:hAnsi="宋体" w:eastAsia="宋体" w:cs="宋体"/>
          <w:sz w:val="20"/>
          <w:szCs w:val="20"/>
          <w:lang w:val="en-US" w:eastAsia="zh-CN"/>
        </w:rPr>
      </w:pPr>
      <w:r>
        <w:rPr>
          <w:rFonts w:ascii="宋体" w:hAnsi="宋体" w:eastAsia="宋体" w:cs="宋体"/>
          <w:b/>
          <w:bCs/>
          <w:spacing w:val="8"/>
          <w:kern w:val="0"/>
          <w:sz w:val="20"/>
          <w:szCs w:val="20"/>
          <w:fitText w:val="6600" w:id="1864924453"/>
          <w:lang w:eastAsia="zh-CN"/>
        </w:rPr>
        <w:t>七、提供近</w:t>
      </w:r>
      <w:r>
        <w:rPr>
          <w:rFonts w:ascii="Times New Roman" w:hAnsi="Times New Roman" w:eastAsia="Times New Roman" w:cs="Times New Roman"/>
          <w:b/>
          <w:bCs/>
          <w:spacing w:val="8"/>
          <w:kern w:val="0"/>
          <w:sz w:val="20"/>
          <w:szCs w:val="20"/>
          <w:fitText w:val="6600" w:id="1864924453"/>
          <w:lang w:eastAsia="zh-CN"/>
        </w:rPr>
        <w:t>12</w:t>
      </w:r>
      <w:r>
        <w:rPr>
          <w:rFonts w:ascii="宋体" w:hAnsi="宋体" w:eastAsia="宋体" w:cs="宋体"/>
          <w:b/>
          <w:bCs/>
          <w:spacing w:val="8"/>
          <w:kern w:val="0"/>
          <w:sz w:val="20"/>
          <w:szCs w:val="20"/>
          <w:fitText w:val="6600" w:id="1864924453"/>
          <w:lang w:eastAsia="zh-CN"/>
        </w:rPr>
        <w:t>个月内任</w:t>
      </w:r>
      <w:r>
        <w:rPr>
          <w:rFonts w:hint="eastAsia" w:ascii="宋体" w:hAnsi="宋体" w:eastAsia="宋体" w:cs="宋体"/>
          <w:b/>
          <w:bCs/>
          <w:spacing w:val="8"/>
          <w:kern w:val="0"/>
          <w:sz w:val="20"/>
          <w:szCs w:val="20"/>
          <w:fitText w:val="6600" w:id="1864924453"/>
          <w:lang w:val="en-US" w:eastAsia="zh-CN"/>
        </w:rPr>
        <w:t>意</w:t>
      </w:r>
      <w:r>
        <w:rPr>
          <w:rFonts w:ascii="Times New Roman" w:hAnsi="Times New Roman" w:eastAsia="Times New Roman" w:cs="Times New Roman"/>
          <w:b/>
          <w:bCs/>
          <w:spacing w:val="8"/>
          <w:kern w:val="0"/>
          <w:sz w:val="20"/>
          <w:szCs w:val="20"/>
          <w:fitText w:val="6600" w:id="1864924453"/>
          <w:lang w:eastAsia="zh-CN"/>
        </w:rPr>
        <w:t>1</w:t>
      </w:r>
      <w:r>
        <w:rPr>
          <w:rFonts w:ascii="宋体" w:hAnsi="宋体" w:eastAsia="宋体" w:cs="宋体"/>
          <w:b/>
          <w:bCs/>
          <w:spacing w:val="8"/>
          <w:kern w:val="0"/>
          <w:sz w:val="20"/>
          <w:szCs w:val="20"/>
          <w:fitText w:val="6600" w:id="1864924453"/>
          <w:lang w:eastAsia="zh-CN"/>
        </w:rPr>
        <w:t>个月编制的财务报表复印件</w:t>
      </w:r>
      <w:r>
        <w:rPr>
          <w:rFonts w:hint="eastAsia" w:ascii="宋体" w:hAnsi="宋体" w:eastAsia="宋体" w:cs="宋体"/>
          <w:b/>
          <w:bCs/>
          <w:spacing w:val="8"/>
          <w:kern w:val="0"/>
          <w:sz w:val="20"/>
          <w:szCs w:val="20"/>
          <w:fitText w:val="6600" w:id="1864924453"/>
          <w:lang w:eastAsia="zh-CN"/>
        </w:rPr>
        <w:t>（</w:t>
      </w:r>
      <w:r>
        <w:rPr>
          <w:rFonts w:hint="eastAsia" w:ascii="宋体" w:hAnsi="宋体" w:eastAsia="宋体" w:cs="宋体"/>
          <w:b/>
          <w:bCs/>
          <w:spacing w:val="8"/>
          <w:kern w:val="0"/>
          <w:sz w:val="20"/>
          <w:szCs w:val="20"/>
          <w:fitText w:val="6600" w:id="1864924453"/>
          <w:lang w:val="en-US" w:eastAsia="zh-CN"/>
        </w:rPr>
        <w:t>加盖公章）</w:t>
      </w:r>
      <w:r>
        <w:rPr>
          <w:rFonts w:hint="eastAsia" w:ascii="宋体" w:hAnsi="宋体" w:eastAsia="宋体" w:cs="宋体"/>
          <w:b/>
          <w:bCs/>
          <w:spacing w:val="14"/>
          <w:kern w:val="0"/>
          <w:sz w:val="20"/>
          <w:szCs w:val="20"/>
          <w:fitText w:val="6600" w:id="1864924453"/>
          <w:lang w:val="en-US" w:eastAsia="zh-CN"/>
        </w:rPr>
        <w:t>。</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八、近12个月内任何时间的纳税证明资料复印件</w:t>
      </w:r>
      <w:r>
        <w:rPr>
          <w:rFonts w:hint="eastAsia" w:ascii="宋体" w:hAnsi="宋体" w:eastAsia="宋体" w:cs="宋体"/>
          <w:b/>
          <w:bCs/>
          <w:spacing w:val="8"/>
          <w:sz w:val="20"/>
          <w:szCs w:val="20"/>
          <w:lang w:eastAsia="zh-CN"/>
        </w:rPr>
        <w:t>（</w:t>
      </w:r>
      <w:r>
        <w:rPr>
          <w:rFonts w:hint="eastAsia" w:ascii="宋体" w:hAnsi="宋体" w:eastAsia="宋体" w:cs="宋体"/>
          <w:b/>
          <w:bCs/>
          <w:spacing w:val="8"/>
          <w:sz w:val="20"/>
          <w:szCs w:val="20"/>
          <w:lang w:val="en-US" w:eastAsia="zh-CN"/>
        </w:rPr>
        <w:t>加盖公章）</w:t>
      </w:r>
      <w:r>
        <w:rPr>
          <w:rFonts w:ascii="宋体" w:hAnsi="宋体" w:eastAsia="宋体" w:cs="宋体"/>
          <w:b/>
          <w:bCs/>
          <w:spacing w:val="8"/>
          <w:sz w:val="20"/>
          <w:szCs w:val="20"/>
          <w:lang w:eastAsia="zh-CN"/>
        </w:rPr>
        <w:t>，如依法免税的，应提供相应文件证明</w:t>
      </w:r>
      <w:r>
        <w:rPr>
          <w:rFonts w:hint="eastAsia" w:ascii="宋体" w:hAnsi="宋体" w:eastAsia="宋体" w:cs="宋体"/>
          <w:b/>
          <w:bCs/>
          <w:spacing w:val="8"/>
          <w:sz w:val="20"/>
          <w:szCs w:val="20"/>
          <w:lang w:eastAsia="zh-CN"/>
        </w:rPr>
        <w:t>。</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keepNext w:val="0"/>
        <w:keepLines w:val="0"/>
        <w:pageBreakBefore w:val="0"/>
        <w:widowControl/>
        <w:kinsoku w:val="0"/>
        <w:wordWrap/>
        <w:overflowPunct/>
        <w:topLinePunct w:val="0"/>
        <w:autoSpaceDE w:val="0"/>
        <w:autoSpaceDN w:val="0"/>
        <w:bidi w:val="0"/>
        <w:adjustRightInd w:val="0"/>
        <w:snapToGrid w:val="0"/>
        <w:spacing w:before="40" w:line="288" w:lineRule="auto"/>
        <w:ind w:left="23" w:firstLine="5"/>
        <w:textAlignment w:val="baseline"/>
        <w:rPr>
          <w:rFonts w:ascii="宋体" w:hAnsi="宋体" w:eastAsia="宋体" w:cs="宋体"/>
          <w:sz w:val="20"/>
          <w:szCs w:val="20"/>
          <w:lang w:eastAsia="zh-CN"/>
        </w:rPr>
      </w:pPr>
      <w:r>
        <w:rPr>
          <w:rFonts w:ascii="宋体" w:hAnsi="宋体" w:eastAsia="宋体" w:cs="宋体"/>
          <w:b/>
          <w:bCs/>
          <w:spacing w:val="3"/>
          <w:sz w:val="20"/>
          <w:szCs w:val="20"/>
          <w:lang w:eastAsia="zh-CN"/>
        </w:rPr>
        <w:t>九、近 12 个月内任何时间的缴交社保证明资料复印件</w:t>
      </w:r>
      <w:r>
        <w:rPr>
          <w:rFonts w:hint="eastAsia" w:ascii="宋体" w:hAnsi="宋体" w:eastAsia="宋体" w:cs="宋体"/>
          <w:b/>
          <w:bCs/>
          <w:spacing w:val="3"/>
          <w:sz w:val="20"/>
          <w:szCs w:val="20"/>
          <w:lang w:eastAsia="zh-CN"/>
        </w:rPr>
        <w:t>（</w:t>
      </w:r>
      <w:r>
        <w:rPr>
          <w:rFonts w:hint="eastAsia" w:ascii="宋体" w:hAnsi="宋体" w:eastAsia="宋体" w:cs="宋体"/>
          <w:b/>
          <w:bCs/>
          <w:spacing w:val="3"/>
          <w:sz w:val="20"/>
          <w:szCs w:val="20"/>
          <w:lang w:val="en-US" w:eastAsia="zh-CN"/>
        </w:rPr>
        <w:t>加盖公章）</w:t>
      </w:r>
      <w:r>
        <w:rPr>
          <w:rFonts w:ascii="宋体" w:hAnsi="宋体" w:eastAsia="宋体" w:cs="宋体"/>
          <w:b/>
          <w:bCs/>
          <w:spacing w:val="3"/>
          <w:sz w:val="20"/>
          <w:szCs w:val="20"/>
          <w:lang w:eastAsia="zh-CN"/>
        </w:rPr>
        <w:t>，如依法不需要缴纳社会保障资金的，应提供相应文件证明</w:t>
      </w:r>
      <w:r>
        <w:rPr>
          <w:rFonts w:hint="eastAsia" w:ascii="宋体" w:hAnsi="宋体" w:eastAsia="宋体" w:cs="宋体"/>
          <w:b/>
          <w:bCs/>
          <w:spacing w:val="3"/>
          <w:sz w:val="20"/>
          <w:szCs w:val="20"/>
          <w:lang w:eastAsia="zh-CN"/>
        </w:rPr>
        <w:t>。</w:t>
      </w:r>
    </w:p>
    <w:p w14:paraId="6E0D33B8">
      <w:pPr>
        <w:keepNext w:val="0"/>
        <w:keepLines w:val="0"/>
        <w:pageBreakBefore w:val="0"/>
        <w:widowControl/>
        <w:kinsoku w:val="0"/>
        <w:wordWrap/>
        <w:overflowPunct/>
        <w:topLinePunct w:val="0"/>
        <w:autoSpaceDE w:val="0"/>
        <w:autoSpaceDN w:val="0"/>
        <w:bidi w:val="0"/>
        <w:adjustRightInd w:val="0"/>
        <w:snapToGrid w:val="0"/>
        <w:spacing w:line="288" w:lineRule="auto"/>
        <w:textAlignment w:val="baseline"/>
        <w:rPr>
          <w:rFonts w:ascii="宋体" w:hAnsi="宋体" w:eastAsia="宋体" w:cs="宋体"/>
          <w:sz w:val="20"/>
          <w:szCs w:val="20"/>
          <w:lang w:eastAsia="zh-CN"/>
        </w:rPr>
        <w:sectPr>
          <w:pgSz w:w="11900" w:h="16840"/>
          <w:pgMar w:top="907" w:right="1417" w:bottom="907" w:left="1417"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280" w:lineRule="exact"/>
        <w:ind w:left="22" w:right="18" w:firstLine="1"/>
        <w:jc w:val="both"/>
        <w:textAlignment w:val="baseline"/>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val="en-US" w:eastAsia="zh-CN"/>
        </w:rPr>
        <w:t>供应商未被列入“信用中国”网站(</w:t>
      </w:r>
      <w:r>
        <w:rPr>
          <w:rFonts w:hint="eastAsia" w:ascii="宋体" w:hAnsi="宋体" w:eastAsia="宋体" w:cs="宋体"/>
          <w:b/>
          <w:bCs/>
          <w:spacing w:val="8"/>
          <w:sz w:val="20"/>
          <w:szCs w:val="20"/>
          <w:lang w:val="en-US" w:eastAsia="zh-CN"/>
        </w:rPr>
        <w:fldChar w:fldCharType="begin"/>
      </w:r>
      <w:r>
        <w:rPr>
          <w:rFonts w:hint="eastAsia" w:ascii="宋体" w:hAnsi="宋体" w:eastAsia="宋体" w:cs="宋体"/>
          <w:b/>
          <w:bCs/>
          <w:spacing w:val="8"/>
          <w:sz w:val="20"/>
          <w:szCs w:val="20"/>
          <w:lang w:val="en-US" w:eastAsia="zh-CN"/>
        </w:rPr>
        <w:instrText xml:space="preserve"> HYPERLINK "https://www.creditchina.gov.cn" </w:instrText>
      </w:r>
      <w:r>
        <w:rPr>
          <w:rFonts w:hint="eastAsia" w:ascii="宋体" w:hAnsi="宋体" w:eastAsia="宋体" w:cs="宋体"/>
          <w:b/>
          <w:bCs/>
          <w:spacing w:val="8"/>
          <w:sz w:val="20"/>
          <w:szCs w:val="20"/>
          <w:lang w:val="en-US" w:eastAsia="zh-CN"/>
        </w:rPr>
        <w:fldChar w:fldCharType="separate"/>
      </w:r>
      <w:r>
        <w:rPr>
          <w:rFonts w:hint="eastAsia" w:ascii="宋体" w:hAnsi="宋体" w:eastAsia="宋体" w:cs="宋体"/>
          <w:b/>
          <w:bCs/>
          <w:spacing w:val="8"/>
          <w:sz w:val="20"/>
          <w:szCs w:val="20"/>
          <w:lang w:val="en-US" w:eastAsia="zh-CN"/>
        </w:rPr>
        <w:t>www.creditchina.gov.cn</w:t>
      </w:r>
      <w:r>
        <w:rPr>
          <w:rFonts w:hint="eastAsia" w:ascii="宋体" w:hAnsi="宋体" w:eastAsia="宋体" w:cs="宋体"/>
          <w:b/>
          <w:bCs/>
          <w:spacing w:val="8"/>
          <w:sz w:val="20"/>
          <w:szCs w:val="20"/>
          <w:lang w:val="en-US" w:eastAsia="zh-CN"/>
        </w:rPr>
        <w:fldChar w:fldCharType="end"/>
      </w:r>
      <w:r>
        <w:rPr>
          <w:rFonts w:hint="eastAsia" w:ascii="宋体" w:hAnsi="宋体" w:eastAsia="宋体" w:cs="宋体"/>
          <w:b/>
          <w:bCs/>
          <w:spacing w:val="8"/>
          <w:sz w:val="20"/>
          <w:szCs w:val="20"/>
          <w:lang w:val="en-US" w:eastAsia="zh-CN"/>
        </w:rPr>
        <w:t>)“记录失信被执行人或重大税收违法案件当事人名单；不处于中国政府采购网(</w:t>
      </w:r>
      <w:r>
        <w:rPr>
          <w:rFonts w:hint="eastAsia" w:ascii="宋体" w:hAnsi="宋体" w:eastAsia="宋体" w:cs="宋体"/>
          <w:b/>
          <w:bCs/>
          <w:spacing w:val="8"/>
          <w:sz w:val="20"/>
          <w:szCs w:val="20"/>
          <w:lang w:val="en-US" w:eastAsia="zh-CN"/>
        </w:rPr>
        <w:fldChar w:fldCharType="begin"/>
      </w:r>
      <w:r>
        <w:rPr>
          <w:rFonts w:hint="eastAsia" w:ascii="宋体" w:hAnsi="宋体" w:eastAsia="宋体" w:cs="宋体"/>
          <w:b/>
          <w:bCs/>
          <w:spacing w:val="8"/>
          <w:sz w:val="20"/>
          <w:szCs w:val="20"/>
          <w:lang w:val="en-US" w:eastAsia="zh-CN"/>
        </w:rPr>
        <w:instrText xml:space="preserve"> HYPERLINK "https://www.ccgp.gov.cn" </w:instrText>
      </w:r>
      <w:r>
        <w:rPr>
          <w:rFonts w:hint="eastAsia" w:ascii="宋体" w:hAnsi="宋体" w:eastAsia="宋体" w:cs="宋体"/>
          <w:b/>
          <w:bCs/>
          <w:spacing w:val="8"/>
          <w:sz w:val="20"/>
          <w:szCs w:val="20"/>
          <w:lang w:val="en-US" w:eastAsia="zh-CN"/>
        </w:rPr>
        <w:fldChar w:fldCharType="separate"/>
      </w:r>
      <w:r>
        <w:rPr>
          <w:rFonts w:hint="eastAsia" w:ascii="宋体" w:hAnsi="宋体" w:eastAsia="宋体" w:cs="宋体"/>
          <w:b/>
          <w:bCs/>
          <w:spacing w:val="8"/>
          <w:sz w:val="20"/>
          <w:szCs w:val="20"/>
          <w:lang w:val="en-US" w:eastAsia="zh-CN"/>
        </w:rPr>
        <w:t>www.ccgp.gov.cn</w:t>
      </w:r>
      <w:r>
        <w:rPr>
          <w:rFonts w:hint="eastAsia" w:ascii="宋体" w:hAnsi="宋体" w:eastAsia="宋体" w:cs="宋体"/>
          <w:b/>
          <w:bCs/>
          <w:spacing w:val="8"/>
          <w:sz w:val="20"/>
          <w:szCs w:val="20"/>
          <w:lang w:val="en-US" w:eastAsia="zh-CN"/>
        </w:rPr>
        <w:fldChar w:fldCharType="end"/>
      </w:r>
      <w:r>
        <w:rPr>
          <w:rFonts w:hint="eastAsia" w:ascii="宋体" w:hAnsi="宋体" w:eastAsia="宋体" w:cs="宋体"/>
          <w:b/>
          <w:bCs/>
          <w:spacing w:val="8"/>
          <w:sz w:val="20"/>
          <w:szCs w:val="20"/>
          <w:lang w:val="en-US" w:eastAsia="zh-CN"/>
        </w:rPr>
        <w:t>)“政府采购严重违法失信行为信息记录 ”中的禁止参加政府采购活动期间。（提供以上截图并加盖公章）</w:t>
      </w:r>
    </w:p>
    <w:p w14:paraId="46792666">
      <w:pPr>
        <w:keepNext w:val="0"/>
        <w:keepLines w:val="0"/>
        <w:pageBreakBefore w:val="0"/>
        <w:widowControl/>
        <w:kinsoku w:val="0"/>
        <w:wordWrap/>
        <w:overflowPunct/>
        <w:topLinePunct w:val="0"/>
        <w:autoSpaceDE w:val="0"/>
        <w:autoSpaceDN w:val="0"/>
        <w:bidi w:val="0"/>
        <w:adjustRightInd w:val="0"/>
        <w:snapToGrid w:val="0"/>
        <w:spacing w:line="28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1AD104C4">
      <w:pPr>
        <w:spacing w:before="137"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一</w:t>
      </w:r>
      <w:r>
        <w:rPr>
          <w:rFonts w:ascii="宋体" w:hAnsi="宋体" w:eastAsia="宋体" w:cs="宋体"/>
          <w:b/>
          <w:bCs/>
          <w:spacing w:val="7"/>
          <w:sz w:val="20"/>
          <w:szCs w:val="20"/>
          <w:lang w:eastAsia="zh-CN"/>
        </w:rPr>
        <w:t>、采购需求偏离表</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加盖公章）</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tbl>
      <w:tblPr>
        <w:tblStyle w:val="10"/>
        <w:tblpPr w:leftFromText="180" w:rightFromText="180" w:vertAnchor="text" w:horzAnchor="page" w:tblpX="992" w:tblpY="224"/>
        <w:tblOverlap w:val="never"/>
        <w:tblW w:w="96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661"/>
        <w:gridCol w:w="5475"/>
        <w:gridCol w:w="1410"/>
        <w:gridCol w:w="1065"/>
        <w:gridCol w:w="1065"/>
      </w:tblGrid>
      <w:tr w14:paraId="37EB4D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26" w:hRule="atLeast"/>
        </w:trPr>
        <w:tc>
          <w:tcPr>
            <w:tcW w:w="661" w:type="dxa"/>
            <w:vAlign w:val="center"/>
          </w:tcPr>
          <w:p w14:paraId="61DC7371">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475" w:type="dxa"/>
            <w:vAlign w:val="center"/>
          </w:tcPr>
          <w:p w14:paraId="2A5AABAD">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410" w:type="dxa"/>
            <w:vAlign w:val="center"/>
          </w:tcPr>
          <w:p w14:paraId="43FB0302">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完全响应</w:t>
            </w:r>
          </w:p>
          <w:p w14:paraId="33305874">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或</w:t>
            </w:r>
          </w:p>
          <w:p w14:paraId="7C9B8E9B">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ascii="宋体" w:hAnsi="宋体" w:eastAsia="宋体" w:cs="宋体"/>
                <w:b/>
                <w:bCs/>
              </w:rPr>
            </w:pPr>
            <w:r>
              <w:rPr>
                <w:rFonts w:hint="eastAsia" w:ascii="宋体" w:hAnsi="宋体" w:eastAsia="宋体" w:cs="宋体"/>
                <w:b/>
                <w:bCs/>
                <w:spacing w:val="6"/>
              </w:rPr>
              <w:t>正/负偏离</w:t>
            </w:r>
          </w:p>
        </w:tc>
        <w:tc>
          <w:tcPr>
            <w:tcW w:w="1065" w:type="dxa"/>
            <w:vAlign w:val="center"/>
          </w:tcPr>
          <w:p w14:paraId="05845206">
            <w:pPr>
              <w:spacing w:before="65" w:line="300" w:lineRule="exact"/>
              <w:jc w:val="center"/>
              <w:rPr>
                <w:rFonts w:hint="eastAsia" w:ascii="宋体" w:hAnsi="宋体" w:eastAsia="宋体" w:cs="宋体"/>
                <w:b/>
                <w:bCs/>
                <w:spacing w:val="7"/>
              </w:rPr>
            </w:pPr>
            <w:r>
              <w:rPr>
                <w:rFonts w:hint="eastAsia" w:ascii="宋体" w:hAnsi="宋体" w:eastAsia="宋体" w:cs="宋体"/>
                <w:b/>
                <w:bCs/>
                <w:spacing w:val="7"/>
              </w:rPr>
              <w:t>偏离</w:t>
            </w:r>
          </w:p>
          <w:p w14:paraId="62DEE52A">
            <w:pPr>
              <w:spacing w:before="65" w:line="300" w:lineRule="exact"/>
              <w:jc w:val="center"/>
              <w:rPr>
                <w:rFonts w:ascii="宋体" w:hAnsi="宋体" w:eastAsia="宋体" w:cs="宋体"/>
                <w:b/>
                <w:bCs/>
              </w:rPr>
            </w:pPr>
            <w:r>
              <w:rPr>
                <w:rFonts w:hint="eastAsia" w:ascii="宋体" w:hAnsi="宋体" w:eastAsia="宋体" w:cs="宋体"/>
                <w:b/>
                <w:bCs/>
                <w:spacing w:val="7"/>
              </w:rPr>
              <w:t>情况</w:t>
            </w:r>
          </w:p>
        </w:tc>
        <w:tc>
          <w:tcPr>
            <w:tcW w:w="1065" w:type="dxa"/>
            <w:vAlign w:val="center"/>
          </w:tcPr>
          <w:p w14:paraId="7173064F">
            <w:pPr>
              <w:spacing w:before="65" w:line="300" w:lineRule="exact"/>
              <w:jc w:val="center"/>
              <w:rPr>
                <w:rFonts w:hint="eastAsia" w:ascii="宋体" w:hAnsi="宋体" w:eastAsia="宋体" w:cs="宋体"/>
                <w:b/>
                <w:bCs/>
                <w:spacing w:val="7"/>
                <w:lang w:val="en-US" w:eastAsia="zh-CN"/>
              </w:rPr>
            </w:pPr>
            <w:r>
              <w:rPr>
                <w:rFonts w:hint="eastAsia" w:ascii="宋体" w:hAnsi="宋体" w:eastAsia="宋体" w:cs="宋体"/>
                <w:b/>
                <w:bCs/>
                <w:spacing w:val="7"/>
                <w:lang w:val="en-US" w:eastAsia="zh-CN"/>
              </w:rPr>
              <w:t>对应</w:t>
            </w:r>
          </w:p>
          <w:p w14:paraId="2272C3A4">
            <w:pPr>
              <w:spacing w:before="65" w:line="300" w:lineRule="exact"/>
              <w:jc w:val="center"/>
              <w:rPr>
                <w:rFonts w:hint="default" w:ascii="宋体" w:hAnsi="宋体" w:eastAsia="宋体" w:cs="宋体"/>
                <w:b/>
                <w:bCs/>
                <w:spacing w:val="7"/>
                <w:lang w:val="en-US" w:eastAsia="zh-CN"/>
              </w:rPr>
            </w:pPr>
            <w:r>
              <w:rPr>
                <w:rFonts w:hint="eastAsia" w:ascii="宋体" w:hAnsi="宋体" w:eastAsia="宋体" w:cs="宋体"/>
                <w:b/>
                <w:bCs/>
                <w:spacing w:val="7"/>
                <w:lang w:val="en-US" w:eastAsia="zh-CN"/>
              </w:rPr>
              <w:t>页码</w:t>
            </w:r>
          </w:p>
        </w:tc>
      </w:tr>
      <w:tr w14:paraId="0B8354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661" w:type="dxa"/>
            <w:vAlign w:val="center"/>
          </w:tcPr>
          <w:p w14:paraId="5F3B1345">
            <w:pPr>
              <w:spacing w:before="65" w:line="270" w:lineRule="exact"/>
              <w:jc w:val="center"/>
              <w:rPr>
                <w:rFonts w:ascii="宋体" w:hAnsi="宋体" w:eastAsia="宋体" w:cs="宋体"/>
              </w:rPr>
            </w:pPr>
            <w:r>
              <w:rPr>
                <w:rFonts w:hint="eastAsia" w:ascii="宋体" w:hAnsi="宋体" w:eastAsia="宋体" w:cs="宋体"/>
                <w:position w:val="1"/>
              </w:rPr>
              <w:t>1</w:t>
            </w:r>
          </w:p>
        </w:tc>
        <w:tc>
          <w:tcPr>
            <w:tcW w:w="5475" w:type="dxa"/>
          </w:tcPr>
          <w:p w14:paraId="24657283">
            <w:pPr>
              <w:pStyle w:val="5"/>
              <w:widowControl w:val="0"/>
              <w:kinsoku/>
              <w:autoSpaceDN/>
              <w:adjustRightInd/>
              <w:snapToGrid/>
              <w:spacing w:before="0" w:beforeAutospacing="0" w:after="0" w:afterAutospacing="0" w:line="240" w:lineRule="exact"/>
              <w:rPr>
                <w:rFonts w:hint="eastAsia" w:ascii="宋体" w:hAnsi="宋体" w:eastAsia="宋体" w:cs="宋体"/>
                <w:sz w:val="18"/>
                <w:szCs w:val="18"/>
              </w:rPr>
            </w:pPr>
            <w:r>
              <w:rPr>
                <w:rFonts w:hint="eastAsia" w:ascii="宋体" w:hAnsi="宋体" w:eastAsia="宋体" w:cs="宋体"/>
                <w:sz w:val="18"/>
                <w:szCs w:val="18"/>
              </w:rPr>
              <w:t>一、项目概况</w:t>
            </w:r>
          </w:p>
          <w:p w14:paraId="5ECD659D">
            <w:pPr>
              <w:pStyle w:val="5"/>
              <w:widowControl w:val="0"/>
              <w:kinsoku/>
              <w:autoSpaceDN/>
              <w:adjustRightInd/>
              <w:snapToGrid/>
              <w:spacing w:before="0" w:beforeAutospacing="0" w:after="0" w:afterAutospacing="0" w:line="240" w:lineRule="exact"/>
              <w:rPr>
                <w:rFonts w:hint="eastAsia" w:ascii="宋体" w:hAnsi="宋体" w:eastAsia="宋体" w:cs="宋体"/>
                <w:sz w:val="18"/>
                <w:szCs w:val="18"/>
                <w:lang w:eastAsia="zh-CN"/>
              </w:rPr>
            </w:pPr>
            <w:r>
              <w:rPr>
                <w:rFonts w:hint="eastAsia" w:ascii="宋体" w:hAnsi="宋体" w:eastAsia="宋体" w:cs="宋体"/>
                <w:sz w:val="18"/>
                <w:szCs w:val="18"/>
              </w:rPr>
              <w:t>1.</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项目名称：</w:t>
            </w:r>
            <w:r>
              <w:rPr>
                <w:rFonts w:hint="eastAsia" w:ascii="宋体" w:hAnsi="宋体" w:eastAsia="宋体" w:cs="宋体"/>
                <w:sz w:val="18"/>
                <w:szCs w:val="18"/>
                <w:lang w:val="en-US" w:eastAsia="zh-CN"/>
              </w:rPr>
              <w:t>中山市东升医院</w:t>
            </w:r>
            <w:r>
              <w:rPr>
                <w:rFonts w:hint="eastAsia" w:ascii="宋体" w:hAnsi="宋体" w:eastAsia="宋体" w:cs="宋体"/>
                <w:sz w:val="18"/>
                <w:szCs w:val="18"/>
              </w:rPr>
              <w:t>电脑及打印机等信息类维修配件与耗材定点采购</w:t>
            </w:r>
            <w:r>
              <w:rPr>
                <w:rFonts w:hint="eastAsia" w:ascii="宋体" w:hAnsi="宋体" w:eastAsia="宋体" w:cs="宋体"/>
                <w:sz w:val="18"/>
                <w:szCs w:val="18"/>
                <w:lang w:val="en-US" w:eastAsia="zh-CN"/>
              </w:rPr>
              <w:t>项目</w:t>
            </w:r>
          </w:p>
          <w:p w14:paraId="6E9CDBAB">
            <w:pPr>
              <w:pStyle w:val="5"/>
              <w:widowControl w:val="0"/>
              <w:kinsoku/>
              <w:autoSpaceDN/>
              <w:adjustRightInd/>
              <w:snapToGrid/>
              <w:spacing w:before="0" w:beforeAutospacing="0" w:after="0" w:afterAutospacing="0" w:line="240" w:lineRule="exact"/>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2. 项目编号：HW-XX-XX-2026071</w:t>
            </w:r>
          </w:p>
          <w:p w14:paraId="60992421">
            <w:pPr>
              <w:pStyle w:val="5"/>
              <w:widowControl w:val="0"/>
              <w:kinsoku/>
              <w:autoSpaceDN/>
              <w:adjustRightInd/>
              <w:snapToGrid/>
              <w:spacing w:before="0" w:beforeAutospacing="0" w:after="0" w:afterAutospacing="0" w:line="240" w:lineRule="exact"/>
              <w:rPr>
                <w:rFonts w:hint="eastAsia" w:ascii="宋体" w:hAnsi="宋体" w:eastAsia="宋体" w:cs="宋体"/>
                <w:sz w:val="18"/>
                <w:szCs w:val="18"/>
                <w:lang w:val="en-US" w:eastAsia="zh-CN"/>
              </w:rPr>
            </w:pPr>
            <w:r>
              <w:rPr>
                <w:rFonts w:hint="eastAsia" w:ascii="宋体" w:hAnsi="宋体" w:eastAsia="宋体" w:cs="宋体"/>
                <w:sz w:val="18"/>
                <w:szCs w:val="18"/>
              </w:rPr>
              <w:t>2.</w:t>
            </w:r>
            <w:r>
              <w:rPr>
                <w:rFonts w:hint="eastAsia" w:ascii="宋体" w:hAnsi="宋体" w:eastAsia="宋体" w:cs="宋体"/>
                <w:sz w:val="18"/>
                <w:szCs w:val="18"/>
                <w:lang w:val="en-US" w:eastAsia="zh-CN"/>
              </w:rPr>
              <w:t xml:space="preserve"> 项目预算：总预算为260000元（含税价），其中：（1）维护服务费用为30000元/年；（2）电脑、打印机等办公设备维修配件及耗材共计230000元，采购内容包括但不限于电脑维修配件，如内存条、硬盘、显卡、主板、电源、显示器等；耗材包括热敏纸、打印碳粉、色带等（详见附件一《信息类设备维修配件及耗材目录采购清单》）。上述费用按照实际使用量进行结算。（3）目录外项目以京东自营店当前报价为准。</w:t>
            </w:r>
          </w:p>
          <w:p w14:paraId="014EBF34">
            <w:pPr>
              <w:pStyle w:val="5"/>
              <w:widowControl w:val="0"/>
              <w:kinsoku/>
              <w:autoSpaceDN/>
              <w:adjustRightInd/>
              <w:snapToGrid/>
              <w:spacing w:before="0" w:beforeAutospacing="0" w:after="0" w:afterAutospacing="0" w:line="240" w:lineRule="exact"/>
              <w:rPr>
                <w:rFonts w:hint="eastAsia" w:ascii="宋体" w:hAnsi="宋体" w:eastAsia="宋体" w:cs="宋体"/>
                <w:sz w:val="18"/>
                <w:szCs w:val="18"/>
              </w:rPr>
            </w:pPr>
            <w:r>
              <w:rPr>
                <w:rFonts w:hint="eastAsia" w:ascii="宋体" w:hAnsi="宋体" w:eastAsia="宋体" w:cs="宋体"/>
                <w:sz w:val="18"/>
                <w:szCs w:val="18"/>
              </w:rPr>
              <w:t>3.</w:t>
            </w:r>
            <w:r>
              <w:rPr>
                <w:rFonts w:hint="eastAsia" w:ascii="宋体" w:hAnsi="宋体" w:eastAsia="宋体" w:cs="宋体"/>
                <w:sz w:val="18"/>
                <w:szCs w:val="18"/>
                <w:lang w:val="en-US" w:eastAsia="zh-CN"/>
              </w:rPr>
              <w:t xml:space="preserve"> 服务</w:t>
            </w:r>
            <w:r>
              <w:rPr>
                <w:rFonts w:hint="eastAsia" w:ascii="宋体" w:hAnsi="宋体" w:eastAsia="宋体" w:cs="宋体"/>
                <w:sz w:val="18"/>
                <w:szCs w:val="18"/>
              </w:rPr>
              <w:t>期限</w:t>
            </w:r>
            <w:r>
              <w:rPr>
                <w:rFonts w:hint="eastAsia" w:ascii="宋体" w:hAnsi="宋体" w:eastAsia="宋体" w:cs="宋体"/>
                <w:sz w:val="18"/>
                <w:szCs w:val="18"/>
                <w:lang w:eastAsia="zh-CN"/>
              </w:rPr>
              <w:t>：</w:t>
            </w:r>
            <w:r>
              <w:rPr>
                <w:rFonts w:hint="eastAsia" w:ascii="宋体" w:hAnsi="宋体" w:eastAsia="宋体" w:cs="宋体"/>
                <w:sz w:val="18"/>
                <w:szCs w:val="18"/>
              </w:rPr>
              <w:t>自合同签订之日起一年。出现下列任一条件时，合同自动终止</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1）</w:t>
            </w:r>
            <w:r>
              <w:rPr>
                <w:rFonts w:hint="eastAsia" w:ascii="宋体" w:hAnsi="宋体" w:eastAsia="宋体" w:cs="宋体"/>
                <w:sz w:val="18"/>
                <w:szCs w:val="18"/>
              </w:rPr>
              <w:t>服务期内采购金额累计达到本项目预算总金额</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2）</w:t>
            </w:r>
            <w:r>
              <w:rPr>
                <w:rFonts w:hint="eastAsia" w:ascii="宋体" w:hAnsi="宋体" w:eastAsia="宋体" w:cs="宋体"/>
                <w:sz w:val="18"/>
                <w:szCs w:val="18"/>
              </w:rPr>
              <w:t>自合同签订之日起，服务期满一年</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3）</w:t>
            </w:r>
            <w:r>
              <w:rPr>
                <w:rFonts w:hint="eastAsia" w:ascii="宋体" w:hAnsi="宋体" w:eastAsia="宋体" w:cs="宋体"/>
                <w:sz w:val="18"/>
                <w:szCs w:val="18"/>
              </w:rPr>
              <w:t>剩余预算不足以采购清单内任一物品时，合同自动终止。</w:t>
            </w:r>
          </w:p>
          <w:p w14:paraId="77A75CD3">
            <w:pPr>
              <w:pStyle w:val="5"/>
              <w:widowControl w:val="0"/>
              <w:kinsoku/>
              <w:autoSpaceDN/>
              <w:adjustRightInd/>
              <w:snapToGrid/>
              <w:spacing w:before="0" w:beforeAutospacing="0" w:after="0" w:afterAutospacing="0" w:line="240" w:lineRule="exact"/>
              <w:rPr>
                <w:rFonts w:hint="eastAsia" w:ascii="宋体" w:hAnsi="宋体" w:eastAsia="宋体" w:cs="宋体"/>
                <w:sz w:val="18"/>
                <w:szCs w:val="18"/>
              </w:rPr>
            </w:pPr>
            <w:r>
              <w:rPr>
                <w:rFonts w:hint="eastAsia" w:ascii="宋体" w:hAnsi="宋体" w:eastAsia="宋体" w:cs="宋体"/>
                <w:sz w:val="18"/>
                <w:szCs w:val="18"/>
              </w:rPr>
              <w:t>4.</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维护对象：常用办公设备</w:t>
            </w:r>
            <w:r>
              <w:rPr>
                <w:rFonts w:hint="eastAsia" w:ascii="宋体" w:hAnsi="宋体" w:eastAsia="宋体" w:cs="宋体"/>
                <w:sz w:val="18"/>
                <w:szCs w:val="18"/>
                <w:lang w:eastAsia="zh-CN"/>
              </w:rPr>
              <w:t>，</w:t>
            </w:r>
            <w:r>
              <w:rPr>
                <w:rFonts w:hint="eastAsia" w:ascii="宋体" w:hAnsi="宋体" w:eastAsia="宋体" w:cs="宋体"/>
                <w:sz w:val="18"/>
                <w:szCs w:val="18"/>
              </w:rPr>
              <w:t>包括但不限于电脑、打印机、复印机等。</w:t>
            </w:r>
          </w:p>
          <w:p w14:paraId="0C56D56D">
            <w:pPr>
              <w:pStyle w:val="5"/>
              <w:widowControl w:val="0"/>
              <w:kinsoku/>
              <w:autoSpaceDN/>
              <w:adjustRightInd/>
              <w:snapToGrid/>
              <w:spacing w:before="0" w:beforeAutospacing="0" w:after="0" w:afterAutospacing="0"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 本项目不接受联合体投标。未经采购人同意，成交供应商不得以任何方式转包或分包本项目，违者视为违约，采购人将追究当事人责任，并追偿相应损失。</w:t>
            </w:r>
          </w:p>
          <w:p w14:paraId="54770FB1">
            <w:pPr>
              <w:pStyle w:val="5"/>
              <w:widowControl w:val="0"/>
              <w:kinsoku/>
              <w:autoSpaceDN/>
              <w:adjustRightInd/>
              <w:snapToGrid/>
              <w:spacing w:before="0" w:beforeAutospacing="0" w:after="0" w:afterAutospacing="0"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 报价文件中标注“★”的内容条款，均为重要的响应要求、技术指标要求及性能要求。报价人须对此作出明确响应并完全满足，不得存在任何负偏离，否则将被认定为无效报价。</w:t>
            </w:r>
          </w:p>
          <w:p w14:paraId="73EF4E17">
            <w:pPr>
              <w:pStyle w:val="5"/>
              <w:widowControl w:val="0"/>
              <w:kinsoku/>
              <w:autoSpaceDN/>
              <w:adjustRightInd/>
              <w:snapToGrid/>
              <w:spacing w:before="0" w:beforeAutospacing="0" w:after="0" w:afterAutospacing="0" w:line="240" w:lineRule="exact"/>
              <w:rPr>
                <w:rFonts w:ascii="宋体" w:hAnsi="宋体" w:eastAsia="宋体" w:cs="宋体"/>
                <w:sz w:val="18"/>
                <w:szCs w:val="18"/>
              </w:rPr>
            </w:pPr>
            <w:r>
              <w:rPr>
                <w:rFonts w:hint="eastAsia" w:ascii="宋体" w:hAnsi="宋体" w:eastAsia="宋体" w:cs="宋体"/>
                <w:sz w:val="18"/>
                <w:szCs w:val="18"/>
                <w:lang w:val="en-US" w:eastAsia="zh-CN"/>
              </w:rPr>
              <w:t>7. 本次采购仅开展供应商供货资格招标，本次招标为协议供货资格的取得，不代表货物已确定采购，采购人无法预计也无法保证向成交供应商采购的数量。采购人根据本单位实际使用需求下单采购，成交供应商不得对采购人采购货物数量提出要求或质疑。本项目所列采购数量为一年内预计发生量，结算以实际发生量为准。</w:t>
            </w:r>
          </w:p>
        </w:tc>
        <w:tc>
          <w:tcPr>
            <w:tcW w:w="1410" w:type="dxa"/>
          </w:tcPr>
          <w:p w14:paraId="03ED26DE">
            <w:pPr>
              <w:pStyle w:val="11"/>
              <w:rPr>
                <w:rFonts w:ascii="宋体" w:hAnsi="宋体" w:eastAsia="宋体" w:cs="宋体"/>
                <w:sz w:val="18"/>
                <w:szCs w:val="18"/>
                <w:lang w:eastAsia="zh-CN"/>
              </w:rPr>
            </w:pPr>
          </w:p>
        </w:tc>
        <w:tc>
          <w:tcPr>
            <w:tcW w:w="1065" w:type="dxa"/>
          </w:tcPr>
          <w:p w14:paraId="314D7EEC">
            <w:pPr>
              <w:pStyle w:val="11"/>
              <w:rPr>
                <w:rFonts w:ascii="宋体" w:hAnsi="宋体" w:eastAsia="宋体" w:cs="宋体"/>
                <w:sz w:val="18"/>
                <w:szCs w:val="18"/>
                <w:lang w:eastAsia="zh-CN"/>
              </w:rPr>
            </w:pPr>
          </w:p>
        </w:tc>
        <w:tc>
          <w:tcPr>
            <w:tcW w:w="1065" w:type="dxa"/>
          </w:tcPr>
          <w:p w14:paraId="0A9D39B5">
            <w:pPr>
              <w:pStyle w:val="11"/>
              <w:rPr>
                <w:rFonts w:ascii="宋体" w:hAnsi="宋体" w:eastAsia="宋体" w:cs="宋体"/>
                <w:sz w:val="18"/>
                <w:szCs w:val="18"/>
                <w:lang w:eastAsia="zh-CN"/>
              </w:rPr>
            </w:pPr>
          </w:p>
        </w:tc>
      </w:tr>
      <w:tr w14:paraId="140536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661" w:type="dxa"/>
            <w:vAlign w:val="center"/>
          </w:tcPr>
          <w:p w14:paraId="6B8C066E">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475" w:type="dxa"/>
          </w:tcPr>
          <w:p w14:paraId="55938B8E">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二、供应商资格</w:t>
            </w:r>
          </w:p>
          <w:p w14:paraId="5ACDE02B">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1. 响应供应商须为在中华人民共和国境内依法注册，能够独立承担民事责任的企业法人、其他组织或自然人。若分支机构参与投标，须提供总公司的营业执照复印件及分公司营业执照复印件，并附具总公司出具给分支机构的有效授权书。</w:t>
            </w:r>
          </w:p>
          <w:p w14:paraId="6C49A67E">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2. 响应供应商须持有合法有效的营业执照，且经营范围须包含办公设备、计算机及耗材销售</w:t>
            </w:r>
            <w:r>
              <w:rPr>
                <w:rFonts w:hint="eastAsia" w:ascii="宋体" w:hAnsi="宋体" w:eastAsia="宋体" w:cs="宋体"/>
                <w:sz w:val="18"/>
                <w:szCs w:val="18"/>
                <w:lang w:val="en-US" w:eastAsia="zh-CN"/>
              </w:rPr>
              <w:t>等</w:t>
            </w:r>
            <w:r>
              <w:rPr>
                <w:rFonts w:hint="default" w:ascii="宋体" w:hAnsi="宋体" w:eastAsia="宋体" w:cs="宋体"/>
                <w:sz w:val="18"/>
                <w:szCs w:val="18"/>
                <w:lang w:val="en-US" w:eastAsia="zh-CN"/>
              </w:rPr>
              <w:t>相关经营项目。</w:t>
            </w:r>
          </w:p>
          <w:p w14:paraId="40E0F06B">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3. 响应供应商须具备相应的项目承接能力、合同履约能力及售后服务能力</w:t>
            </w:r>
            <w:r>
              <w:rPr>
                <w:rFonts w:hint="eastAsia" w:ascii="宋体" w:hAnsi="宋体" w:eastAsia="宋体" w:cs="宋体"/>
                <w:sz w:val="18"/>
                <w:szCs w:val="18"/>
                <w:lang w:val="en-US" w:eastAsia="zh-CN"/>
              </w:rPr>
              <w:t>，</w:t>
            </w:r>
            <w:r>
              <w:rPr>
                <w:rFonts w:hint="default" w:ascii="宋体" w:hAnsi="宋体" w:eastAsia="宋体" w:cs="宋体"/>
                <w:sz w:val="18"/>
                <w:szCs w:val="18"/>
                <w:lang w:val="en-US" w:eastAsia="zh-CN"/>
              </w:rPr>
              <w:t>确保所提供产品品质可靠，符合国家相关标准与规定</w:t>
            </w:r>
            <w:r>
              <w:rPr>
                <w:rFonts w:hint="eastAsia" w:ascii="宋体" w:hAnsi="宋体" w:eastAsia="宋体" w:cs="宋体"/>
                <w:sz w:val="18"/>
                <w:szCs w:val="18"/>
                <w:lang w:val="en-US" w:eastAsia="zh-CN"/>
              </w:rPr>
              <w:t>，并</w:t>
            </w:r>
            <w:r>
              <w:rPr>
                <w:rFonts w:hint="default" w:ascii="宋体" w:hAnsi="宋体" w:eastAsia="宋体" w:cs="宋体"/>
                <w:sz w:val="18"/>
                <w:szCs w:val="18"/>
                <w:lang w:val="en-US" w:eastAsia="zh-CN"/>
              </w:rPr>
              <w:t>具备稳定的供货渠道和充足的库存，以保证及时供应。</w:t>
            </w:r>
          </w:p>
          <w:p w14:paraId="19EF641F">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4. 响应供应商须具备良好的商业信誉和健全的财务会计制度，并依法履行纳税及缴纳社会保障资金的义务。</w:t>
            </w:r>
          </w:p>
          <w:p w14:paraId="1264D6AD">
            <w:pPr>
              <w:widowControl w:val="0"/>
              <w:spacing w:line="240" w:lineRule="exact"/>
              <w:rPr>
                <w:rFonts w:ascii="宋体" w:hAnsi="宋体" w:eastAsia="宋体" w:cs="宋体"/>
                <w:sz w:val="18"/>
                <w:szCs w:val="18"/>
                <w:lang w:eastAsia="zh-CN"/>
              </w:rPr>
            </w:pPr>
            <w:r>
              <w:rPr>
                <w:rFonts w:hint="default" w:ascii="宋体" w:hAnsi="宋体" w:eastAsia="宋体" w:cs="宋体"/>
                <w:sz w:val="18"/>
                <w:szCs w:val="18"/>
                <w:lang w:val="en-US" w:eastAsia="zh-CN"/>
              </w:rPr>
              <w:t>5. 响应供应商在参与公开招标活动中不得存在违法违纪行为并受到处罚，亦不得存在围标、串标等违规行为。</w:t>
            </w:r>
          </w:p>
        </w:tc>
        <w:tc>
          <w:tcPr>
            <w:tcW w:w="1410" w:type="dxa"/>
          </w:tcPr>
          <w:p w14:paraId="69CF45F5">
            <w:pPr>
              <w:pStyle w:val="11"/>
              <w:rPr>
                <w:rFonts w:ascii="宋体" w:hAnsi="宋体" w:eastAsia="宋体" w:cs="宋体"/>
                <w:sz w:val="18"/>
                <w:szCs w:val="18"/>
                <w:lang w:eastAsia="zh-CN"/>
              </w:rPr>
            </w:pPr>
          </w:p>
        </w:tc>
        <w:tc>
          <w:tcPr>
            <w:tcW w:w="1065" w:type="dxa"/>
          </w:tcPr>
          <w:p w14:paraId="4B1E84E1">
            <w:pPr>
              <w:pStyle w:val="11"/>
              <w:rPr>
                <w:rFonts w:ascii="宋体" w:hAnsi="宋体" w:eastAsia="宋体" w:cs="宋体"/>
                <w:sz w:val="18"/>
                <w:szCs w:val="18"/>
                <w:lang w:eastAsia="zh-CN"/>
              </w:rPr>
            </w:pPr>
          </w:p>
        </w:tc>
        <w:tc>
          <w:tcPr>
            <w:tcW w:w="1065" w:type="dxa"/>
          </w:tcPr>
          <w:p w14:paraId="050D5957">
            <w:pPr>
              <w:pStyle w:val="11"/>
              <w:rPr>
                <w:rFonts w:ascii="宋体" w:hAnsi="宋体" w:eastAsia="宋体" w:cs="宋体"/>
                <w:sz w:val="18"/>
                <w:szCs w:val="18"/>
                <w:lang w:eastAsia="zh-CN"/>
              </w:rPr>
            </w:pPr>
          </w:p>
        </w:tc>
      </w:tr>
      <w:tr w14:paraId="7C20B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661" w:type="dxa"/>
            <w:vAlign w:val="center"/>
          </w:tcPr>
          <w:p w14:paraId="002DA8E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475" w:type="dxa"/>
          </w:tcPr>
          <w:p w14:paraId="283254B8">
            <w:pPr>
              <w:widowControl w:val="0"/>
              <w:spacing w:line="240" w:lineRule="exact"/>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三、响应报价要求</w:t>
            </w:r>
          </w:p>
          <w:p w14:paraId="7AE864A1">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 xml:space="preserve">1. 统一下浮率填报要求 </w:t>
            </w:r>
          </w:p>
          <w:p w14:paraId="63B1ECFB">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响应供应商应针对项目预算中第（1）、（2）项内容，报出一个统一的下浮率。第（2）项所附附件一《信息类设备维修配件及耗材目录</w:t>
            </w:r>
            <w:r>
              <w:rPr>
                <w:rFonts w:hint="eastAsia" w:ascii="宋体" w:hAnsi="宋体" w:eastAsia="宋体" w:cs="宋体"/>
                <w:sz w:val="18"/>
                <w:szCs w:val="18"/>
                <w:lang w:val="en-US" w:eastAsia="zh-CN"/>
              </w:rPr>
              <w:t>采购</w:t>
            </w:r>
            <w:r>
              <w:rPr>
                <w:rFonts w:hint="default" w:ascii="宋体" w:hAnsi="宋体" w:eastAsia="宋体" w:cs="宋体"/>
                <w:sz w:val="18"/>
                <w:szCs w:val="18"/>
                <w:lang w:val="en-US" w:eastAsia="zh-CN"/>
              </w:rPr>
              <w:t>清单》所列各项单价的最高限价，应在此基础上统一下浮；下浮后的单价即为合同期内的最终价格，合同期内不随市场同类商品价格变动而调整。凡超出该单价范围的报价，均视为无效响应。</w:t>
            </w:r>
          </w:p>
          <w:p w14:paraId="607FDFC2">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 xml:space="preserve">2. 供货价格计算公式 </w:t>
            </w:r>
          </w:p>
          <w:p w14:paraId="413B87C2">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 xml:space="preserve">电脑、打印机等办公设备维修配件及耗材的供货价格，按以下公式计算：供货单价 = 最高单价限价 ×（1 </w:t>
            </w:r>
            <w:r>
              <w:rPr>
                <w:rFonts w:hint="eastAsia" w:ascii="宋体" w:hAnsi="宋体" w:eastAsia="宋体" w:cs="宋体"/>
                <w:sz w:val="18"/>
                <w:szCs w:val="18"/>
                <w:lang w:val="en-US" w:eastAsia="zh-CN"/>
              </w:rPr>
              <w:t>-</w:t>
            </w:r>
            <w:r>
              <w:rPr>
                <w:rFonts w:hint="default" w:ascii="宋体" w:hAnsi="宋体" w:eastAsia="宋体" w:cs="宋体"/>
                <w:sz w:val="18"/>
                <w:szCs w:val="18"/>
                <w:lang w:val="en-US" w:eastAsia="zh-CN"/>
              </w:rPr>
              <w:t xml:space="preserve"> 成交下浮率），计算结果四舍五入保留至小数点后两位。</w:t>
            </w:r>
          </w:p>
          <w:p w14:paraId="6E4CDA99">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 xml:space="preserve">3. 清单外配件及耗材定价 </w:t>
            </w:r>
          </w:p>
          <w:p w14:paraId="30275BC3">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《信息类设备维修配件及耗材目录</w:t>
            </w:r>
            <w:r>
              <w:rPr>
                <w:rFonts w:hint="eastAsia" w:ascii="宋体" w:hAnsi="宋体" w:eastAsia="宋体" w:cs="宋体"/>
                <w:sz w:val="18"/>
                <w:szCs w:val="18"/>
                <w:lang w:val="en-US" w:eastAsia="zh-CN"/>
              </w:rPr>
              <w:t>采购</w:t>
            </w:r>
            <w:r>
              <w:rPr>
                <w:rFonts w:hint="default" w:ascii="宋体" w:hAnsi="宋体" w:eastAsia="宋体" w:cs="宋体"/>
                <w:sz w:val="18"/>
                <w:szCs w:val="18"/>
                <w:lang w:val="en-US" w:eastAsia="zh-CN"/>
              </w:rPr>
              <w:t>清单》之外的配件或耗材，不适用上述成交下浮率的计算方式，其价格以电商平台京东自营店当前报价为准。</w:t>
            </w:r>
          </w:p>
          <w:p w14:paraId="423056A9">
            <w:pPr>
              <w:widowControl w:val="0"/>
              <w:spacing w:line="240" w:lineRule="exact"/>
              <w:rPr>
                <w:rFonts w:ascii="宋体" w:hAnsi="宋体" w:eastAsia="宋体" w:cs="宋体"/>
                <w:sz w:val="18"/>
                <w:szCs w:val="18"/>
                <w:lang w:eastAsia="zh-CN"/>
              </w:rPr>
            </w:pPr>
            <w:r>
              <w:rPr>
                <w:rFonts w:hint="eastAsia" w:ascii="宋体" w:hAnsi="宋体" w:eastAsia="宋体" w:cs="宋体"/>
                <w:sz w:val="18"/>
                <w:szCs w:val="18"/>
                <w:lang w:val="en-US" w:eastAsia="zh-CN"/>
              </w:rPr>
              <w:t>4. 报价次数：1次。</w:t>
            </w:r>
          </w:p>
        </w:tc>
        <w:tc>
          <w:tcPr>
            <w:tcW w:w="1410" w:type="dxa"/>
          </w:tcPr>
          <w:p w14:paraId="50520806">
            <w:pPr>
              <w:pStyle w:val="11"/>
              <w:rPr>
                <w:rFonts w:ascii="宋体" w:hAnsi="宋体" w:eastAsia="宋体" w:cs="宋体"/>
                <w:sz w:val="18"/>
                <w:szCs w:val="18"/>
                <w:lang w:eastAsia="zh-CN"/>
              </w:rPr>
            </w:pPr>
          </w:p>
        </w:tc>
        <w:tc>
          <w:tcPr>
            <w:tcW w:w="1065" w:type="dxa"/>
          </w:tcPr>
          <w:p w14:paraId="27AC7BB1">
            <w:pPr>
              <w:pStyle w:val="11"/>
              <w:rPr>
                <w:rFonts w:ascii="宋体" w:hAnsi="宋体" w:eastAsia="宋体" w:cs="宋体"/>
                <w:sz w:val="18"/>
                <w:szCs w:val="18"/>
                <w:lang w:eastAsia="zh-CN"/>
              </w:rPr>
            </w:pPr>
          </w:p>
        </w:tc>
        <w:tc>
          <w:tcPr>
            <w:tcW w:w="1065" w:type="dxa"/>
          </w:tcPr>
          <w:p w14:paraId="714423AC">
            <w:pPr>
              <w:pStyle w:val="11"/>
              <w:rPr>
                <w:rFonts w:ascii="宋体" w:hAnsi="宋体" w:eastAsia="宋体" w:cs="宋体"/>
                <w:sz w:val="18"/>
                <w:szCs w:val="18"/>
                <w:lang w:eastAsia="zh-CN"/>
              </w:rPr>
            </w:pPr>
          </w:p>
        </w:tc>
      </w:tr>
      <w:tr w14:paraId="18DFE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661" w:type="dxa"/>
            <w:vAlign w:val="center"/>
          </w:tcPr>
          <w:p w14:paraId="71310ABA">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475" w:type="dxa"/>
          </w:tcPr>
          <w:p w14:paraId="70D12272">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四、项目要求</w:t>
            </w:r>
          </w:p>
          <w:p w14:paraId="3C0CB6E1">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（一）维护内容</w:t>
            </w:r>
          </w:p>
          <w:p w14:paraId="785A354F">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1. ★驻场人员配置要求：成交服务商须派驻1 - 2名相对固定专职技术人员提供驻场服务；驻场时间为每天上午 8:00 - 12:00，均需按时到岗签到，服从我院信息科统一管理，不得随意脱岗、换岗或缺勤。遇特殊情况无法正常到岗的，须提前报备，由双方协商妥善安排替代人员或补位方案。服务内容包括主动排查系统隐患、快速处置故障，保障业务稳定运行。</w:t>
            </w:r>
          </w:p>
          <w:p w14:paraId="0162BFF9">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2. 定期检查常用办公设备的运行状态，确保设备正常工作。</w:t>
            </w:r>
          </w:p>
          <w:p w14:paraId="38526EBD">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3. 对办公设备进行必要的清洁和保养工作。</w:t>
            </w:r>
          </w:p>
          <w:p w14:paraId="1A331002">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4. 及时发现并解决办公设备运行中出现的问题，包括硬件故障、软件故障等。</w:t>
            </w:r>
          </w:p>
          <w:p w14:paraId="214B33FE">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5. 提供紧急维修服务，确保在出现故障时能够迅速响应并解决问题。</w:t>
            </w:r>
          </w:p>
          <w:p w14:paraId="7357147A">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（二）维护周期</w:t>
            </w:r>
          </w:p>
          <w:p w14:paraId="2C8DEE5B">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常用办公设备每季度进行一次全面检查并出具维护报告，同时根据设备使用情况及制造商推荐的维护周期开展定期检查与维护。</w:t>
            </w:r>
          </w:p>
          <w:p w14:paraId="71EE245A">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（三）★维护时间要求</w:t>
            </w:r>
          </w:p>
          <w:p w14:paraId="273DF4D1">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1. 遇紧急情况，应在30分钟内安排技术人员到场处理。</w:t>
            </w:r>
          </w:p>
          <w:p w14:paraId="5872A70F">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2. 维护工作应在不影响院内正常工作和生活秩序的前提下开展。</w:t>
            </w:r>
          </w:p>
          <w:p w14:paraId="5541E549">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3. 维护时间应避开使用高峰时段，原则上安排在工作日的非工作时间或周末进行。</w:t>
            </w:r>
          </w:p>
          <w:p w14:paraId="1B08154A">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【供应商须针对上述维护时间要求提供承诺函，格式自拟】</w:t>
            </w:r>
          </w:p>
          <w:p w14:paraId="1C6521B8">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（四）维护人员技术要求</w:t>
            </w:r>
          </w:p>
          <w:p w14:paraId="04E883D5">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1. 维护人员须具备大专及以上学历，且为计算机相关专业毕业，并具有3年以上计算机方面工作经验，能独立完成各项维护任务。【需提供相关证书及佐证材料】</w:t>
            </w:r>
          </w:p>
          <w:p w14:paraId="6390B7AF">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2. 维护人员应具备良好的服务意识，能够及时响应用户需求，并提供专业建议。</w:t>
            </w:r>
          </w:p>
          <w:p w14:paraId="34266A55">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3. 办公设备维护费用根据实际维修情况另行计算。</w:t>
            </w:r>
          </w:p>
          <w:p w14:paraId="67E3B3BB">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4. 维护人员须于每月10日前向采购人提交上一个月的维修、更换及采购报告。</w:t>
            </w:r>
          </w:p>
          <w:p w14:paraId="6EAFFD9E">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（五）维护报告要求</w:t>
            </w:r>
          </w:p>
          <w:p w14:paraId="6C6B077A">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1. 维护完成后，维护人员应提供详细的维护报告，包括维护内容、发现的问题及解决方案等。</w:t>
            </w:r>
          </w:p>
          <w:p w14:paraId="638A4F7D">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2. 维护报告应提交给院方负责人，并存档备案。</w:t>
            </w:r>
          </w:p>
          <w:p w14:paraId="47C2AD9F">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（六）其他要求</w:t>
            </w:r>
          </w:p>
          <w:p w14:paraId="6ACF9D72">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1. 供应商应定期提供产品更新信息，以便采购方及时掌握并采购新产品。</w:t>
            </w:r>
          </w:p>
          <w:p w14:paraId="6A8AA4BA">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2. 在采购过程中，若出现产品质量问题或售后服务不达标等情况，采购方有权终止合同并追究供应商的责任。</w:t>
            </w:r>
          </w:p>
          <w:p w14:paraId="5379ADE3">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3. 维护服务商应确保维护工作的质量和安全，遵守院内的相关规章制度。</w:t>
            </w:r>
          </w:p>
          <w:p w14:paraId="77D8DC8B">
            <w:pPr>
              <w:widowControl w:val="0"/>
              <w:spacing w:line="240" w:lineRule="exact"/>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t>4. 维护服务商应提供完善的售后服务，确保在维护周期内提供必要的技术支持和咨询服务。</w:t>
            </w:r>
          </w:p>
        </w:tc>
        <w:tc>
          <w:tcPr>
            <w:tcW w:w="1410" w:type="dxa"/>
          </w:tcPr>
          <w:p w14:paraId="1976FE37">
            <w:pPr>
              <w:pStyle w:val="11"/>
              <w:rPr>
                <w:rFonts w:ascii="宋体" w:hAnsi="宋体" w:eastAsia="宋体" w:cs="宋体"/>
                <w:sz w:val="18"/>
                <w:szCs w:val="18"/>
                <w:lang w:eastAsia="zh-CN"/>
              </w:rPr>
            </w:pPr>
          </w:p>
        </w:tc>
        <w:tc>
          <w:tcPr>
            <w:tcW w:w="1065" w:type="dxa"/>
          </w:tcPr>
          <w:p w14:paraId="23D2CAC8">
            <w:pPr>
              <w:pStyle w:val="11"/>
              <w:rPr>
                <w:rFonts w:ascii="宋体" w:hAnsi="宋体" w:eastAsia="宋体" w:cs="宋体"/>
                <w:sz w:val="18"/>
                <w:szCs w:val="18"/>
                <w:lang w:eastAsia="zh-CN"/>
              </w:rPr>
            </w:pPr>
          </w:p>
        </w:tc>
        <w:tc>
          <w:tcPr>
            <w:tcW w:w="1065" w:type="dxa"/>
          </w:tcPr>
          <w:p w14:paraId="6941F157">
            <w:pPr>
              <w:pStyle w:val="11"/>
              <w:rPr>
                <w:rFonts w:ascii="宋体" w:hAnsi="宋体" w:eastAsia="宋体" w:cs="宋体"/>
                <w:sz w:val="18"/>
                <w:szCs w:val="18"/>
                <w:lang w:eastAsia="zh-CN"/>
              </w:rPr>
            </w:pPr>
          </w:p>
        </w:tc>
      </w:tr>
      <w:tr w14:paraId="1E183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468" w:hRule="atLeast"/>
        </w:trPr>
        <w:tc>
          <w:tcPr>
            <w:tcW w:w="661" w:type="dxa"/>
            <w:vAlign w:val="center"/>
          </w:tcPr>
          <w:p w14:paraId="2322AC9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475" w:type="dxa"/>
          </w:tcPr>
          <w:p w14:paraId="67154ABF">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五、验收要求</w:t>
            </w:r>
          </w:p>
          <w:p w14:paraId="2DF78E15">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 成交供应商将货物运送至采购人指定地点后，由采购人依据采购合同及相关采购文件的要求进行核对，并按照国家有关法律法规及质量标准，对货物的规格参数与质量进行验收。</w:t>
            </w:r>
          </w:p>
          <w:p w14:paraId="3B39B00C">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val="en-US" w:eastAsia="zh-CN"/>
              </w:rPr>
              <w:t>2. 货物在验收过程中，若发现所交付货物存在短缺、次品、损坏或其他不符合采购文件及合同规定之情形，采购人有权拒付该批货物的费用，由此产生的一切费用和损失由成交供应商承担。</w:t>
            </w:r>
          </w:p>
          <w:p w14:paraId="7A2D16C8">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val="en-US" w:eastAsia="zh-CN"/>
              </w:rPr>
              <w:t>3. 所有货物在使用过程中，若发现以次充好或使用假冒伪劣产品等情形，成交供应商除须无条件更换货物外，采购人还将按成交货物价格乘以更换货物数量之总值的5倍金额，从成交供应商当月货款中予以扣除。此类情况发生超过3次的，全部履约保证金不予退还，采购人有权单方终止合同。</w:t>
            </w:r>
          </w:p>
          <w:p w14:paraId="7547017D">
            <w:pPr>
              <w:widowControl w:val="0"/>
              <w:spacing w:line="240" w:lineRule="exac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 ★因质量问题发生争议时，由地级市或以上的质检部门进行相关鉴定，鉴定费用由成交供应商先行垫付，鉴定结果符合质量技术要求，发生的所有鉴定费由采购人承担；鉴定结果不符合质量技术要求，发生的所有鉴定费由成交供应商承担。【供应商须针对上述要求提供承诺函，格式自拟】</w:t>
            </w:r>
          </w:p>
          <w:p w14:paraId="68522DB9">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val="en-US" w:eastAsia="zh-CN"/>
              </w:rPr>
              <w:t>5. 若成交供应商提供的产品发生知识产权纠纷，由成交供应商负责处理并与原知识产权所有者协商解决，采购人不承担与之相关的任何经济及法律责任。</w:t>
            </w:r>
          </w:p>
          <w:p w14:paraId="6A390D2C">
            <w:pPr>
              <w:widowControl w:val="0"/>
              <w:spacing w:line="240" w:lineRule="exact"/>
              <w:rPr>
                <w:rFonts w:hint="eastAsia" w:ascii="宋体" w:hAnsi="宋体" w:eastAsia="宋体" w:cs="宋体"/>
                <w:sz w:val="18"/>
                <w:szCs w:val="18"/>
                <w:lang w:eastAsia="zh-CN"/>
              </w:rPr>
            </w:pPr>
            <w:r>
              <w:rPr>
                <w:rFonts w:hint="eastAsia" w:ascii="宋体" w:hAnsi="宋体" w:eastAsia="宋体" w:cs="宋体"/>
                <w:sz w:val="18"/>
                <w:szCs w:val="18"/>
                <w:lang w:val="en-US" w:eastAsia="zh-CN"/>
              </w:rPr>
              <w:t>6. 成交供应商所提供产品须符合国家有关规范、环保要求及采购人的技术要求。所有货物及服务不得侵犯第三方专利、商标或版权等知识产权。否则，成交供应商须承担对第三方的侵权责任，并承担由此发生的一切费用。</w:t>
            </w:r>
          </w:p>
          <w:p w14:paraId="42252FD2">
            <w:pPr>
              <w:widowControl w:val="0"/>
              <w:spacing w:line="240" w:lineRule="exact"/>
              <w:rPr>
                <w:rFonts w:ascii="宋体" w:hAnsi="宋体" w:eastAsia="宋体" w:cs="宋体"/>
                <w:sz w:val="18"/>
                <w:szCs w:val="18"/>
                <w:lang w:eastAsia="zh-CN"/>
              </w:rPr>
            </w:pPr>
            <w:r>
              <w:rPr>
                <w:rFonts w:hint="eastAsia" w:ascii="宋体" w:hAnsi="宋体" w:eastAsia="宋体" w:cs="宋体"/>
                <w:sz w:val="18"/>
                <w:szCs w:val="18"/>
                <w:lang w:val="en-US" w:eastAsia="zh-CN"/>
              </w:rPr>
              <w:t>7. 成交供应商不得经营未经注册、无合格证明、过期、失效或淘汰的产品。如因产品质量原因造成的一切损失，由成交供应商承担全部责任。</w:t>
            </w:r>
          </w:p>
        </w:tc>
        <w:tc>
          <w:tcPr>
            <w:tcW w:w="1410" w:type="dxa"/>
          </w:tcPr>
          <w:p w14:paraId="556D3F97">
            <w:pPr>
              <w:pStyle w:val="11"/>
              <w:rPr>
                <w:rFonts w:ascii="宋体" w:hAnsi="宋体" w:eastAsia="宋体" w:cs="宋体"/>
                <w:sz w:val="18"/>
                <w:szCs w:val="18"/>
                <w:lang w:eastAsia="zh-CN"/>
              </w:rPr>
            </w:pPr>
          </w:p>
        </w:tc>
        <w:tc>
          <w:tcPr>
            <w:tcW w:w="1065" w:type="dxa"/>
          </w:tcPr>
          <w:p w14:paraId="59D2077F">
            <w:pPr>
              <w:pStyle w:val="11"/>
              <w:rPr>
                <w:rFonts w:ascii="宋体" w:hAnsi="宋体" w:eastAsia="宋体" w:cs="宋体"/>
                <w:sz w:val="18"/>
                <w:szCs w:val="18"/>
                <w:lang w:eastAsia="zh-CN"/>
              </w:rPr>
            </w:pPr>
          </w:p>
        </w:tc>
        <w:tc>
          <w:tcPr>
            <w:tcW w:w="1065" w:type="dxa"/>
          </w:tcPr>
          <w:p w14:paraId="788F44CC">
            <w:pPr>
              <w:pStyle w:val="11"/>
              <w:rPr>
                <w:rFonts w:ascii="宋体" w:hAnsi="宋体" w:eastAsia="宋体" w:cs="宋体"/>
                <w:sz w:val="18"/>
                <w:szCs w:val="18"/>
                <w:lang w:eastAsia="zh-CN"/>
              </w:rPr>
            </w:pPr>
          </w:p>
        </w:tc>
      </w:tr>
      <w:tr w14:paraId="2CDD0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66" w:hRule="atLeast"/>
        </w:trPr>
        <w:tc>
          <w:tcPr>
            <w:tcW w:w="661" w:type="dxa"/>
            <w:vAlign w:val="center"/>
          </w:tcPr>
          <w:p w14:paraId="728B2294">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475" w:type="dxa"/>
          </w:tcPr>
          <w:p w14:paraId="3535AFC9">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六、违约责任条款</w:t>
            </w:r>
          </w:p>
          <w:p w14:paraId="30465C83">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1. 成交供应商提供的货物须为原厂原装正规品牌的合格产品，符合国家及行业相关标准，并满足本项目采购文件要求及报价文件中的承诺。如不符合上述要求，成交供应商须按不合格货物合同价款的10%向采购人支付赔偿，且须限期更换符合要求的新货物；逾期未更换的，采购人有权无条件退货。情节严重的，采购人有权单方面终止合同，由此产生的一切损失均由成交供应商承担。</w:t>
            </w:r>
          </w:p>
          <w:p w14:paraId="0F29FB02">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2. 成交供应商不得转包、分包，一经发现将取消其供货资格并收取成交供应商合同金额的5%作为违约责任金。</w:t>
            </w:r>
          </w:p>
          <w:p w14:paraId="21BC9B41">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3. 采购周期未满一年或结算金额未达到采购预算，成交供应商自行终止合同的，采购人有权取消其供货资格，并收取成交供应商合同金额的5%作为违约责任金。</w:t>
            </w:r>
          </w:p>
          <w:p w14:paraId="34D1EE0F">
            <w:pPr>
              <w:widowControl w:val="0"/>
              <w:spacing w:line="240" w:lineRule="exact"/>
              <w:rPr>
                <w:rFonts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val="en-US" w:eastAsia="zh-CN" w:bidi="ar"/>
              </w:rPr>
              <w:t>4. 成交供应商须按采购人规定的品种、材料、规格、时间等要求供货。否则，采购人有权退货、拒付货款，甚至终止合同，或另行委托其他供货商供货，由此产生的费用由成交供应商承担，且其须赔偿因此造成的经济损失。同时，采购人有权视情节轻重，采取警告、收取成交供应商合同金额的2%作为违约责任金、终止合同等处理措施。</w:t>
            </w:r>
          </w:p>
        </w:tc>
        <w:tc>
          <w:tcPr>
            <w:tcW w:w="1410" w:type="dxa"/>
          </w:tcPr>
          <w:p w14:paraId="309C6D61">
            <w:pPr>
              <w:pStyle w:val="11"/>
              <w:rPr>
                <w:rFonts w:ascii="宋体" w:hAnsi="宋体" w:eastAsia="宋体" w:cs="宋体"/>
                <w:sz w:val="18"/>
                <w:szCs w:val="18"/>
                <w:lang w:eastAsia="zh-CN"/>
              </w:rPr>
            </w:pPr>
          </w:p>
        </w:tc>
        <w:tc>
          <w:tcPr>
            <w:tcW w:w="1065" w:type="dxa"/>
          </w:tcPr>
          <w:p w14:paraId="3DA9A9F7">
            <w:pPr>
              <w:pStyle w:val="11"/>
              <w:rPr>
                <w:rFonts w:ascii="宋体" w:hAnsi="宋体" w:eastAsia="宋体" w:cs="宋体"/>
                <w:sz w:val="18"/>
                <w:szCs w:val="18"/>
                <w:lang w:eastAsia="zh-CN"/>
              </w:rPr>
            </w:pPr>
          </w:p>
        </w:tc>
        <w:tc>
          <w:tcPr>
            <w:tcW w:w="1065" w:type="dxa"/>
          </w:tcPr>
          <w:p w14:paraId="3217B854">
            <w:pPr>
              <w:pStyle w:val="11"/>
              <w:rPr>
                <w:rFonts w:ascii="宋体" w:hAnsi="宋体" w:eastAsia="宋体" w:cs="宋体"/>
                <w:sz w:val="18"/>
                <w:szCs w:val="18"/>
                <w:lang w:eastAsia="zh-CN"/>
              </w:rPr>
            </w:pPr>
          </w:p>
        </w:tc>
      </w:tr>
      <w:tr w14:paraId="1286B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661" w:type="dxa"/>
            <w:vAlign w:val="center"/>
          </w:tcPr>
          <w:p w14:paraId="78851C2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475" w:type="dxa"/>
          </w:tcPr>
          <w:p w14:paraId="6591D892">
            <w:pPr>
              <w:widowControl w:val="0"/>
              <w:spacing w:line="240" w:lineRule="exact"/>
              <w:rPr>
                <w:rFonts w:hint="eastAsia"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val="en-US" w:eastAsia="zh-CN" w:bidi="ar"/>
              </w:rPr>
              <w:t>七、付款</w:t>
            </w:r>
            <w:r>
              <w:rPr>
                <w:rFonts w:hint="eastAsia" w:ascii="宋体" w:hAnsi="宋体" w:eastAsia="宋体" w:cs="宋体"/>
                <w:color w:val="auto"/>
                <w:sz w:val="18"/>
                <w:szCs w:val="18"/>
                <w:shd w:val="clear" w:color="auto" w:fill="FFFFFF"/>
                <w:lang w:eastAsia="zh-CN" w:bidi="ar"/>
              </w:rPr>
              <w:t>方式</w:t>
            </w:r>
          </w:p>
          <w:p w14:paraId="757C528E">
            <w:pPr>
              <w:widowControl w:val="0"/>
              <w:spacing w:line="240" w:lineRule="exact"/>
              <w:rPr>
                <w:rFonts w:hint="eastAsia"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val="en-US" w:eastAsia="zh-CN" w:bidi="ar"/>
              </w:rPr>
              <w:t>1</w:t>
            </w:r>
            <w:r>
              <w:rPr>
                <w:rFonts w:hint="eastAsia" w:ascii="宋体" w:hAnsi="宋体" w:eastAsia="宋体" w:cs="宋体"/>
                <w:color w:val="auto"/>
                <w:sz w:val="18"/>
                <w:szCs w:val="18"/>
                <w:shd w:val="clear" w:color="auto" w:fill="FFFFFF"/>
                <w:lang w:eastAsia="zh-CN" w:bidi="ar"/>
              </w:rPr>
              <w:t>.</w:t>
            </w:r>
            <w:r>
              <w:rPr>
                <w:rFonts w:hint="eastAsia" w:ascii="宋体" w:hAnsi="宋体" w:eastAsia="宋体" w:cs="宋体"/>
                <w:color w:val="auto"/>
                <w:sz w:val="18"/>
                <w:szCs w:val="18"/>
                <w:shd w:val="clear" w:color="auto" w:fill="FFFFFF"/>
                <w:lang w:val="en-US" w:eastAsia="zh-CN" w:bidi="ar"/>
              </w:rPr>
              <w:t xml:space="preserve"> </w:t>
            </w:r>
            <w:r>
              <w:rPr>
                <w:rFonts w:hint="eastAsia" w:ascii="宋体" w:hAnsi="宋体" w:eastAsia="宋体" w:cs="宋体"/>
                <w:color w:val="auto"/>
                <w:sz w:val="18"/>
                <w:szCs w:val="18"/>
                <w:shd w:val="clear" w:color="auto" w:fill="FFFFFF"/>
                <w:lang w:eastAsia="zh-CN" w:bidi="ar"/>
              </w:rPr>
              <w:t>每月成交供应商凭采购人与成交供应商双方共同确认的维修单及等额的有效发票，向采购人申请支付款项。所提供发票的收款方、出具发票方及合同乙方名称，均须与成交供应商名称一致。</w:t>
            </w:r>
          </w:p>
          <w:p w14:paraId="4279EC4C">
            <w:pPr>
              <w:widowControl w:val="0"/>
              <w:spacing w:line="240" w:lineRule="exact"/>
              <w:rPr>
                <w:rFonts w:hint="eastAsia"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val="en-US" w:eastAsia="zh-CN" w:bidi="ar"/>
              </w:rPr>
              <w:t>2</w:t>
            </w:r>
            <w:r>
              <w:rPr>
                <w:rFonts w:hint="eastAsia" w:ascii="宋体" w:hAnsi="宋体" w:eastAsia="宋体" w:cs="宋体"/>
                <w:color w:val="auto"/>
                <w:sz w:val="18"/>
                <w:szCs w:val="18"/>
                <w:shd w:val="clear" w:color="auto" w:fill="FFFFFF"/>
                <w:lang w:eastAsia="zh-CN" w:bidi="ar"/>
              </w:rPr>
              <w:t>.</w:t>
            </w:r>
            <w:r>
              <w:rPr>
                <w:rFonts w:hint="eastAsia" w:ascii="宋体" w:hAnsi="宋体" w:eastAsia="宋体" w:cs="宋体"/>
                <w:color w:val="auto"/>
                <w:sz w:val="18"/>
                <w:szCs w:val="18"/>
                <w:shd w:val="clear" w:color="auto" w:fill="FFFFFF"/>
                <w:lang w:val="en-US" w:eastAsia="zh-CN" w:bidi="ar"/>
              </w:rPr>
              <w:t xml:space="preserve"> </w:t>
            </w:r>
            <w:r>
              <w:rPr>
                <w:rFonts w:hint="eastAsia" w:ascii="宋体" w:hAnsi="宋体" w:eastAsia="宋体" w:cs="宋体"/>
                <w:color w:val="auto"/>
                <w:sz w:val="18"/>
                <w:szCs w:val="18"/>
                <w:shd w:val="clear" w:color="auto" w:fill="FFFFFF"/>
                <w:lang w:eastAsia="zh-CN" w:bidi="ar"/>
              </w:rPr>
              <w:t>采购人收到成交供应商提交的付款申请及发票资料后，按季度与成交供应商双方进行核对，自双方核对无误之日起 60 个工作日内，向成交供应商支付货款。</w:t>
            </w:r>
          </w:p>
        </w:tc>
        <w:tc>
          <w:tcPr>
            <w:tcW w:w="1410" w:type="dxa"/>
          </w:tcPr>
          <w:p w14:paraId="63477C59">
            <w:pPr>
              <w:pStyle w:val="11"/>
              <w:rPr>
                <w:rFonts w:ascii="宋体" w:hAnsi="宋体" w:eastAsia="宋体" w:cs="宋体"/>
                <w:sz w:val="18"/>
                <w:szCs w:val="18"/>
                <w:lang w:eastAsia="zh-CN"/>
              </w:rPr>
            </w:pPr>
          </w:p>
        </w:tc>
        <w:tc>
          <w:tcPr>
            <w:tcW w:w="1065" w:type="dxa"/>
          </w:tcPr>
          <w:p w14:paraId="17855BC8">
            <w:pPr>
              <w:pStyle w:val="11"/>
              <w:rPr>
                <w:rFonts w:ascii="宋体" w:hAnsi="宋体" w:eastAsia="宋体" w:cs="宋体"/>
                <w:sz w:val="18"/>
                <w:szCs w:val="18"/>
                <w:lang w:eastAsia="zh-CN"/>
              </w:rPr>
            </w:pPr>
          </w:p>
        </w:tc>
        <w:tc>
          <w:tcPr>
            <w:tcW w:w="1065" w:type="dxa"/>
          </w:tcPr>
          <w:p w14:paraId="6A11C7ED">
            <w:pPr>
              <w:pStyle w:val="11"/>
              <w:rPr>
                <w:rFonts w:ascii="宋体" w:hAnsi="宋体" w:eastAsia="宋体" w:cs="宋体"/>
                <w:sz w:val="18"/>
                <w:szCs w:val="18"/>
                <w:lang w:eastAsia="zh-CN"/>
              </w:rPr>
            </w:pPr>
          </w:p>
        </w:tc>
      </w:tr>
      <w:tr w14:paraId="52E3C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661" w:type="dxa"/>
            <w:vAlign w:val="center"/>
          </w:tcPr>
          <w:p w14:paraId="7CDC09F3">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475" w:type="dxa"/>
          </w:tcPr>
          <w:p w14:paraId="3561C87D">
            <w:pPr>
              <w:widowControl w:val="0"/>
              <w:spacing w:line="240" w:lineRule="exact"/>
              <w:rPr>
                <w:rFonts w:hint="eastAsia" w:ascii="宋体" w:hAnsi="宋体" w:eastAsia="宋体" w:cs="宋体"/>
                <w:color w:val="auto"/>
                <w:sz w:val="18"/>
                <w:szCs w:val="18"/>
                <w:shd w:val="clear" w:color="auto" w:fill="FFFFFF"/>
                <w:lang w:val="en-US" w:eastAsia="zh-CN" w:bidi="ar"/>
              </w:rPr>
            </w:pPr>
            <w:r>
              <w:rPr>
                <w:rFonts w:hint="eastAsia" w:ascii="宋体" w:hAnsi="宋体" w:eastAsia="宋体" w:cs="宋体"/>
                <w:color w:val="auto"/>
                <w:sz w:val="18"/>
                <w:szCs w:val="18"/>
                <w:shd w:val="clear" w:color="auto" w:fill="FFFFFF"/>
                <w:lang w:val="en-US" w:eastAsia="zh-CN" w:bidi="ar"/>
              </w:rPr>
              <w:t>八、评审方式</w:t>
            </w:r>
          </w:p>
          <w:p w14:paraId="4B63E798">
            <w:pPr>
              <w:widowControl w:val="0"/>
              <w:spacing w:line="240" w:lineRule="exact"/>
              <w:rPr>
                <w:rFonts w:hint="eastAsia" w:ascii="宋体" w:hAnsi="宋体" w:eastAsia="宋体" w:cs="宋体"/>
                <w:color w:val="auto"/>
                <w:sz w:val="18"/>
                <w:szCs w:val="18"/>
                <w:shd w:val="clear" w:color="auto" w:fill="FFFFFF"/>
                <w:lang w:eastAsia="zh-CN" w:bidi="ar"/>
              </w:rPr>
            </w:pPr>
            <w:r>
              <w:rPr>
                <w:rFonts w:hint="eastAsia" w:ascii="宋体" w:hAnsi="宋体" w:eastAsia="宋体" w:cs="宋体"/>
                <w:color w:val="auto"/>
                <w:sz w:val="18"/>
                <w:szCs w:val="18"/>
                <w:shd w:val="clear" w:color="auto" w:fill="FFFFFF"/>
                <w:lang w:val="en-US" w:eastAsia="zh-CN" w:bidi="ar"/>
              </w:rPr>
              <w:t>本项目的评审采用最低价法（报价格式详见附件二《响应文件模板》</w:t>
            </w:r>
            <w:bookmarkStart w:id="0" w:name="_GoBack"/>
            <w:bookmarkEnd w:id="0"/>
            <w:r>
              <w:rPr>
                <w:rFonts w:hint="eastAsia" w:ascii="宋体" w:hAnsi="宋体" w:eastAsia="宋体" w:cs="宋体"/>
                <w:color w:val="auto"/>
                <w:sz w:val="18"/>
                <w:szCs w:val="18"/>
                <w:shd w:val="clear" w:color="auto" w:fill="FFFFFF"/>
                <w:lang w:val="en-US" w:eastAsia="zh-CN" w:bidi="ar"/>
              </w:rPr>
              <w:t>中（一）报价单），在符合项目需求的前提下，选取最低价格为拟中选供应商，如有两家或以上供应商相同报价时，以平台响应报名时间更早者为优先。</w:t>
            </w:r>
          </w:p>
        </w:tc>
        <w:tc>
          <w:tcPr>
            <w:tcW w:w="1410" w:type="dxa"/>
          </w:tcPr>
          <w:p w14:paraId="4EB37635">
            <w:pPr>
              <w:pStyle w:val="11"/>
              <w:rPr>
                <w:rFonts w:ascii="宋体" w:hAnsi="宋体" w:eastAsia="宋体" w:cs="宋体"/>
                <w:sz w:val="18"/>
                <w:szCs w:val="18"/>
                <w:lang w:eastAsia="zh-CN"/>
              </w:rPr>
            </w:pPr>
          </w:p>
        </w:tc>
        <w:tc>
          <w:tcPr>
            <w:tcW w:w="1065" w:type="dxa"/>
          </w:tcPr>
          <w:p w14:paraId="42F4AC19">
            <w:pPr>
              <w:pStyle w:val="11"/>
              <w:rPr>
                <w:rFonts w:ascii="宋体" w:hAnsi="宋体" w:eastAsia="宋体" w:cs="宋体"/>
                <w:sz w:val="18"/>
                <w:szCs w:val="18"/>
                <w:lang w:eastAsia="zh-CN"/>
              </w:rPr>
            </w:pPr>
          </w:p>
        </w:tc>
        <w:tc>
          <w:tcPr>
            <w:tcW w:w="1065" w:type="dxa"/>
          </w:tcPr>
          <w:p w14:paraId="7C2EA142">
            <w:pPr>
              <w:pStyle w:val="11"/>
              <w:rPr>
                <w:rFonts w:ascii="宋体" w:hAnsi="宋体" w:eastAsia="宋体" w:cs="宋体"/>
                <w:sz w:val="18"/>
                <w:szCs w:val="18"/>
                <w:lang w:eastAsia="zh-CN"/>
              </w:rPr>
            </w:pPr>
          </w:p>
        </w:tc>
      </w:tr>
    </w:tbl>
    <w:p w14:paraId="5EFF081B">
      <w:pPr>
        <w:rPr>
          <w:lang w:eastAsia="zh-CN"/>
        </w:rPr>
      </w:pPr>
    </w:p>
    <w:p w14:paraId="3447D6D1">
      <w:pPr>
        <w:rPr>
          <w:lang w:eastAsia="zh-CN"/>
        </w:rPr>
      </w:pPr>
      <w:r>
        <w:rPr>
          <w:lang w:eastAsia="zh-CN"/>
        </w:rPr>
        <w:br w:type="page"/>
      </w:r>
    </w:p>
    <w:p w14:paraId="0B84180D">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十二、拟投入人员配置清单（加盖公章）：</w:t>
      </w:r>
    </w:p>
    <w:p w14:paraId="7D41CDD9">
      <w:pPr>
        <w:keepNext w:val="0"/>
        <w:keepLines w:val="0"/>
        <w:pageBreakBefore w:val="0"/>
        <w:widowControl/>
        <w:kinsoku w:val="0"/>
        <w:wordWrap/>
        <w:overflowPunct/>
        <w:topLinePunct w:val="0"/>
        <w:autoSpaceDE w:val="0"/>
        <w:autoSpaceDN w:val="0"/>
        <w:bidi w:val="0"/>
        <w:adjustRightInd w:val="0"/>
        <w:snapToGrid w:val="0"/>
        <w:spacing w:before="0" w:beforeLines="100" w:line="228" w:lineRule="auto"/>
        <w:jc w:val="both"/>
        <w:textAlignment w:val="baseline"/>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为证明拟投入人员为供应商员工，供应商需要提供为其购买社保证明（开标当天前三个月内的任意一个月）复印件，若供应商成立时间不足1个月的应提供《社保声明函》（格式自拟）代替社保证明（成立时间以营业执照注册时间为准）。】</w:t>
      </w:r>
    </w:p>
    <w:p w14:paraId="4A274DAC">
      <w:pPr>
        <w:spacing w:before="41" w:line="227" w:lineRule="auto"/>
        <w:jc w:val="both"/>
        <w:rPr>
          <w:rFonts w:hint="eastAsia" w:ascii="宋体" w:hAnsi="宋体" w:eastAsia="宋体" w:cs="宋体"/>
          <w:b/>
          <w:bCs/>
          <w:spacing w:val="5"/>
          <w:sz w:val="20"/>
          <w:szCs w:val="20"/>
          <w:lang w:val="en-US" w:eastAsia="zh-CN"/>
        </w:rPr>
      </w:pPr>
    </w:p>
    <w:tbl>
      <w:tblPr>
        <w:tblStyle w:val="10"/>
        <w:tblW w:w="86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993"/>
        <w:gridCol w:w="992"/>
        <w:gridCol w:w="850"/>
        <w:gridCol w:w="1134"/>
        <w:gridCol w:w="993"/>
        <w:gridCol w:w="1275"/>
        <w:gridCol w:w="1843"/>
      </w:tblGrid>
      <w:tr w14:paraId="6085D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568" w:type="dxa"/>
            <w:tcBorders>
              <w:top w:val="single" w:color="000000" w:sz="10" w:space="0"/>
              <w:left w:val="single" w:color="000000" w:sz="10" w:space="0"/>
            </w:tcBorders>
            <w:shd w:val="clear" w:color="auto" w:fill="FFFFFF" w:themeFill="background1"/>
            <w:vAlign w:val="center"/>
          </w:tcPr>
          <w:p w14:paraId="18B00B55">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序号</w:t>
            </w:r>
          </w:p>
        </w:tc>
        <w:tc>
          <w:tcPr>
            <w:tcW w:w="993" w:type="dxa"/>
            <w:tcBorders>
              <w:top w:val="single" w:color="000000" w:sz="10" w:space="0"/>
            </w:tcBorders>
            <w:shd w:val="clear" w:color="auto" w:fill="FFFFFF" w:themeFill="background1"/>
            <w:vAlign w:val="center"/>
          </w:tcPr>
          <w:p w14:paraId="3558036A">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姓名</w:t>
            </w:r>
          </w:p>
        </w:tc>
        <w:tc>
          <w:tcPr>
            <w:tcW w:w="992" w:type="dxa"/>
            <w:tcBorders>
              <w:top w:val="single" w:color="000000" w:sz="10" w:space="0"/>
            </w:tcBorders>
            <w:shd w:val="clear" w:color="auto" w:fill="FFFFFF" w:themeFill="background1"/>
            <w:vAlign w:val="center"/>
          </w:tcPr>
          <w:p w14:paraId="2A9E5148">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性别</w:t>
            </w:r>
          </w:p>
        </w:tc>
        <w:tc>
          <w:tcPr>
            <w:tcW w:w="850" w:type="dxa"/>
            <w:tcBorders>
              <w:top w:val="single" w:color="000000" w:sz="10" w:space="0"/>
            </w:tcBorders>
            <w:shd w:val="clear" w:color="auto" w:fill="FFFFFF" w:themeFill="background1"/>
            <w:vAlign w:val="center"/>
          </w:tcPr>
          <w:p w14:paraId="65A77A6F">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年龄</w:t>
            </w:r>
          </w:p>
        </w:tc>
        <w:tc>
          <w:tcPr>
            <w:tcW w:w="1134" w:type="dxa"/>
            <w:tcBorders>
              <w:top w:val="single" w:color="000000" w:sz="10" w:space="0"/>
            </w:tcBorders>
            <w:shd w:val="clear" w:color="auto" w:fill="FFFFFF" w:themeFill="background1"/>
            <w:vAlign w:val="center"/>
          </w:tcPr>
          <w:p w14:paraId="3DF69216">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职称</w:t>
            </w:r>
          </w:p>
        </w:tc>
        <w:tc>
          <w:tcPr>
            <w:tcW w:w="993" w:type="dxa"/>
            <w:tcBorders>
              <w:top w:val="single" w:color="000000" w:sz="10" w:space="0"/>
            </w:tcBorders>
            <w:shd w:val="clear" w:color="auto" w:fill="FFFFFF" w:themeFill="background1"/>
            <w:vAlign w:val="center"/>
          </w:tcPr>
          <w:p w14:paraId="3D4251C8">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专业</w:t>
            </w:r>
          </w:p>
        </w:tc>
        <w:tc>
          <w:tcPr>
            <w:tcW w:w="1275" w:type="dxa"/>
            <w:tcBorders>
              <w:top w:val="single" w:color="000000" w:sz="10" w:space="0"/>
            </w:tcBorders>
            <w:shd w:val="clear" w:color="auto" w:fill="FFFFFF" w:themeFill="background1"/>
            <w:vAlign w:val="center"/>
          </w:tcPr>
          <w:p w14:paraId="236C85D6">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经验年限</w:t>
            </w:r>
          </w:p>
        </w:tc>
        <w:tc>
          <w:tcPr>
            <w:tcW w:w="1843" w:type="dxa"/>
            <w:tcBorders>
              <w:top w:val="single" w:color="000000" w:sz="10" w:space="0"/>
              <w:right w:val="single" w:color="000000" w:sz="10" w:space="0"/>
            </w:tcBorders>
            <w:shd w:val="clear" w:color="auto" w:fill="FFFFFF" w:themeFill="background1"/>
            <w:vAlign w:val="center"/>
          </w:tcPr>
          <w:p w14:paraId="51EAB465">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拟担任职务或承</w:t>
            </w:r>
          </w:p>
          <w:p w14:paraId="73D0902D">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担工作内容</w:t>
            </w:r>
          </w:p>
        </w:tc>
      </w:tr>
      <w:tr w14:paraId="22325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jc w:val="center"/>
        </w:trPr>
        <w:tc>
          <w:tcPr>
            <w:tcW w:w="568" w:type="dxa"/>
            <w:tcBorders>
              <w:left w:val="single" w:color="000000" w:sz="10" w:space="0"/>
            </w:tcBorders>
            <w:vAlign w:val="center"/>
          </w:tcPr>
          <w:p w14:paraId="5AAC653F">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1</w:t>
            </w:r>
          </w:p>
        </w:tc>
        <w:tc>
          <w:tcPr>
            <w:tcW w:w="993" w:type="dxa"/>
            <w:vAlign w:val="center"/>
          </w:tcPr>
          <w:p w14:paraId="4DC70521">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6D45F58A">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240BD05E">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1340D212">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0E970A95">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6EF3B018">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5049427">
            <w:pPr>
              <w:spacing w:before="41" w:line="227" w:lineRule="auto"/>
              <w:jc w:val="center"/>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维护人员</w:t>
            </w:r>
          </w:p>
        </w:tc>
      </w:tr>
      <w:tr w14:paraId="41DDC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568" w:type="dxa"/>
            <w:tcBorders>
              <w:left w:val="single" w:color="000000" w:sz="10" w:space="0"/>
            </w:tcBorders>
            <w:vAlign w:val="center"/>
          </w:tcPr>
          <w:p w14:paraId="64B1DD84">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2</w:t>
            </w:r>
          </w:p>
        </w:tc>
        <w:tc>
          <w:tcPr>
            <w:tcW w:w="993" w:type="dxa"/>
            <w:vAlign w:val="center"/>
          </w:tcPr>
          <w:p w14:paraId="54BC48C4">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4E2F130F">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4EB5834A">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7D7F222B">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3A301724">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4584A004">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0B6DFD92">
            <w:pPr>
              <w:spacing w:before="41" w:line="227" w:lineRule="auto"/>
              <w:jc w:val="center"/>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驻场人员</w:t>
            </w:r>
          </w:p>
        </w:tc>
      </w:tr>
      <w:tr w14:paraId="76FEA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tcBorders>
            <w:vAlign w:val="center"/>
          </w:tcPr>
          <w:p w14:paraId="202D3443">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3</w:t>
            </w:r>
          </w:p>
        </w:tc>
        <w:tc>
          <w:tcPr>
            <w:tcW w:w="993" w:type="dxa"/>
            <w:vAlign w:val="center"/>
          </w:tcPr>
          <w:p w14:paraId="65435ABF">
            <w:pPr>
              <w:spacing w:before="41" w:line="227" w:lineRule="auto"/>
              <w:jc w:val="center"/>
              <w:rPr>
                <w:rFonts w:hint="eastAsia" w:ascii="宋体" w:hAnsi="宋体" w:eastAsia="宋体" w:cs="宋体"/>
                <w:b/>
                <w:bCs/>
                <w:spacing w:val="5"/>
                <w:sz w:val="20"/>
                <w:szCs w:val="20"/>
                <w:lang w:val="en-US" w:eastAsia="zh-CN"/>
              </w:rPr>
            </w:pPr>
          </w:p>
        </w:tc>
        <w:tc>
          <w:tcPr>
            <w:tcW w:w="992" w:type="dxa"/>
            <w:vAlign w:val="center"/>
          </w:tcPr>
          <w:p w14:paraId="7BCFE8BB">
            <w:pPr>
              <w:spacing w:before="41" w:line="227" w:lineRule="auto"/>
              <w:jc w:val="center"/>
              <w:rPr>
                <w:rFonts w:hint="eastAsia" w:ascii="宋体" w:hAnsi="宋体" w:eastAsia="宋体" w:cs="宋体"/>
                <w:b/>
                <w:bCs/>
                <w:spacing w:val="5"/>
                <w:sz w:val="20"/>
                <w:szCs w:val="20"/>
                <w:lang w:val="en-US" w:eastAsia="zh-CN"/>
              </w:rPr>
            </w:pPr>
          </w:p>
        </w:tc>
        <w:tc>
          <w:tcPr>
            <w:tcW w:w="850" w:type="dxa"/>
            <w:vAlign w:val="center"/>
          </w:tcPr>
          <w:p w14:paraId="4EB10A2E">
            <w:pPr>
              <w:spacing w:before="41" w:line="227" w:lineRule="auto"/>
              <w:jc w:val="center"/>
              <w:rPr>
                <w:rFonts w:hint="eastAsia" w:ascii="宋体" w:hAnsi="宋体" w:eastAsia="宋体" w:cs="宋体"/>
                <w:b/>
                <w:bCs/>
                <w:spacing w:val="5"/>
                <w:sz w:val="20"/>
                <w:szCs w:val="20"/>
                <w:lang w:val="en-US" w:eastAsia="zh-CN"/>
              </w:rPr>
            </w:pPr>
          </w:p>
        </w:tc>
        <w:tc>
          <w:tcPr>
            <w:tcW w:w="1134" w:type="dxa"/>
            <w:vAlign w:val="center"/>
          </w:tcPr>
          <w:p w14:paraId="206C8091">
            <w:pPr>
              <w:spacing w:before="41" w:line="227" w:lineRule="auto"/>
              <w:jc w:val="center"/>
              <w:rPr>
                <w:rFonts w:hint="eastAsia" w:ascii="宋体" w:hAnsi="宋体" w:eastAsia="宋体" w:cs="宋体"/>
                <w:b/>
                <w:bCs/>
                <w:spacing w:val="5"/>
                <w:sz w:val="20"/>
                <w:szCs w:val="20"/>
                <w:lang w:val="en-US" w:eastAsia="zh-CN"/>
              </w:rPr>
            </w:pPr>
          </w:p>
        </w:tc>
        <w:tc>
          <w:tcPr>
            <w:tcW w:w="993" w:type="dxa"/>
            <w:vAlign w:val="center"/>
          </w:tcPr>
          <w:p w14:paraId="5EB59745">
            <w:pPr>
              <w:spacing w:before="41" w:line="227" w:lineRule="auto"/>
              <w:jc w:val="center"/>
              <w:rPr>
                <w:rFonts w:hint="eastAsia" w:ascii="宋体" w:hAnsi="宋体" w:eastAsia="宋体" w:cs="宋体"/>
                <w:b/>
                <w:bCs/>
                <w:spacing w:val="5"/>
                <w:sz w:val="20"/>
                <w:szCs w:val="20"/>
                <w:lang w:val="en-US" w:eastAsia="zh-CN"/>
              </w:rPr>
            </w:pPr>
          </w:p>
        </w:tc>
        <w:tc>
          <w:tcPr>
            <w:tcW w:w="1275" w:type="dxa"/>
            <w:vAlign w:val="center"/>
          </w:tcPr>
          <w:p w14:paraId="71892D5E">
            <w:pPr>
              <w:spacing w:before="41" w:line="227" w:lineRule="auto"/>
              <w:jc w:val="center"/>
              <w:rPr>
                <w:rFonts w:hint="eastAsia" w:ascii="宋体" w:hAnsi="宋体" w:eastAsia="宋体" w:cs="宋体"/>
                <w:b/>
                <w:bCs/>
                <w:spacing w:val="5"/>
                <w:sz w:val="20"/>
                <w:szCs w:val="20"/>
                <w:lang w:val="en-US" w:eastAsia="zh-CN"/>
              </w:rPr>
            </w:pPr>
          </w:p>
        </w:tc>
        <w:tc>
          <w:tcPr>
            <w:tcW w:w="1843" w:type="dxa"/>
            <w:tcBorders>
              <w:right w:val="single" w:color="000000" w:sz="10" w:space="0"/>
            </w:tcBorders>
            <w:vAlign w:val="center"/>
          </w:tcPr>
          <w:p w14:paraId="44E16C58">
            <w:pPr>
              <w:spacing w:before="41" w:line="227" w:lineRule="auto"/>
              <w:jc w:val="center"/>
              <w:rPr>
                <w:rFonts w:hint="default" w:ascii="宋体" w:hAnsi="宋体" w:eastAsia="宋体" w:cs="宋体"/>
                <w:b/>
                <w:bCs/>
                <w:spacing w:val="5"/>
                <w:sz w:val="20"/>
                <w:szCs w:val="20"/>
                <w:lang w:val="en-US" w:eastAsia="zh-CN"/>
              </w:rPr>
            </w:pPr>
            <w:r>
              <w:rPr>
                <w:rFonts w:hint="default" w:ascii="宋体" w:hAnsi="宋体" w:eastAsia="宋体" w:cs="宋体"/>
                <w:b/>
                <w:bCs/>
                <w:spacing w:val="5"/>
                <w:sz w:val="20"/>
                <w:szCs w:val="20"/>
                <w:lang w:val="en-US" w:eastAsia="zh-CN"/>
              </w:rPr>
              <w:t>…</w:t>
            </w:r>
          </w:p>
        </w:tc>
      </w:tr>
      <w:tr w14:paraId="614E5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bottom w:val="single" w:color="000000" w:sz="10" w:space="0"/>
            </w:tcBorders>
            <w:vAlign w:val="center"/>
          </w:tcPr>
          <w:p w14:paraId="19491F57">
            <w:pPr>
              <w:spacing w:before="41" w:line="227" w:lineRule="auto"/>
              <w:jc w:val="center"/>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4</w:t>
            </w:r>
          </w:p>
        </w:tc>
        <w:tc>
          <w:tcPr>
            <w:tcW w:w="993" w:type="dxa"/>
            <w:tcBorders>
              <w:bottom w:val="single" w:color="000000" w:sz="10" w:space="0"/>
            </w:tcBorders>
            <w:vAlign w:val="center"/>
          </w:tcPr>
          <w:p w14:paraId="56998212">
            <w:pPr>
              <w:spacing w:before="41" w:line="227" w:lineRule="auto"/>
              <w:jc w:val="center"/>
              <w:rPr>
                <w:rFonts w:hint="eastAsia" w:ascii="宋体" w:hAnsi="宋体" w:eastAsia="宋体" w:cs="宋体"/>
                <w:b/>
                <w:bCs/>
                <w:spacing w:val="5"/>
                <w:sz w:val="20"/>
                <w:szCs w:val="20"/>
                <w:lang w:val="en-US" w:eastAsia="zh-CN"/>
              </w:rPr>
            </w:pPr>
          </w:p>
        </w:tc>
        <w:tc>
          <w:tcPr>
            <w:tcW w:w="992" w:type="dxa"/>
            <w:tcBorders>
              <w:bottom w:val="single" w:color="000000" w:sz="10" w:space="0"/>
            </w:tcBorders>
            <w:vAlign w:val="center"/>
          </w:tcPr>
          <w:p w14:paraId="2DD2E04C">
            <w:pPr>
              <w:spacing w:before="41" w:line="227" w:lineRule="auto"/>
              <w:jc w:val="center"/>
              <w:rPr>
                <w:rFonts w:hint="eastAsia" w:ascii="宋体" w:hAnsi="宋体" w:eastAsia="宋体" w:cs="宋体"/>
                <w:b/>
                <w:bCs/>
                <w:spacing w:val="5"/>
                <w:sz w:val="20"/>
                <w:szCs w:val="20"/>
                <w:lang w:val="en-US" w:eastAsia="zh-CN"/>
              </w:rPr>
            </w:pPr>
          </w:p>
        </w:tc>
        <w:tc>
          <w:tcPr>
            <w:tcW w:w="850" w:type="dxa"/>
            <w:tcBorders>
              <w:bottom w:val="single" w:color="000000" w:sz="10" w:space="0"/>
            </w:tcBorders>
            <w:vAlign w:val="center"/>
          </w:tcPr>
          <w:p w14:paraId="5953CE19">
            <w:pPr>
              <w:spacing w:before="41" w:line="227" w:lineRule="auto"/>
              <w:jc w:val="center"/>
              <w:rPr>
                <w:rFonts w:hint="eastAsia" w:ascii="宋体" w:hAnsi="宋体" w:eastAsia="宋体" w:cs="宋体"/>
                <w:b/>
                <w:bCs/>
                <w:spacing w:val="5"/>
                <w:sz w:val="20"/>
                <w:szCs w:val="20"/>
                <w:lang w:val="en-US" w:eastAsia="zh-CN"/>
              </w:rPr>
            </w:pPr>
          </w:p>
        </w:tc>
        <w:tc>
          <w:tcPr>
            <w:tcW w:w="1134" w:type="dxa"/>
            <w:tcBorders>
              <w:bottom w:val="single" w:color="000000" w:sz="10" w:space="0"/>
            </w:tcBorders>
            <w:vAlign w:val="center"/>
          </w:tcPr>
          <w:p w14:paraId="446B6F6C">
            <w:pPr>
              <w:spacing w:before="41" w:line="227" w:lineRule="auto"/>
              <w:jc w:val="center"/>
              <w:rPr>
                <w:rFonts w:hint="eastAsia" w:ascii="宋体" w:hAnsi="宋体" w:eastAsia="宋体" w:cs="宋体"/>
                <w:b/>
                <w:bCs/>
                <w:spacing w:val="5"/>
                <w:sz w:val="20"/>
                <w:szCs w:val="20"/>
                <w:lang w:val="en-US" w:eastAsia="zh-CN"/>
              </w:rPr>
            </w:pPr>
          </w:p>
        </w:tc>
        <w:tc>
          <w:tcPr>
            <w:tcW w:w="993" w:type="dxa"/>
            <w:tcBorders>
              <w:bottom w:val="single" w:color="000000" w:sz="10" w:space="0"/>
            </w:tcBorders>
            <w:vAlign w:val="center"/>
          </w:tcPr>
          <w:p w14:paraId="302760A5">
            <w:pPr>
              <w:spacing w:before="41" w:line="227" w:lineRule="auto"/>
              <w:jc w:val="center"/>
              <w:rPr>
                <w:rFonts w:hint="eastAsia" w:ascii="宋体" w:hAnsi="宋体" w:eastAsia="宋体" w:cs="宋体"/>
                <w:b/>
                <w:bCs/>
                <w:spacing w:val="5"/>
                <w:sz w:val="20"/>
                <w:szCs w:val="20"/>
                <w:lang w:val="en-US" w:eastAsia="zh-CN"/>
              </w:rPr>
            </w:pPr>
          </w:p>
        </w:tc>
        <w:tc>
          <w:tcPr>
            <w:tcW w:w="1275" w:type="dxa"/>
            <w:tcBorders>
              <w:bottom w:val="single" w:color="000000" w:sz="10" w:space="0"/>
            </w:tcBorders>
            <w:vAlign w:val="center"/>
          </w:tcPr>
          <w:p w14:paraId="3BF16298">
            <w:pPr>
              <w:spacing w:before="41" w:line="227" w:lineRule="auto"/>
              <w:jc w:val="center"/>
              <w:rPr>
                <w:rFonts w:hint="eastAsia" w:ascii="宋体" w:hAnsi="宋体" w:eastAsia="宋体" w:cs="宋体"/>
                <w:b/>
                <w:bCs/>
                <w:spacing w:val="5"/>
                <w:sz w:val="20"/>
                <w:szCs w:val="20"/>
                <w:lang w:val="en-US" w:eastAsia="zh-CN"/>
              </w:rPr>
            </w:pPr>
          </w:p>
        </w:tc>
        <w:tc>
          <w:tcPr>
            <w:tcW w:w="1843" w:type="dxa"/>
            <w:tcBorders>
              <w:bottom w:val="single" w:color="000000" w:sz="10" w:space="0"/>
              <w:right w:val="single" w:color="000000" w:sz="10" w:space="0"/>
            </w:tcBorders>
            <w:vAlign w:val="center"/>
          </w:tcPr>
          <w:p w14:paraId="38942E79">
            <w:pPr>
              <w:spacing w:before="41" w:line="227" w:lineRule="auto"/>
              <w:jc w:val="center"/>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w:t>
            </w:r>
          </w:p>
        </w:tc>
      </w:tr>
    </w:tbl>
    <w:p w14:paraId="49B9EC5F">
      <w:pPr>
        <w:spacing w:before="41" w:line="227" w:lineRule="auto"/>
        <w:jc w:val="both"/>
        <w:rPr>
          <w:rFonts w:hint="eastAsia"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注：供应商必须如实填写此表格。（此表可延长）</w:t>
      </w:r>
    </w:p>
    <w:p w14:paraId="29D420FE">
      <w:pPr>
        <w:rPr>
          <w:rFonts w:ascii="宋体" w:hAnsi="宋体" w:eastAsia="宋体" w:cs="宋体"/>
          <w:b/>
          <w:bCs/>
          <w:spacing w:val="5"/>
          <w:sz w:val="20"/>
          <w:szCs w:val="20"/>
          <w:lang w:eastAsia="zh-CN"/>
        </w:rPr>
      </w:pPr>
      <w:r>
        <w:rPr>
          <w:rFonts w:ascii="宋体" w:hAnsi="宋体" w:eastAsia="宋体" w:cs="宋体"/>
          <w:b/>
          <w:bCs/>
          <w:spacing w:val="5"/>
          <w:sz w:val="20"/>
          <w:szCs w:val="20"/>
          <w:lang w:eastAsia="zh-CN"/>
        </w:rPr>
        <w:br w:type="page"/>
      </w:r>
    </w:p>
    <w:p w14:paraId="12316B45">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十三、近三年同类业绩相关证明文件，须提供合同关键页复印件（加盖公章）。</w:t>
      </w:r>
    </w:p>
    <w:p w14:paraId="1D14C0F7">
      <w:pPr>
        <w:spacing w:before="41" w:line="227" w:lineRule="auto"/>
        <w:jc w:val="both"/>
        <w:rPr>
          <w:rFonts w:ascii="宋体" w:hAnsi="宋体" w:eastAsia="宋体" w:cs="宋体"/>
          <w:sz w:val="20"/>
          <w:szCs w:val="20"/>
          <w:lang w:eastAsia="zh-CN"/>
        </w:rPr>
      </w:pPr>
    </w:p>
    <w:p w14:paraId="7029066B">
      <w:pPr>
        <w:pStyle w:val="3"/>
        <w:spacing w:line="260" w:lineRule="auto"/>
        <w:rPr>
          <w:lang w:eastAsia="zh-CN"/>
        </w:rPr>
      </w:pPr>
    </w:p>
    <w:p w14:paraId="2CD238D2">
      <w:pPr>
        <w:pStyle w:val="3"/>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0"/>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1"/>
            </w:pPr>
          </w:p>
        </w:tc>
        <w:tc>
          <w:tcPr>
            <w:tcW w:w="1854" w:type="dxa"/>
          </w:tcPr>
          <w:p w14:paraId="43601105">
            <w:pPr>
              <w:pStyle w:val="11"/>
            </w:pPr>
          </w:p>
        </w:tc>
        <w:tc>
          <w:tcPr>
            <w:tcW w:w="1986" w:type="dxa"/>
          </w:tcPr>
          <w:p w14:paraId="6311272B">
            <w:pPr>
              <w:pStyle w:val="11"/>
            </w:pPr>
          </w:p>
        </w:tc>
        <w:tc>
          <w:tcPr>
            <w:tcW w:w="1722" w:type="dxa"/>
          </w:tcPr>
          <w:p w14:paraId="3768DC7F">
            <w:pPr>
              <w:pStyle w:val="11"/>
            </w:pPr>
          </w:p>
        </w:tc>
        <w:tc>
          <w:tcPr>
            <w:tcW w:w="1191" w:type="dxa"/>
          </w:tcPr>
          <w:p w14:paraId="2305DC57">
            <w:pPr>
              <w:pStyle w:val="11"/>
            </w:pPr>
          </w:p>
        </w:tc>
        <w:tc>
          <w:tcPr>
            <w:tcW w:w="1471" w:type="dxa"/>
            <w:tcBorders>
              <w:right w:val="single" w:color="000000" w:sz="2" w:space="0"/>
            </w:tcBorders>
          </w:tcPr>
          <w:p w14:paraId="1DC4DC5D">
            <w:pPr>
              <w:pStyle w:val="11"/>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1"/>
            </w:pPr>
          </w:p>
        </w:tc>
        <w:tc>
          <w:tcPr>
            <w:tcW w:w="1854" w:type="dxa"/>
          </w:tcPr>
          <w:p w14:paraId="26C3F9DC">
            <w:pPr>
              <w:pStyle w:val="11"/>
            </w:pPr>
          </w:p>
        </w:tc>
        <w:tc>
          <w:tcPr>
            <w:tcW w:w="1986" w:type="dxa"/>
          </w:tcPr>
          <w:p w14:paraId="0C8FC5A6">
            <w:pPr>
              <w:pStyle w:val="11"/>
            </w:pPr>
          </w:p>
        </w:tc>
        <w:tc>
          <w:tcPr>
            <w:tcW w:w="1722" w:type="dxa"/>
          </w:tcPr>
          <w:p w14:paraId="036176B2">
            <w:pPr>
              <w:pStyle w:val="11"/>
            </w:pPr>
          </w:p>
        </w:tc>
        <w:tc>
          <w:tcPr>
            <w:tcW w:w="1191" w:type="dxa"/>
          </w:tcPr>
          <w:p w14:paraId="69BDA775">
            <w:pPr>
              <w:pStyle w:val="11"/>
            </w:pPr>
          </w:p>
        </w:tc>
        <w:tc>
          <w:tcPr>
            <w:tcW w:w="1471" w:type="dxa"/>
            <w:tcBorders>
              <w:right w:val="single" w:color="000000" w:sz="2" w:space="0"/>
            </w:tcBorders>
          </w:tcPr>
          <w:p w14:paraId="74EE419A">
            <w:pPr>
              <w:pStyle w:val="11"/>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1"/>
            </w:pPr>
          </w:p>
        </w:tc>
        <w:tc>
          <w:tcPr>
            <w:tcW w:w="1854" w:type="dxa"/>
            <w:tcBorders>
              <w:bottom w:val="single" w:color="000000" w:sz="2" w:space="0"/>
            </w:tcBorders>
          </w:tcPr>
          <w:p w14:paraId="40B04108">
            <w:pPr>
              <w:pStyle w:val="11"/>
            </w:pPr>
          </w:p>
        </w:tc>
        <w:tc>
          <w:tcPr>
            <w:tcW w:w="1986" w:type="dxa"/>
            <w:tcBorders>
              <w:bottom w:val="single" w:color="000000" w:sz="2" w:space="0"/>
            </w:tcBorders>
          </w:tcPr>
          <w:p w14:paraId="4C40CFD8">
            <w:pPr>
              <w:pStyle w:val="11"/>
            </w:pPr>
          </w:p>
        </w:tc>
        <w:tc>
          <w:tcPr>
            <w:tcW w:w="1722" w:type="dxa"/>
            <w:tcBorders>
              <w:bottom w:val="single" w:color="000000" w:sz="2" w:space="0"/>
            </w:tcBorders>
          </w:tcPr>
          <w:p w14:paraId="4F595AE5">
            <w:pPr>
              <w:pStyle w:val="11"/>
            </w:pPr>
          </w:p>
        </w:tc>
        <w:tc>
          <w:tcPr>
            <w:tcW w:w="1191" w:type="dxa"/>
            <w:tcBorders>
              <w:bottom w:val="single" w:color="000000" w:sz="2" w:space="0"/>
            </w:tcBorders>
          </w:tcPr>
          <w:p w14:paraId="7692FA63">
            <w:pPr>
              <w:pStyle w:val="11"/>
            </w:pPr>
          </w:p>
        </w:tc>
        <w:tc>
          <w:tcPr>
            <w:tcW w:w="1471" w:type="dxa"/>
            <w:tcBorders>
              <w:bottom w:val="single" w:color="000000" w:sz="2" w:space="0"/>
              <w:right w:val="single" w:color="000000" w:sz="2" w:space="0"/>
            </w:tcBorders>
          </w:tcPr>
          <w:p w14:paraId="48AC055B">
            <w:pPr>
              <w:pStyle w:val="11"/>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3"/>
        <w:spacing w:line="270" w:lineRule="auto"/>
        <w:rPr>
          <w:lang w:eastAsia="zh-CN"/>
        </w:rPr>
      </w:pPr>
    </w:p>
    <w:p w14:paraId="0D453BE2">
      <w:pPr>
        <w:pStyle w:val="3"/>
        <w:spacing w:line="270" w:lineRule="auto"/>
        <w:rPr>
          <w:lang w:eastAsia="zh-CN"/>
        </w:rPr>
      </w:pPr>
    </w:p>
    <w:p w14:paraId="7263ABBE">
      <w:pPr>
        <w:pStyle w:val="3"/>
        <w:spacing w:line="270" w:lineRule="auto"/>
        <w:rPr>
          <w:lang w:eastAsia="zh-CN"/>
        </w:rPr>
      </w:pPr>
    </w:p>
    <w:p w14:paraId="1E0368E6">
      <w:pPr>
        <w:pStyle w:val="3"/>
        <w:spacing w:line="270" w:lineRule="auto"/>
        <w:rPr>
          <w:lang w:eastAsia="zh-CN"/>
        </w:rPr>
      </w:pPr>
    </w:p>
    <w:p w14:paraId="4F1157A5">
      <w:pPr>
        <w:pStyle w:val="3"/>
        <w:spacing w:line="270" w:lineRule="auto"/>
        <w:rPr>
          <w:lang w:eastAsia="zh-CN"/>
        </w:rPr>
      </w:pPr>
    </w:p>
    <w:p w14:paraId="66CFC844">
      <w:pPr>
        <w:pStyle w:val="3"/>
        <w:spacing w:line="270" w:lineRule="auto"/>
        <w:rPr>
          <w:lang w:eastAsia="zh-CN"/>
        </w:rPr>
      </w:pPr>
    </w:p>
    <w:p w14:paraId="480F5979">
      <w:pPr>
        <w:pStyle w:val="3"/>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0"/>
          <w:szCs w:val="20"/>
          <w:lang w:eastAsia="zh-CN"/>
        </w:rPr>
      </w:pPr>
      <w:r>
        <w:rPr>
          <w:rFonts w:hint="eastAsia" w:ascii="宋体" w:hAnsi="宋体" w:eastAsia="宋体" w:cs="宋体"/>
          <w:spacing w:val="8"/>
          <w:sz w:val="20"/>
          <w:szCs w:val="20"/>
          <w:lang w:val="en-US" w:eastAsia="zh-CN"/>
        </w:rPr>
        <w:t>供应商</w:t>
      </w:r>
      <w:r>
        <w:rPr>
          <w:rFonts w:ascii="宋体" w:hAnsi="宋体" w:eastAsia="宋体" w:cs="宋体"/>
          <w:spacing w:val="8"/>
          <w:sz w:val="20"/>
          <w:szCs w:val="20"/>
          <w:lang w:eastAsia="zh-CN"/>
        </w:rPr>
        <w:t>名称（盖章</w:t>
      </w:r>
      <w:r>
        <w:rPr>
          <w:rFonts w:ascii="宋体" w:hAnsi="宋体" w:eastAsia="宋体" w:cs="宋体"/>
          <w:spacing w:val="13"/>
          <w:sz w:val="20"/>
          <w:szCs w:val="20"/>
          <w:lang w:eastAsia="zh-CN"/>
        </w:rPr>
        <w:t>）：</w:t>
      </w:r>
      <w:r>
        <w:rPr>
          <w:rFonts w:ascii="宋体" w:hAnsi="宋体" w:eastAsia="宋体" w:cs="宋体"/>
          <w:sz w:val="20"/>
          <w:szCs w:val="20"/>
          <w:u w:val="single"/>
          <w:lang w:eastAsia="zh-CN"/>
        </w:rPr>
        <w:t xml:space="preserve">                          </w:t>
      </w:r>
    </w:p>
    <w:p w14:paraId="5B5A1280">
      <w:pPr>
        <w:spacing w:before="65" w:line="227" w:lineRule="auto"/>
        <w:ind w:left="22"/>
        <w:rPr>
          <w:rFonts w:ascii="宋体" w:hAnsi="宋体" w:eastAsia="宋体" w:cs="宋体"/>
          <w:spacing w:val="9"/>
          <w:sz w:val="20"/>
          <w:szCs w:val="20"/>
          <w:lang w:eastAsia="zh-CN"/>
        </w:rPr>
      </w:pPr>
    </w:p>
    <w:p w14:paraId="73AB7F11">
      <w:pPr>
        <w:spacing w:before="65" w:line="227" w:lineRule="auto"/>
        <w:ind w:left="22"/>
        <w:rPr>
          <w:rFonts w:ascii="宋体" w:hAnsi="宋体" w:eastAsia="宋体" w:cs="宋体"/>
          <w:sz w:val="20"/>
          <w:szCs w:val="20"/>
          <w:lang w:eastAsia="zh-CN"/>
        </w:rPr>
      </w:pPr>
      <w:r>
        <w:rPr>
          <w:rFonts w:hint="eastAsia" w:ascii="宋体" w:hAnsi="宋体" w:eastAsia="宋体" w:cs="宋体"/>
          <w:spacing w:val="9"/>
          <w:sz w:val="20"/>
          <w:szCs w:val="20"/>
          <w:lang w:val="en-US" w:eastAsia="zh-CN"/>
        </w:rPr>
        <w:t>供应商</w:t>
      </w:r>
      <w:r>
        <w:rPr>
          <w:rFonts w:ascii="宋体" w:hAnsi="宋体" w:eastAsia="宋体" w:cs="宋体"/>
          <w:spacing w:val="9"/>
          <w:sz w:val="20"/>
          <w:szCs w:val="20"/>
          <w:lang w:eastAsia="zh-CN"/>
        </w:rPr>
        <w:t>法定代表人（或法定代表人授权代表）签字：</w:t>
      </w:r>
      <w:r>
        <w:rPr>
          <w:rFonts w:ascii="宋体" w:hAnsi="宋体" w:eastAsia="宋体" w:cs="宋体"/>
          <w:sz w:val="20"/>
          <w:szCs w:val="20"/>
          <w:u w:val="single"/>
          <w:lang w:eastAsia="zh-CN"/>
        </w:rPr>
        <w:t xml:space="preserve">                    </w:t>
      </w:r>
    </w:p>
    <w:p w14:paraId="505ED41D">
      <w:pPr>
        <w:spacing w:before="260" w:line="228" w:lineRule="auto"/>
        <w:ind w:left="58"/>
        <w:rPr>
          <w:rFonts w:ascii="宋体" w:hAnsi="宋体" w:eastAsia="宋体" w:cs="宋体"/>
          <w:sz w:val="20"/>
          <w:szCs w:val="20"/>
          <w:lang w:eastAsia="zh-CN"/>
        </w:rPr>
      </w:pPr>
      <w:r>
        <w:rPr>
          <w:rFonts w:ascii="宋体" w:hAnsi="宋体" w:eastAsia="宋体" w:cs="宋体"/>
          <w:spacing w:val="-6"/>
          <w:sz w:val="20"/>
          <w:szCs w:val="20"/>
          <w:lang w:eastAsia="zh-CN"/>
        </w:rPr>
        <w:t>日期：</w:t>
      </w:r>
      <w:r>
        <w:rPr>
          <w:rFonts w:ascii="宋体" w:hAnsi="宋体" w:eastAsia="宋体" w:cs="宋体"/>
          <w:spacing w:val="13"/>
          <w:sz w:val="20"/>
          <w:szCs w:val="20"/>
          <w:lang w:eastAsia="zh-CN"/>
        </w:rPr>
        <w:t xml:space="preserve">   </w:t>
      </w:r>
      <w:r>
        <w:rPr>
          <w:rFonts w:ascii="宋体" w:hAnsi="宋体" w:eastAsia="宋体" w:cs="宋体"/>
          <w:spacing w:val="-6"/>
          <w:sz w:val="20"/>
          <w:szCs w:val="20"/>
          <w:lang w:eastAsia="zh-CN"/>
        </w:rPr>
        <w:t>年</w:t>
      </w:r>
      <w:r>
        <w:rPr>
          <w:rFonts w:ascii="宋体" w:hAnsi="宋体" w:eastAsia="宋体" w:cs="宋体"/>
          <w:spacing w:val="9"/>
          <w:sz w:val="20"/>
          <w:szCs w:val="20"/>
          <w:lang w:eastAsia="zh-CN"/>
        </w:rPr>
        <w:t xml:space="preserve">   </w:t>
      </w:r>
      <w:r>
        <w:rPr>
          <w:rFonts w:ascii="宋体" w:hAnsi="宋体" w:eastAsia="宋体" w:cs="宋体"/>
          <w:spacing w:val="-6"/>
          <w:sz w:val="20"/>
          <w:szCs w:val="20"/>
          <w:lang w:eastAsia="zh-CN"/>
        </w:rPr>
        <w:t>月</w:t>
      </w:r>
      <w:r>
        <w:rPr>
          <w:rFonts w:ascii="宋体" w:hAnsi="宋体" w:eastAsia="宋体" w:cs="宋体"/>
          <w:spacing w:val="21"/>
          <w:sz w:val="20"/>
          <w:szCs w:val="20"/>
          <w:lang w:eastAsia="zh-CN"/>
        </w:rPr>
        <w:t xml:space="preserve">   </w:t>
      </w:r>
      <w:r>
        <w:rPr>
          <w:rFonts w:ascii="宋体" w:hAnsi="宋体" w:eastAsia="宋体" w:cs="宋体"/>
          <w:spacing w:val="-6"/>
          <w:sz w:val="20"/>
          <w:szCs w:val="20"/>
          <w:lang w:eastAsia="zh-CN"/>
        </w:rPr>
        <w:t>日</w:t>
      </w:r>
    </w:p>
    <w:p w14:paraId="7B370B04">
      <w:pPr>
        <w:spacing w:line="378" w:lineRule="auto"/>
        <w:rPr>
          <w:rFonts w:ascii="宋体" w:hAnsi="宋体" w:eastAsia="宋体" w:cs="宋体"/>
          <w:sz w:val="20"/>
          <w:szCs w:val="20"/>
          <w:lang w:eastAsia="zh-CN"/>
        </w:rPr>
        <w:sectPr>
          <w:pgSz w:w="11900" w:h="16840"/>
          <w:pgMar w:top="907" w:right="1474" w:bottom="907" w:left="1474" w:header="0" w:footer="0" w:gutter="0"/>
          <w:cols w:space="720" w:num="1"/>
        </w:sectPr>
      </w:pPr>
    </w:p>
    <w:p w14:paraId="7419944E">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十四、承诺函（格式自拟，加盖公章），包括但不限于：</w:t>
      </w:r>
    </w:p>
    <w:p w14:paraId="29F45D08">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① 驻场人员配置要求：成交服务商须派驻1 - 2名相对固定专职技术人员提供驻场服务；驻场时间为每天上午 8:00 - 12:00，均需按时到岗签到，服从我院信息科统一管理，不得随意脱岗、换岗或缺勤。遇特殊情况无法正常到岗的，须提前报备，由双方协商妥善安排替代人员或补位方案。服务内容包括主动排查系统隐患、快速处置故障，保障业务稳定运行。</w:t>
      </w:r>
    </w:p>
    <w:p w14:paraId="3B1DDA42">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② 维护时间要求：遇紧急情况，应在30分钟内安排技术人员到场处理；维护工作应在不影响院内正常工作和生活秩序的前提下开展；维护时间应避开使用高峰时段，原则上安排在工作日的非工作时间或周末进行。</w:t>
      </w:r>
    </w:p>
    <w:p w14:paraId="1E0512C9">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③ 因质量问题发生争议时，由地级市或以上的质检部门进行相关鉴定，鉴定费用由成交供应商先行垫付，鉴定结果符合质量技术要求，发生的所有鉴定费由采购人承担；鉴定结果不符合质量技术要求，发生的所有鉴定费由成交供应商承担。</w:t>
      </w:r>
    </w:p>
    <w:p w14:paraId="093ECB0B">
      <w:pPr>
        <w:rPr>
          <w:rFonts w:hint="default" w:ascii="宋体" w:hAnsi="宋体" w:eastAsia="宋体" w:cs="宋体"/>
          <w:b/>
          <w:bCs/>
          <w:spacing w:val="7"/>
          <w:sz w:val="20"/>
          <w:szCs w:val="20"/>
          <w:lang w:val="en-US" w:eastAsia="zh-CN"/>
        </w:rPr>
      </w:pPr>
      <w:r>
        <w:rPr>
          <w:rFonts w:hint="default" w:ascii="宋体" w:hAnsi="宋体" w:eastAsia="宋体" w:cs="宋体"/>
          <w:b/>
          <w:bCs/>
          <w:spacing w:val="7"/>
          <w:sz w:val="20"/>
          <w:szCs w:val="20"/>
          <w:lang w:val="en-US" w:eastAsia="zh-CN"/>
        </w:rPr>
        <w:br w:type="page"/>
      </w:r>
    </w:p>
    <w:p w14:paraId="37C98485">
      <w:pPr>
        <w:spacing w:before="41" w:line="227" w:lineRule="auto"/>
        <w:rPr>
          <w:rFonts w:hint="default" w:ascii="宋体" w:hAnsi="宋体" w:eastAsia="宋体" w:cs="宋体"/>
          <w:sz w:val="20"/>
          <w:szCs w:val="20"/>
          <w:lang w:val="en-US"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五</w:t>
      </w:r>
      <w:r>
        <w:rPr>
          <w:rFonts w:ascii="宋体" w:hAnsi="宋体" w:eastAsia="宋体" w:cs="宋体"/>
          <w:b/>
          <w:bCs/>
          <w:spacing w:val="7"/>
          <w:sz w:val="20"/>
          <w:szCs w:val="20"/>
          <w:lang w:eastAsia="zh-CN"/>
        </w:rPr>
        <w:t>、项目整体实施方案（格式自拟</w:t>
      </w:r>
      <w:r>
        <w:rPr>
          <w:rFonts w:hint="eastAsia" w:ascii="宋体" w:hAnsi="宋体" w:eastAsia="宋体" w:cs="宋体"/>
          <w:b/>
          <w:bCs/>
          <w:spacing w:val="7"/>
          <w:sz w:val="20"/>
          <w:szCs w:val="20"/>
          <w:lang w:val="en-US" w:eastAsia="zh-CN"/>
        </w:rPr>
        <w:t>并加盖公章</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包括但不限于：项目实施方案、应急方案等。</w:t>
      </w:r>
    </w:p>
    <w:p w14:paraId="1B55C4C2">
      <w:pPr>
        <w:rPr>
          <w:rFonts w:ascii="宋体" w:hAnsi="宋体" w:eastAsia="宋体" w:cs="宋体"/>
          <w:sz w:val="20"/>
          <w:szCs w:val="20"/>
          <w:lang w:eastAsia="zh-CN"/>
        </w:rPr>
      </w:pPr>
      <w:r>
        <w:rPr>
          <w:rFonts w:hint="eastAsia" w:ascii="宋体" w:hAnsi="宋体" w:eastAsia="宋体" w:cs="宋体"/>
          <w:b/>
          <w:bCs/>
          <w:spacing w:val="7"/>
          <w:sz w:val="20"/>
          <w:szCs w:val="20"/>
          <w:lang w:eastAsia="zh-CN"/>
        </w:rPr>
        <w:br w:type="page"/>
      </w:r>
      <w:r>
        <w:rPr>
          <w:rFonts w:hint="eastAsia" w:ascii="宋体" w:hAnsi="宋体" w:eastAsia="宋体" w:cs="宋体"/>
          <w:b/>
          <w:bCs/>
          <w:spacing w:val="7"/>
          <w:sz w:val="20"/>
          <w:szCs w:val="20"/>
          <w:lang w:val="en-US" w:eastAsia="zh-CN"/>
        </w:rPr>
        <w:t>十六</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包括但不限于：中小企业声明函等相关证明文件</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格式自拟并加盖公章，</w:t>
      </w:r>
      <w:r>
        <w:rPr>
          <w:rFonts w:ascii="宋体" w:hAnsi="宋体" w:eastAsia="宋体" w:cs="宋体"/>
          <w:b/>
          <w:bCs/>
          <w:spacing w:val="7"/>
          <w:sz w:val="20"/>
          <w:szCs w:val="20"/>
          <w:lang w:eastAsia="zh-CN"/>
        </w:rPr>
        <w:t>如无、可删）</w:t>
      </w:r>
    </w:p>
    <w:p w14:paraId="6D0D903D">
      <w:pPr>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0F499"/>
    <w:multiLevelType w:val="singleLevel"/>
    <w:tmpl w:val="8B80F49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1B3097E"/>
    <w:rsid w:val="01E26336"/>
    <w:rsid w:val="03945D38"/>
    <w:rsid w:val="04CE0985"/>
    <w:rsid w:val="05D250F6"/>
    <w:rsid w:val="06794550"/>
    <w:rsid w:val="06BE352D"/>
    <w:rsid w:val="07D772C8"/>
    <w:rsid w:val="07DE22A7"/>
    <w:rsid w:val="0851471E"/>
    <w:rsid w:val="08805332"/>
    <w:rsid w:val="0A1B60BD"/>
    <w:rsid w:val="0A382368"/>
    <w:rsid w:val="0D5D5C42"/>
    <w:rsid w:val="0E881903"/>
    <w:rsid w:val="0E9C78E3"/>
    <w:rsid w:val="0F846B80"/>
    <w:rsid w:val="10D939A5"/>
    <w:rsid w:val="1247068A"/>
    <w:rsid w:val="126C008B"/>
    <w:rsid w:val="1291195C"/>
    <w:rsid w:val="13666B31"/>
    <w:rsid w:val="15244FBD"/>
    <w:rsid w:val="152A0F41"/>
    <w:rsid w:val="15DE349E"/>
    <w:rsid w:val="16820E36"/>
    <w:rsid w:val="16CC646C"/>
    <w:rsid w:val="16DD5993"/>
    <w:rsid w:val="17192449"/>
    <w:rsid w:val="18C80C4B"/>
    <w:rsid w:val="1923359D"/>
    <w:rsid w:val="19975900"/>
    <w:rsid w:val="1A923556"/>
    <w:rsid w:val="1C616530"/>
    <w:rsid w:val="1E9D0594"/>
    <w:rsid w:val="1EA01408"/>
    <w:rsid w:val="1EA21FDF"/>
    <w:rsid w:val="1EDF5020"/>
    <w:rsid w:val="1F29593C"/>
    <w:rsid w:val="1F51709C"/>
    <w:rsid w:val="1FCB0CC2"/>
    <w:rsid w:val="20607AD1"/>
    <w:rsid w:val="20BE2A44"/>
    <w:rsid w:val="22732647"/>
    <w:rsid w:val="23197101"/>
    <w:rsid w:val="231E7145"/>
    <w:rsid w:val="23487B36"/>
    <w:rsid w:val="238B6F39"/>
    <w:rsid w:val="23CE2811"/>
    <w:rsid w:val="267A1EFC"/>
    <w:rsid w:val="2695736E"/>
    <w:rsid w:val="26B446CD"/>
    <w:rsid w:val="27867BF7"/>
    <w:rsid w:val="2801515C"/>
    <w:rsid w:val="281105FD"/>
    <w:rsid w:val="28580DF7"/>
    <w:rsid w:val="2AB638E3"/>
    <w:rsid w:val="2F5129F3"/>
    <w:rsid w:val="2F7E615E"/>
    <w:rsid w:val="314F5556"/>
    <w:rsid w:val="321F317F"/>
    <w:rsid w:val="336C189B"/>
    <w:rsid w:val="36073C0B"/>
    <w:rsid w:val="3A9A25B0"/>
    <w:rsid w:val="3B082DE1"/>
    <w:rsid w:val="3BA01D4C"/>
    <w:rsid w:val="3D2A69F0"/>
    <w:rsid w:val="3EB26D88"/>
    <w:rsid w:val="3EC85642"/>
    <w:rsid w:val="3F7A12F5"/>
    <w:rsid w:val="40671DCB"/>
    <w:rsid w:val="40C03509"/>
    <w:rsid w:val="40C56703"/>
    <w:rsid w:val="418005E1"/>
    <w:rsid w:val="41C53BAE"/>
    <w:rsid w:val="433379C8"/>
    <w:rsid w:val="440B586E"/>
    <w:rsid w:val="4427517F"/>
    <w:rsid w:val="45D109A0"/>
    <w:rsid w:val="471B2DEA"/>
    <w:rsid w:val="49A32D66"/>
    <w:rsid w:val="4A4831FA"/>
    <w:rsid w:val="4A4A6ABB"/>
    <w:rsid w:val="4C030C69"/>
    <w:rsid w:val="4C2C47D5"/>
    <w:rsid w:val="4FAF7B58"/>
    <w:rsid w:val="50573AD2"/>
    <w:rsid w:val="5178029F"/>
    <w:rsid w:val="52163CF5"/>
    <w:rsid w:val="54B97F1A"/>
    <w:rsid w:val="5500455B"/>
    <w:rsid w:val="556A1102"/>
    <w:rsid w:val="5774562F"/>
    <w:rsid w:val="57F95B34"/>
    <w:rsid w:val="58514D81"/>
    <w:rsid w:val="58EA5D45"/>
    <w:rsid w:val="590B523B"/>
    <w:rsid w:val="5A276988"/>
    <w:rsid w:val="5CCF29EE"/>
    <w:rsid w:val="5E5E5F4E"/>
    <w:rsid w:val="5F1A2F60"/>
    <w:rsid w:val="603E2DBB"/>
    <w:rsid w:val="64F80876"/>
    <w:rsid w:val="66477914"/>
    <w:rsid w:val="66CD13A4"/>
    <w:rsid w:val="6AE7340E"/>
    <w:rsid w:val="6B147BF9"/>
    <w:rsid w:val="6C143FC0"/>
    <w:rsid w:val="6C6F0A68"/>
    <w:rsid w:val="73252077"/>
    <w:rsid w:val="7372318C"/>
    <w:rsid w:val="75E87F4B"/>
    <w:rsid w:val="77431BF7"/>
    <w:rsid w:val="790F76AC"/>
    <w:rsid w:val="796901D9"/>
    <w:rsid w:val="7B520E33"/>
    <w:rsid w:val="7C2A47DB"/>
    <w:rsid w:val="7CF17C98"/>
    <w:rsid w:val="7D421EF0"/>
    <w:rsid w:val="7EBE700C"/>
    <w:rsid w:val="7EEC0B7A"/>
    <w:rsid w:val="7F480AFB"/>
    <w:rsid w:val="7FAA57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semiHidden/>
    <w:qFormat/>
    <w:uiPriority w:val="0"/>
  </w:style>
  <w:style w:type="paragraph" w:styleId="4">
    <w:name w:val="Body Text Indent 2"/>
    <w:basedOn w:val="1"/>
    <w:link w:val="12"/>
    <w:qFormat/>
    <w:uiPriority w:val="0"/>
    <w:pPr>
      <w:spacing w:after="120" w:line="480" w:lineRule="auto"/>
      <w:ind w:left="420" w:leftChars="200"/>
    </w:pPr>
    <w:rPr>
      <w:szCs w:val="20"/>
    </w:rPr>
  </w:style>
  <w:style w:type="paragraph" w:styleId="5">
    <w:name w:val="Normal (Web)"/>
    <w:basedOn w:val="1"/>
    <w:qFormat/>
    <w:uiPriority w:val="0"/>
    <w:pPr>
      <w:spacing w:before="100" w:beforeAutospacing="1" w:after="100" w:afterAutospacing="1"/>
    </w:pPr>
    <w:rPr>
      <w:rFonts w:cs="Times New Roman"/>
      <w:sz w:val="24"/>
      <w:lang w:eastAsia="zh-CN"/>
    </w:rPr>
  </w:style>
  <w:style w:type="character" w:styleId="8">
    <w:name w:val="Strong"/>
    <w:basedOn w:val="7"/>
    <w:qFormat/>
    <w:uiPriority w:val="0"/>
    <w:rPr>
      <w:b/>
    </w:rPr>
  </w:style>
  <w:style w:type="paragraph" w:customStyle="1" w:styleId="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style>
  <w:style w:type="character" w:customStyle="1" w:styleId="12">
    <w:name w:val="正文文本缩进 2 Char"/>
    <w:link w:val="4"/>
    <w:autoRedefine/>
    <w:qFormat/>
    <w:uiPriority w:val="0"/>
    <w:rPr>
      <w:szCs w:val="20"/>
    </w:rPr>
  </w:style>
  <w:style w:type="character" w:customStyle="1" w:styleId="13">
    <w:name w:val="font11"/>
    <w:basedOn w:val="7"/>
    <w:autoRedefine/>
    <w:qFormat/>
    <w:uiPriority w:val="0"/>
    <w:rPr>
      <w:rFonts w:hint="eastAsia" w:ascii="宋体" w:hAnsi="宋体" w:eastAsia="宋体" w:cs="宋体"/>
      <w:color w:val="000000"/>
      <w:sz w:val="22"/>
      <w:szCs w:val="22"/>
      <w:u w:val="single"/>
    </w:rPr>
  </w:style>
  <w:style w:type="character" w:customStyle="1" w:styleId="14">
    <w:name w:val="font31"/>
    <w:basedOn w:val="7"/>
    <w:qFormat/>
    <w:uiPriority w:val="0"/>
    <w:rPr>
      <w:rFonts w:hint="eastAsia" w:ascii="宋体" w:hAnsi="宋体" w:eastAsia="宋体" w:cs="宋体"/>
      <w:color w:val="000000"/>
      <w:sz w:val="21"/>
      <w:szCs w:val="21"/>
      <w:u w:val="none"/>
    </w:rPr>
  </w:style>
  <w:style w:type="paragraph" w:styleId="15">
    <w:name w:val="List Paragraph"/>
    <w:basedOn w:val="1"/>
    <w:qFormat/>
    <w:uiPriority w:val="34"/>
    <w:pPr>
      <w:widowControl/>
      <w:ind w:firstLine="420" w:firstLineChars="200"/>
      <w:jc w:val="left"/>
    </w:pPr>
    <w:rPr>
      <w:kern w:val="0"/>
      <w:szCs w:val="20"/>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20</Pages>
  <Words>7404</Words>
  <Characters>7612</Characters>
  <Lines>55</Lines>
  <Paragraphs>15</Paragraphs>
  <TotalTime>0</TotalTime>
  <ScaleCrop>false</ScaleCrop>
  <LinksUpToDate>false</LinksUpToDate>
  <CharactersWithSpaces>8069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2026-09-07T03:11:24Z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4D63848694C74F2A8E530C2C05EC0A86_13</vt:lpwstr>
  </property>
  <property fmtid="{D5CDD505-2E9C-101B-9397-08002B2CF9AE}" pid="4" name="KSOTemplateDocerSaveRecord">
    <vt:lpwstr>eyJoZGlkIjoiZjMxODI1ZDk1NTM3ZThjZDIyMDM0N2Q4Njc3ODMwMjMiLCJ1c2VySWQiOiIyNjI5MDY5MzEifQ==</vt:lpwstr>
  </property>
</Properties>
</file>