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7DD53085">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总则：</w:t>
      </w:r>
    </w:p>
    <w:p w14:paraId="273441D1">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lang w:val="en-US" w:eastAsia="zh-CN"/>
          <w14:textFill>
            <w14:solidFill>
              <w14:schemeClr w14:val="tx1"/>
            </w14:solidFill>
          </w14:textFill>
        </w:rPr>
        <w:t>若本投标产品属于医疗器械，则</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4.本文的“质保期”是指中标标的物经约定的验收机构完成验收之日起算，截止承诺的期限。</w:t>
      </w:r>
    </w:p>
    <w:p w14:paraId="77C786B9">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1"/>
        <w:tblW w:w="6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1833"/>
        <w:gridCol w:w="2131"/>
      </w:tblGrid>
      <w:tr w14:paraId="2C3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598" w:type="dxa"/>
          </w:tcPr>
          <w:p w14:paraId="7474D141">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1833" w:type="dxa"/>
          </w:tcPr>
          <w:p w14:paraId="5291AE2D">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131" w:type="dxa"/>
          </w:tcPr>
          <w:p w14:paraId="226C1BB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4044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598" w:type="dxa"/>
          </w:tcPr>
          <w:p w14:paraId="1666E9E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动态血压监测仪</w:t>
            </w:r>
          </w:p>
        </w:tc>
        <w:tc>
          <w:tcPr>
            <w:tcW w:w="1833" w:type="dxa"/>
          </w:tcPr>
          <w:p w14:paraId="167100A9">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神内二区</w:t>
            </w:r>
          </w:p>
        </w:tc>
        <w:tc>
          <w:tcPr>
            <w:tcW w:w="2131" w:type="dxa"/>
          </w:tcPr>
          <w:p w14:paraId="3D290E42">
            <w:p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r>
    </w:tbl>
    <w:p w14:paraId="23CCDAF4">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w:t>
      </w:r>
      <w:r>
        <w:rPr>
          <w:rFonts w:hint="eastAsia" w:ascii="宋体" w:hAnsi="宋体" w:eastAsia="宋体" w:cs="宋体"/>
          <w:sz w:val="24"/>
          <w:szCs w:val="24"/>
        </w:rPr>
        <w:t>动态血压监测仪</w:t>
      </w:r>
      <w:r>
        <w:rPr>
          <w:rFonts w:ascii="宋体" w:hAnsi="宋体" w:eastAsia="宋体" w:cs="宋体"/>
          <w:sz w:val="24"/>
          <w:szCs w:val="24"/>
        </w:rPr>
        <w:t>（含记录盒、专用袖带、分析软件、数据传输组件）</w:t>
      </w:r>
    </w:p>
    <w:p w14:paraId="5A79904E">
      <w:pPr>
        <w:spacing w:line="440" w:lineRule="exact"/>
        <w:rPr>
          <w:rFonts w:ascii="仿宋" w:hAnsi="仿宋" w:eastAsia="仿宋" w:cs="仿宋"/>
          <w:color w:val="000000" w:themeColor="text1"/>
          <w:sz w:val="24"/>
          <w14:textFill>
            <w14:solidFill>
              <w14:schemeClr w14:val="tx1"/>
            </w14:solidFill>
          </w14:textFill>
        </w:rPr>
      </w:pPr>
    </w:p>
    <w:p w14:paraId="46C969F6">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用途：</w:t>
      </w:r>
      <w:r>
        <w:rPr>
          <w:rFonts w:ascii="宋体" w:hAnsi="宋体" w:eastAsia="宋体" w:cs="宋体"/>
          <w:sz w:val="24"/>
          <w:szCs w:val="24"/>
        </w:rPr>
        <w:t>用于神经内科住院及门诊患者 24 小时连续血压与心率监测，辅助高血压筛查、疗效评估、体位性血压异常、夜间血压节律异常等诊断，满足神内二区脑血管病、眩晕、头痛等病种诊疗需求。</w:t>
      </w:r>
    </w:p>
    <w:p w14:paraId="3AEF8477">
      <w:pPr>
        <w:spacing w:line="440" w:lineRule="exact"/>
        <w:rPr>
          <w:rFonts w:ascii="仿宋" w:hAnsi="仿宋" w:eastAsia="仿宋" w:cs="仿宋"/>
          <w:b/>
          <w:color w:val="000000" w:themeColor="text1"/>
          <w:sz w:val="24"/>
          <w14:textFill>
            <w14:solidFill>
              <w14:schemeClr w14:val="tx1"/>
            </w14:solidFill>
          </w14:textFill>
        </w:rPr>
      </w:pPr>
    </w:p>
    <w:p w14:paraId="3F41A7D6">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技术参数：</w:t>
      </w:r>
    </w:p>
    <w:p w14:paraId="53582A89">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★设备需支持与医院信息系统（HIS）的数据互通，对接费用包含在本项目预算中。</w:t>
      </w:r>
    </w:p>
    <w:p w14:paraId="1595444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 xml:space="preserve">▲设备使用年限不低于 </w:t>
      </w:r>
      <w:r>
        <w:rPr>
          <w:rFonts w:hint="eastAsia"/>
          <w:color w:val="000000"/>
          <w:sz w:val="24"/>
          <w:szCs w:val="24"/>
          <w:lang w:val="en-US" w:eastAsia="zh-CN"/>
        </w:rPr>
        <w:t>8</w:t>
      </w:r>
      <w:r>
        <w:rPr>
          <w:color w:val="000000"/>
          <w:sz w:val="24"/>
          <w:szCs w:val="24"/>
        </w:rPr>
        <w:t xml:space="preserve"> 年。</w:t>
      </w:r>
    </w:p>
    <w:p w14:paraId="201283F7">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测量原理：采用示波震荡法，测量稳定、抗干扰能力强。</w:t>
      </w:r>
    </w:p>
    <w:p w14:paraId="5E442D3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测量范围：收缩压 40–290mmHg，舒张压 20–210mmHg，心率 40–200bpm。</w:t>
      </w:r>
    </w:p>
    <w:p w14:paraId="01076EB3">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测量精度：收缩压、舒张压平均误差≤±3mmHg，标准差≤4mmHg；心率平均误差≤±3bpm 或 ±2%（取较大值）。</w:t>
      </w:r>
    </w:p>
    <w:p w14:paraId="274AF58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监测模式：支持 24 小时连续监测，可自定义测量间隔（5/10/15/20/30/60 分钟可选），支持日间 / 夜间差异化测量方案。</w:t>
      </w:r>
    </w:p>
    <w:p w14:paraId="3A500DE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记录盒：重量＜160g，佩戴轻便；配置 LCD 显示屏，可同屏显示收缩压、舒张压、心率、电池电量。</w:t>
      </w:r>
    </w:p>
    <w:p w14:paraId="5C5AE650">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highlight w:val="none"/>
        </w:rPr>
      </w:pPr>
      <w:r>
        <w:rPr>
          <w:color w:val="000000"/>
          <w:sz w:val="24"/>
          <w:szCs w:val="24"/>
        </w:rPr>
        <w:t>▲</w:t>
      </w:r>
      <w:r>
        <w:rPr>
          <w:color w:val="000000"/>
          <w:sz w:val="24"/>
          <w:szCs w:val="24"/>
          <w:highlight w:val="none"/>
        </w:rPr>
        <w:t>供电方式：采用</w:t>
      </w:r>
      <w:r>
        <w:rPr>
          <w:rStyle w:val="13"/>
          <w:b/>
          <w:bCs/>
          <w:color w:val="000000"/>
          <w:sz w:val="24"/>
          <w:szCs w:val="24"/>
          <w:highlight w:val="none"/>
        </w:rPr>
        <w:t>可拆卸</w:t>
      </w:r>
      <w:r>
        <w:rPr>
          <w:rStyle w:val="13"/>
          <w:rFonts w:hint="eastAsia"/>
          <w:b/>
          <w:bCs/>
          <w:color w:val="000000"/>
          <w:sz w:val="24"/>
          <w:szCs w:val="24"/>
          <w:highlight w:val="none"/>
          <w:lang w:eastAsia="zh-CN"/>
        </w:rPr>
        <w:t>、</w:t>
      </w:r>
      <w:r>
        <w:rPr>
          <w:rStyle w:val="13"/>
          <w:rFonts w:hint="eastAsia"/>
          <w:b/>
          <w:bCs/>
          <w:color w:val="000000"/>
          <w:sz w:val="24"/>
          <w:szCs w:val="24"/>
          <w:highlight w:val="none"/>
          <w:lang w:val="en-US" w:eastAsia="zh-CN"/>
        </w:rPr>
        <w:t>可充电</w:t>
      </w:r>
      <w:r>
        <w:rPr>
          <w:rStyle w:val="13"/>
          <w:b/>
          <w:bCs/>
          <w:color w:val="000000"/>
          <w:sz w:val="24"/>
          <w:szCs w:val="24"/>
          <w:highlight w:val="none"/>
        </w:rPr>
        <w:t>电池</w:t>
      </w:r>
      <w:r>
        <w:rPr>
          <w:color w:val="000000"/>
          <w:sz w:val="24"/>
          <w:szCs w:val="24"/>
          <w:highlight w:val="none"/>
        </w:rPr>
        <w:t>，满足医院临床安全管理要求。</w:t>
      </w:r>
    </w:p>
    <w:p w14:paraId="179BD26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highlight w:val="none"/>
        </w:rPr>
      </w:pPr>
      <w:r>
        <w:rPr>
          <w:color w:val="000000"/>
          <w:sz w:val="24"/>
          <w:szCs w:val="24"/>
          <w:highlight w:val="none"/>
        </w:rPr>
        <w:t>数据存储：闪存存储，可存储≥450 组测量数据，掉电不丢失数据。</w:t>
      </w:r>
    </w:p>
    <w:p w14:paraId="501E2C2B">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highlight w:val="none"/>
        </w:rPr>
      </w:pPr>
      <w:r>
        <w:rPr>
          <w:color w:val="000000"/>
          <w:sz w:val="24"/>
          <w:szCs w:val="24"/>
          <w:highlight w:val="none"/>
        </w:rPr>
        <w:t>数据传输：支持 USB/Type</w:t>
      </w:r>
      <w:r>
        <w:rPr>
          <w:color w:val="000000"/>
          <w:sz w:val="24"/>
          <w:szCs w:val="24"/>
          <w:highlight w:val="none"/>
        </w:rPr>
        <w:noBreakHyphen/>
      </w:r>
      <w:r>
        <w:rPr>
          <w:color w:val="000000"/>
          <w:sz w:val="24"/>
          <w:szCs w:val="24"/>
          <w:highlight w:val="none"/>
        </w:rPr>
        <w:t>C / 蓝牙传输，可快速导出数据至分析工作站。</w:t>
      </w:r>
    </w:p>
    <w:p w14:paraId="28FA76C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highlight w:val="none"/>
        </w:rPr>
      </w:pPr>
      <w:r>
        <w:rPr>
          <w:color w:val="000000"/>
          <w:sz w:val="24"/>
          <w:szCs w:val="24"/>
          <w:highlight w:val="none"/>
        </w:rPr>
        <w:t>安全保护：具备过压保护（＞300mmHg 自动释压）、断电自动泄压功能；袖带气密性良好（1 分钟压降≤0.6kPa）。</w:t>
      </w:r>
    </w:p>
    <w:p w14:paraId="22423041">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highlight w:val="none"/>
        </w:rPr>
      </w:pPr>
      <w:r>
        <w:rPr>
          <w:color w:val="000000"/>
          <w:sz w:val="24"/>
          <w:szCs w:val="24"/>
          <w:highlight w:val="none"/>
        </w:rPr>
        <w:t>▲袖带：必须采用</w:t>
      </w:r>
      <w:r>
        <w:rPr>
          <w:rFonts w:hint="eastAsia"/>
          <w:b/>
          <w:bCs/>
          <w:color w:val="000000"/>
          <w:sz w:val="24"/>
          <w:szCs w:val="24"/>
          <w:highlight w:val="none"/>
          <w:lang w:val="en-US" w:eastAsia="zh-CN"/>
        </w:rPr>
        <w:t>可拆卸</w:t>
      </w:r>
      <w:r>
        <w:rPr>
          <w:rStyle w:val="13"/>
          <w:b/>
          <w:bCs/>
          <w:color w:val="000000"/>
          <w:sz w:val="24"/>
          <w:szCs w:val="24"/>
          <w:highlight w:val="none"/>
        </w:rPr>
        <w:t>内衬式</w:t>
      </w:r>
      <w:r>
        <w:rPr>
          <w:color w:val="000000"/>
          <w:sz w:val="24"/>
          <w:szCs w:val="24"/>
          <w:highlight w:val="none"/>
        </w:rPr>
        <w:t>设计，佩戴舒适、减少皮肤刺激，适配成人标准臂围。</w:t>
      </w:r>
    </w:p>
    <w:p w14:paraId="26A67D5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▲续航能力：满电状态支持≥24 小时连续监测、≥200 次有效测量。</w:t>
      </w:r>
    </w:p>
    <w:p w14:paraId="132A374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事件标记：支持手动标记用药、身体不适、体位变化等临床事件。</w:t>
      </w:r>
    </w:p>
    <w:p w14:paraId="7DD2140B">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firstLine="0" w:firstLineChars="0"/>
        <w:jc w:val="left"/>
        <w:rPr>
          <w:color w:val="000000"/>
          <w:sz w:val="24"/>
          <w:szCs w:val="24"/>
        </w:rPr>
      </w:pPr>
      <w:r>
        <w:rPr>
          <w:color w:val="000000"/>
          <w:sz w:val="24"/>
          <w:szCs w:val="24"/>
        </w:rPr>
        <w:t>▲分析软件：可生成血压趋势图、统计数据表、昼夜节律、血压负荷、夜间下降率等专业报告，支持报告打印与数据导出。</w:t>
      </w:r>
    </w:p>
    <w:p w14:paraId="7C15B03B">
      <w:pPr>
        <w:spacing w:line="440" w:lineRule="exact"/>
        <w:rPr>
          <w:rFonts w:ascii="仿宋" w:hAnsi="仿宋" w:eastAsia="仿宋" w:cs="仿宋"/>
          <w:b/>
          <w:color w:val="000000" w:themeColor="text1"/>
          <w:sz w:val="24"/>
          <w14:textFill>
            <w14:solidFill>
              <w14:schemeClr w14:val="tx1"/>
            </w14:solidFill>
          </w14:textFill>
        </w:rPr>
      </w:pPr>
    </w:p>
    <w:p w14:paraId="3E369F02">
      <w:pPr>
        <w:spacing w:line="440" w:lineRule="exact"/>
        <w:rPr>
          <w:rFonts w:ascii="仿宋" w:hAnsi="仿宋" w:eastAsia="仿宋" w:cs="仿宋"/>
          <w:b/>
          <w:color w:val="000000" w:themeColor="text1"/>
          <w:sz w:val="24"/>
          <w14:textFill>
            <w14:solidFill>
              <w14:schemeClr w14:val="tx1"/>
            </w14:solidFill>
          </w14:textFill>
        </w:rPr>
      </w:pPr>
    </w:p>
    <w:p w14:paraId="43B41578">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134"/>
        <w:gridCol w:w="449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1134" w:type="dxa"/>
          </w:tcPr>
          <w:p w14:paraId="2CA505E4">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名称</w:t>
            </w:r>
          </w:p>
        </w:tc>
        <w:tc>
          <w:tcPr>
            <w:tcW w:w="4490" w:type="dxa"/>
          </w:tcPr>
          <w:p w14:paraId="2D5BB4C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要求</w:t>
            </w:r>
          </w:p>
        </w:tc>
        <w:tc>
          <w:tcPr>
            <w:tcW w:w="969" w:type="dxa"/>
          </w:tcPr>
          <w:p w14:paraId="18F0D697">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c>
          <w:tcPr>
            <w:tcW w:w="920" w:type="dxa"/>
          </w:tcPr>
          <w:p w14:paraId="2810EB05">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p>
        </w:tc>
        <w:tc>
          <w:tcPr>
            <w:tcW w:w="1134" w:type="dxa"/>
          </w:tcPr>
          <w:p w14:paraId="0A7D2EC3">
            <w:pPr>
              <w:spacing w:line="440" w:lineRule="exact"/>
              <w:rPr>
                <w:rFonts w:hint="default" w:ascii="仿宋" w:hAnsi="仿宋" w:eastAsia="仿宋" w:cs="仿宋"/>
                <w:b/>
                <w:color w:val="000000" w:themeColor="text1"/>
                <w:sz w:val="24"/>
                <w:lang w:val="en-US" w:eastAsia="zh-CN"/>
                <w14:textFill>
                  <w14:solidFill>
                    <w14:schemeClr w14:val="tx1"/>
                  </w14:solidFill>
                </w14:textFill>
              </w:rPr>
            </w:pPr>
            <w:r>
              <w:rPr>
                <w:rFonts w:ascii="宋体" w:hAnsi="宋体" w:eastAsia="宋体" w:cs="宋体"/>
                <w:sz w:val="24"/>
                <w:szCs w:val="24"/>
              </w:rPr>
              <w:t>电源适配器 / 充电器</w:t>
            </w:r>
          </w:p>
        </w:tc>
        <w:tc>
          <w:tcPr>
            <w:tcW w:w="4490" w:type="dxa"/>
          </w:tcPr>
          <w:p w14:paraId="0C3A4790">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适配记录盒充电使用</w:t>
            </w:r>
          </w:p>
        </w:tc>
        <w:tc>
          <w:tcPr>
            <w:tcW w:w="969" w:type="dxa"/>
          </w:tcPr>
          <w:p w14:paraId="765B493F">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5F66FD1C">
            <w:pPr>
              <w:spacing w:line="440" w:lineRule="exact"/>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5757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C64CF9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p>
        </w:tc>
        <w:tc>
          <w:tcPr>
            <w:tcW w:w="1134" w:type="dxa"/>
          </w:tcPr>
          <w:p w14:paraId="653A6C7D">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动态血压记录盒</w:t>
            </w:r>
          </w:p>
        </w:tc>
        <w:tc>
          <w:tcPr>
            <w:tcW w:w="4490" w:type="dxa"/>
          </w:tcPr>
          <w:p w14:paraId="1E912764">
            <w:pPr>
              <w:spacing w:line="440" w:lineRule="exact"/>
              <w:rPr>
                <w:rFonts w:ascii="仿宋" w:hAnsi="仿宋" w:eastAsia="仿宋" w:cs="仿宋"/>
                <w:b/>
                <w:color w:val="000000" w:themeColor="text1"/>
                <w:sz w:val="24"/>
                <w:highlight w:val="none"/>
                <w14:textFill>
                  <w14:solidFill>
                    <w14:schemeClr w14:val="tx1"/>
                  </w14:solidFill>
                </w14:textFill>
              </w:rPr>
            </w:pPr>
            <w:r>
              <w:rPr>
                <w:rFonts w:ascii="宋体" w:hAnsi="宋体" w:eastAsia="宋体" w:cs="宋体"/>
                <w:sz w:val="24"/>
                <w:szCs w:val="24"/>
                <w:highlight w:val="none"/>
              </w:rPr>
              <w:t>24 小时连续监测、抗干扰、数据掉电保护、可拆卸电池</w:t>
            </w:r>
          </w:p>
        </w:tc>
        <w:tc>
          <w:tcPr>
            <w:tcW w:w="969" w:type="dxa"/>
          </w:tcPr>
          <w:p w14:paraId="57B1E27F">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122C140C">
            <w:pPr>
              <w:spacing w:line="440" w:lineRule="exact"/>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5E63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36ADD2E">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w:t>
            </w:r>
          </w:p>
        </w:tc>
        <w:tc>
          <w:tcPr>
            <w:tcW w:w="1134" w:type="dxa"/>
          </w:tcPr>
          <w:p w14:paraId="4EF6C4C1">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专用血压袖带</w:t>
            </w:r>
          </w:p>
        </w:tc>
        <w:tc>
          <w:tcPr>
            <w:tcW w:w="4490" w:type="dxa"/>
          </w:tcPr>
          <w:p w14:paraId="263C8191">
            <w:pPr>
              <w:spacing w:line="440" w:lineRule="exact"/>
              <w:rPr>
                <w:rFonts w:ascii="仿宋" w:hAnsi="仿宋" w:eastAsia="仿宋" w:cs="仿宋"/>
                <w:b w:val="0"/>
                <w:bCs/>
                <w:color w:val="000000" w:themeColor="text1"/>
                <w:sz w:val="24"/>
                <w:highlight w:val="none"/>
                <w14:textFill>
                  <w14:solidFill>
                    <w14:schemeClr w14:val="tx1"/>
                  </w14:solidFill>
                </w14:textFill>
              </w:rPr>
            </w:pPr>
            <w:r>
              <w:rPr>
                <w:rFonts w:hint="eastAsia" w:ascii="宋体" w:hAnsi="宋体" w:eastAsia="宋体" w:cs="宋体"/>
                <w:sz w:val="24"/>
                <w:szCs w:val="24"/>
                <w:highlight w:val="none"/>
                <w:lang w:val="en-US" w:eastAsia="zh-CN"/>
              </w:rPr>
              <w:t>可拆卸</w:t>
            </w:r>
            <w:r>
              <w:rPr>
                <w:rFonts w:ascii="宋体" w:hAnsi="宋体" w:eastAsia="宋体" w:cs="宋体"/>
                <w:sz w:val="24"/>
                <w:szCs w:val="24"/>
                <w:highlight w:val="none"/>
              </w:rPr>
              <w:t>内衬式、成人标准款、气密性合格</w:t>
            </w:r>
          </w:p>
        </w:tc>
        <w:tc>
          <w:tcPr>
            <w:tcW w:w="969" w:type="dxa"/>
          </w:tcPr>
          <w:p w14:paraId="5D5C348B">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3</w:t>
            </w:r>
          </w:p>
        </w:tc>
        <w:tc>
          <w:tcPr>
            <w:tcW w:w="920" w:type="dxa"/>
          </w:tcPr>
          <w:p w14:paraId="0F0EF82B">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6287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D770B6B">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w:t>
            </w:r>
          </w:p>
        </w:tc>
        <w:tc>
          <w:tcPr>
            <w:tcW w:w="1134" w:type="dxa"/>
          </w:tcPr>
          <w:p w14:paraId="7F7EE69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数据传输线</w:t>
            </w:r>
          </w:p>
        </w:tc>
        <w:tc>
          <w:tcPr>
            <w:tcW w:w="4490" w:type="dxa"/>
          </w:tcPr>
          <w:p w14:paraId="2F783D96">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USB/Type</w:t>
            </w:r>
            <w:r>
              <w:rPr>
                <w:rFonts w:ascii="宋体" w:hAnsi="宋体" w:eastAsia="宋体" w:cs="宋体"/>
                <w:sz w:val="24"/>
                <w:szCs w:val="24"/>
              </w:rPr>
              <w:noBreakHyphen/>
            </w:r>
            <w:r>
              <w:rPr>
                <w:rFonts w:ascii="宋体" w:hAnsi="宋体" w:eastAsia="宋体" w:cs="宋体"/>
                <w:sz w:val="24"/>
                <w:szCs w:val="24"/>
              </w:rPr>
              <w:t>C 接口，适配记录盒与工作站</w:t>
            </w:r>
          </w:p>
        </w:tc>
        <w:tc>
          <w:tcPr>
            <w:tcW w:w="969" w:type="dxa"/>
          </w:tcPr>
          <w:p w14:paraId="5C789684">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485110E5">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6D16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54E63F5">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w:t>
            </w:r>
          </w:p>
        </w:tc>
        <w:tc>
          <w:tcPr>
            <w:tcW w:w="1134" w:type="dxa"/>
          </w:tcPr>
          <w:p w14:paraId="0E52BE05">
            <w:pPr>
              <w:spacing w:line="440" w:lineRule="exact"/>
              <w:rPr>
                <w:rFonts w:hint="eastAsia" w:ascii="仿宋" w:hAnsi="仿宋" w:eastAsia="宋体" w:cs="仿宋"/>
                <w:b/>
                <w:color w:val="000000" w:themeColor="text1"/>
                <w:sz w:val="24"/>
                <w:lang w:val="en-US" w:eastAsia="zh-CN"/>
                <w14:textFill>
                  <w14:solidFill>
                    <w14:schemeClr w14:val="tx1"/>
                  </w14:solidFill>
                </w14:textFill>
              </w:rPr>
            </w:pPr>
            <w:r>
              <w:rPr>
                <w:rFonts w:ascii="宋体" w:hAnsi="宋体" w:eastAsia="宋体" w:cs="宋体"/>
                <w:sz w:val="24"/>
                <w:szCs w:val="24"/>
              </w:rPr>
              <w:t>动态血压分析软件</w:t>
            </w:r>
          </w:p>
        </w:tc>
        <w:tc>
          <w:tcPr>
            <w:tcW w:w="4490" w:type="dxa"/>
          </w:tcPr>
          <w:p w14:paraId="04AC4AD2">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含安装 U 盘、授权码、终身免费升级</w:t>
            </w:r>
          </w:p>
        </w:tc>
        <w:tc>
          <w:tcPr>
            <w:tcW w:w="969" w:type="dxa"/>
          </w:tcPr>
          <w:p w14:paraId="5B990568">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4EB3DC40">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7C28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4576C326">
            <w:pPr>
              <w:spacing w:line="440" w:lineRule="exact"/>
              <w:jc w:val="both"/>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p>
        </w:tc>
        <w:tc>
          <w:tcPr>
            <w:tcW w:w="1134" w:type="dxa"/>
          </w:tcPr>
          <w:p w14:paraId="7C64D437">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合格证、使用说明书、保修卡</w:t>
            </w:r>
          </w:p>
        </w:tc>
        <w:tc>
          <w:tcPr>
            <w:tcW w:w="4490" w:type="dxa"/>
          </w:tcPr>
          <w:p w14:paraId="3C347C3B">
            <w:pPr>
              <w:spacing w:line="440" w:lineRule="exact"/>
              <w:rPr>
                <w:rFonts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资料齐全，含原厂质保承诺</w:t>
            </w:r>
          </w:p>
        </w:tc>
        <w:tc>
          <w:tcPr>
            <w:tcW w:w="969" w:type="dxa"/>
          </w:tcPr>
          <w:p w14:paraId="3DE9BCF7">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03FF39C2">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r w14:paraId="5113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6AA43D6">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p>
        </w:tc>
        <w:tc>
          <w:tcPr>
            <w:tcW w:w="1134" w:type="dxa"/>
          </w:tcPr>
          <w:p w14:paraId="68DC6CC4">
            <w:pPr>
              <w:spacing w:line="440" w:lineRule="exact"/>
              <w:rPr>
                <w:rFonts w:hint="eastAsia" w:ascii="仿宋" w:hAnsi="仿宋" w:eastAsia="仿宋" w:cs="仿宋"/>
                <w:b/>
                <w:color w:val="000000" w:themeColor="text1"/>
                <w:sz w:val="24"/>
                <w14:textFill>
                  <w14:solidFill>
                    <w14:schemeClr w14:val="tx1"/>
                  </w14:solidFill>
                </w14:textFill>
              </w:rPr>
            </w:pPr>
            <w:r>
              <w:rPr>
                <w:rFonts w:ascii="宋体" w:hAnsi="宋体" w:eastAsia="宋体" w:cs="宋体"/>
                <w:sz w:val="24"/>
                <w:szCs w:val="24"/>
              </w:rPr>
              <w:t>安装调试工具包</w:t>
            </w:r>
          </w:p>
        </w:tc>
        <w:tc>
          <w:tcPr>
            <w:tcW w:w="4490" w:type="dxa"/>
          </w:tcPr>
          <w:p w14:paraId="1FC17EDB">
            <w:pPr>
              <w:spacing w:line="440" w:lineRule="exact"/>
              <w:rPr>
                <w:rFonts w:ascii="宋体" w:hAnsi="宋体" w:eastAsia="宋体" w:cs="宋体"/>
                <w:sz w:val="24"/>
                <w:szCs w:val="24"/>
              </w:rPr>
            </w:pPr>
            <w:r>
              <w:rPr>
                <w:rFonts w:ascii="宋体" w:hAnsi="宋体" w:eastAsia="宋体" w:cs="宋体"/>
                <w:sz w:val="24"/>
                <w:szCs w:val="24"/>
              </w:rPr>
              <w:t>含校准、检测专用配件</w:t>
            </w:r>
          </w:p>
        </w:tc>
        <w:tc>
          <w:tcPr>
            <w:tcW w:w="969" w:type="dxa"/>
          </w:tcPr>
          <w:p w14:paraId="300105A2">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p>
        </w:tc>
        <w:tc>
          <w:tcPr>
            <w:tcW w:w="920" w:type="dxa"/>
          </w:tcPr>
          <w:p w14:paraId="5E6C0135">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套</w:t>
            </w:r>
          </w:p>
        </w:tc>
      </w:tr>
    </w:tbl>
    <w:p w14:paraId="138CF678">
      <w:pPr>
        <w:spacing w:line="440" w:lineRule="exact"/>
        <w:rPr>
          <w:rFonts w:ascii="仿宋" w:hAnsi="仿宋" w:eastAsia="仿宋" w:cs="仿宋"/>
          <w:b/>
          <w:color w:val="000000" w:themeColor="text1"/>
          <w:sz w:val="24"/>
          <w14:textFill>
            <w14:solidFill>
              <w14:schemeClr w14:val="tx1"/>
            </w14:solidFill>
          </w14:textFill>
        </w:rPr>
      </w:pPr>
    </w:p>
    <w:p w14:paraId="40B9EDCD">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商务要求：</w:t>
      </w:r>
    </w:p>
    <w:p w14:paraId="6D40CCE9">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31BF49CB">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1.1交货地点：采购人指定地点。</w:t>
      </w:r>
    </w:p>
    <w:p w14:paraId="575F906B">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1.2交货期：中标供应商应当在中标通知书发出之日起30日内按采购需求及的投标文件确定的事项与采购人签订合同，签订合同后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30</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w:t>
      </w:r>
      <w:bookmarkStart w:id="0" w:name="_GoBack"/>
      <w:bookmarkEnd w:id="0"/>
      <w:r>
        <w:rPr>
          <w:rFonts w:hint="eastAsia" w:ascii="仿宋" w:hAnsi="仿宋" w:eastAsia="仿宋" w:cs="仿宋"/>
          <w:color w:val="auto"/>
          <w:sz w:val="24"/>
          <w:highlight w:val="none"/>
        </w:rPr>
        <w:t>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年</w:t>
      </w:r>
      <w:r>
        <w:rPr>
          <w:rFonts w:hint="eastAsia" w:ascii="仿宋" w:hAnsi="仿宋" w:eastAsia="仿宋" w:cs="仿宋"/>
          <w:color w:val="auto"/>
          <w:sz w:val="24"/>
          <w:highlight w:val="none"/>
        </w:rPr>
        <w:t>。</w:t>
      </w:r>
    </w:p>
    <w:p w14:paraId="0AB0BFF9">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auto"/>
          <w:sz w:val="24"/>
          <w:highlight w:val="none"/>
        </w:rPr>
        <w:t>2.3在售后期内，中标供应商在接到用户的维修通知，响应时间为半小时内，工</w:t>
      </w:r>
      <w:r>
        <w:rPr>
          <w:rFonts w:hint="eastAsia" w:ascii="仿宋" w:hAnsi="仿宋" w:eastAsia="仿宋" w:cs="仿宋"/>
          <w:color w:val="000000" w:themeColor="text1"/>
          <w:sz w:val="24"/>
          <w:highlight w:val="none"/>
          <w14:textFill>
            <w14:solidFill>
              <w14:schemeClr w14:val="tx1"/>
            </w14:solidFill>
          </w14:textFill>
        </w:rPr>
        <w:t>程师到达现场时间为4小时内，排除故障时限为到达现场后8小时内。</w:t>
      </w:r>
    </w:p>
    <w:p w14:paraId="358E05F3">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000000" w:themeColor="text1"/>
          <w:sz w:val="24"/>
          <w:highlight w:val="none"/>
          <w14:textFill>
            <w14:solidFill>
              <w14:schemeClr w14:val="tx1"/>
            </w14:solidFill>
          </w14:textFill>
        </w:rPr>
      </w:pPr>
    </w:p>
    <w:p w14:paraId="1533462C">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14:textFill>
            <w14:solidFill>
              <w14:schemeClr w14:val="tx1"/>
            </w14:solidFill>
          </w14:textFill>
        </w:rPr>
        <w:t>3.付款方式</w:t>
      </w:r>
    </w:p>
    <w:p w14:paraId="1BE3E546">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3.1本合同的每笔款项以人民币转账方式支付</w:t>
      </w:r>
      <w:r>
        <w:rPr>
          <w:rFonts w:hint="eastAsia" w:ascii="仿宋" w:hAnsi="仿宋" w:eastAsia="仿宋" w:cs="仿宋"/>
          <w:color w:val="000000" w:themeColor="text1"/>
          <w:sz w:val="24"/>
          <w:highlight w:val="none"/>
          <w:lang w:eastAsia="zh-CN"/>
          <w14:textFill>
            <w14:solidFill>
              <w14:schemeClr w14:val="tx1"/>
            </w14:solidFill>
          </w14:textFill>
        </w:rPr>
        <w:t>。</w:t>
      </w:r>
    </w:p>
    <w:p w14:paraId="2797CF2D">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000000" w:themeColor="text1"/>
          <w:sz w:val="24"/>
          <w:highlight w:val="none"/>
          <w14:textFill>
            <w14:solidFill>
              <w14:schemeClr w14:val="tx1"/>
            </w14:solidFill>
          </w14:textFill>
        </w:rPr>
        <w:t>后一次性无息</w:t>
      </w:r>
      <w:r>
        <w:rPr>
          <w:rFonts w:hint="eastAsia" w:ascii="仿宋" w:hAnsi="仿宋" w:eastAsia="仿宋" w:cs="仿宋"/>
          <w:color w:val="000000" w:themeColor="text1"/>
          <w:sz w:val="24"/>
          <w:highlight w:val="none"/>
          <w:lang w:val="en-US" w:eastAsia="zh-CN"/>
          <w14:textFill>
            <w14:solidFill>
              <w14:schemeClr w14:val="tx1"/>
            </w14:solidFill>
          </w14:textFill>
        </w:rPr>
        <w:t>支付</w:t>
      </w:r>
      <w:r>
        <w:rPr>
          <w:rFonts w:hint="eastAsia" w:ascii="仿宋" w:hAnsi="仿宋" w:eastAsia="仿宋" w:cs="仿宋"/>
          <w:color w:val="000000" w:themeColor="text1"/>
          <w:sz w:val="24"/>
          <w:highlight w:val="none"/>
          <w14:textFill>
            <w14:solidFill>
              <w14:schemeClr w14:val="tx1"/>
            </w14:solidFill>
          </w14:textFill>
        </w:rPr>
        <w:t>。</w:t>
      </w:r>
    </w:p>
    <w:p w14:paraId="6729C62D">
      <w:pPr>
        <w:numPr>
          <w:ilvl w:val="0"/>
          <w:numId w:val="0"/>
        </w:numPr>
        <w:ind w:leftChars="0"/>
        <w:rPr>
          <w:rFonts w:hint="eastAsia" w:ascii="仿宋" w:hAnsi="仿宋" w:eastAsia="仿宋" w:cs="仿宋"/>
          <w:b/>
          <w:color w:val="0000FF"/>
          <w:sz w:val="24"/>
          <w:lang w:val="en-US" w:eastAsia="zh-CN"/>
        </w:rPr>
      </w:pPr>
    </w:p>
    <w:p w14:paraId="3596FFFC">
      <w:pPr>
        <w:spacing w:line="440" w:lineRule="exact"/>
        <w:jc w:val="center"/>
        <w:rPr>
          <w:rFonts w:ascii="仿宋" w:hAnsi="仿宋" w:eastAsia="仿宋" w:cs="仿宋"/>
          <w:b/>
          <w:bCs/>
          <w:color w:val="000000" w:themeColor="text1"/>
          <w:sz w:val="24"/>
          <w14:textFill>
            <w14:solidFill>
              <w14:schemeClr w14:val="tx1"/>
            </w14:solidFill>
          </w14:textFill>
        </w:rPr>
      </w:pPr>
    </w:p>
    <w:p w14:paraId="2FC56A74">
      <w:pPr>
        <w:spacing w:line="440" w:lineRule="exact"/>
        <w:jc w:val="center"/>
        <w:rPr>
          <w:rFonts w:ascii="仿宋" w:hAnsi="仿宋" w:eastAsia="仿宋" w:cs="仿宋"/>
          <w:b/>
          <w:bCs/>
          <w:color w:val="000000" w:themeColor="text1"/>
          <w:sz w:val="24"/>
          <w14:textFill>
            <w14:solidFill>
              <w14:schemeClr w14:val="tx1"/>
            </w14:solidFill>
          </w14:textFill>
        </w:rPr>
      </w:pPr>
    </w:p>
    <w:p w14:paraId="658616E2">
      <w:pPr>
        <w:spacing w:line="440" w:lineRule="exact"/>
        <w:jc w:val="center"/>
        <w:rPr>
          <w:rFonts w:ascii="仿宋" w:hAnsi="仿宋" w:eastAsia="仿宋" w:cs="仿宋"/>
          <w:b/>
          <w:bCs/>
          <w:color w:val="000000" w:themeColor="text1"/>
          <w:sz w:val="24"/>
          <w14:textFill>
            <w14:solidFill>
              <w14:schemeClr w14:val="tx1"/>
            </w14:solidFill>
          </w14:textFill>
        </w:rPr>
      </w:pPr>
    </w:p>
    <w:p w14:paraId="55AFC2DF">
      <w:pPr>
        <w:rPr>
          <w:rFonts w:ascii="仿宋" w:hAnsi="仿宋" w:eastAsia="仿宋" w:cs="仿宋"/>
          <w:color w:val="000000" w:themeColor="text1"/>
          <w:sz w:val="24"/>
          <w:highlight w:val="cyan"/>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需求科室：                               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3D10A"/>
    <w:multiLevelType w:val="singleLevel"/>
    <w:tmpl w:val="8D93D10A"/>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7976DE6"/>
    <w:rsid w:val="126775F5"/>
    <w:rsid w:val="140524A5"/>
    <w:rsid w:val="17A84A31"/>
    <w:rsid w:val="18AC198D"/>
    <w:rsid w:val="1A362D0A"/>
    <w:rsid w:val="1A9A1AE2"/>
    <w:rsid w:val="1DB403E5"/>
    <w:rsid w:val="1E8B3C3C"/>
    <w:rsid w:val="1F0C2891"/>
    <w:rsid w:val="1FF004A0"/>
    <w:rsid w:val="21F75571"/>
    <w:rsid w:val="221D57CB"/>
    <w:rsid w:val="26AC3567"/>
    <w:rsid w:val="27094723"/>
    <w:rsid w:val="2A710EAE"/>
    <w:rsid w:val="2A9C6E10"/>
    <w:rsid w:val="2B9A59A4"/>
    <w:rsid w:val="2CAB1A01"/>
    <w:rsid w:val="2D887C39"/>
    <w:rsid w:val="2D993838"/>
    <w:rsid w:val="2E110DC4"/>
    <w:rsid w:val="2E6A6D7F"/>
    <w:rsid w:val="2EA70528"/>
    <w:rsid w:val="323C0B50"/>
    <w:rsid w:val="33712CFE"/>
    <w:rsid w:val="33895773"/>
    <w:rsid w:val="351234CC"/>
    <w:rsid w:val="361954A6"/>
    <w:rsid w:val="3C740147"/>
    <w:rsid w:val="3CF45D24"/>
    <w:rsid w:val="3E30781C"/>
    <w:rsid w:val="3E9B4363"/>
    <w:rsid w:val="3ECA1709"/>
    <w:rsid w:val="3EEE625E"/>
    <w:rsid w:val="41EA4FEF"/>
    <w:rsid w:val="443A5766"/>
    <w:rsid w:val="44746547"/>
    <w:rsid w:val="4BF76F64"/>
    <w:rsid w:val="4BFF33E8"/>
    <w:rsid w:val="4EBD0A92"/>
    <w:rsid w:val="4F9A3A01"/>
    <w:rsid w:val="508D0C98"/>
    <w:rsid w:val="52E75AB8"/>
    <w:rsid w:val="579F1125"/>
    <w:rsid w:val="58B3555A"/>
    <w:rsid w:val="5A3921D0"/>
    <w:rsid w:val="5DC71851"/>
    <w:rsid w:val="5E871CB1"/>
    <w:rsid w:val="656A70AF"/>
    <w:rsid w:val="666D627A"/>
    <w:rsid w:val="66AA15BF"/>
    <w:rsid w:val="69340CF8"/>
    <w:rsid w:val="6BD2675F"/>
    <w:rsid w:val="6C171CF3"/>
    <w:rsid w:val="6DDF526D"/>
    <w:rsid w:val="6EBE424E"/>
    <w:rsid w:val="6F2A17D8"/>
    <w:rsid w:val="6FA967C4"/>
    <w:rsid w:val="73542159"/>
    <w:rsid w:val="74235FBB"/>
    <w:rsid w:val="744B3E55"/>
    <w:rsid w:val="74EB7879"/>
    <w:rsid w:val="76484782"/>
    <w:rsid w:val="7A293BFF"/>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8"/>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7"/>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paragraph" w:styleId="15">
    <w:name w:val="List Paragraph"/>
    <w:basedOn w:val="1"/>
    <w:unhideWhenUsed/>
    <w:qFormat/>
    <w:uiPriority w:val="99"/>
    <w:pPr>
      <w:ind w:firstLine="420" w:firstLineChars="200"/>
    </w:pPr>
  </w:style>
  <w:style w:type="character" w:customStyle="1" w:styleId="16">
    <w:name w:val="批注文字 Char"/>
    <w:basedOn w:val="12"/>
    <w:link w:val="2"/>
    <w:qFormat/>
    <w:uiPriority w:val="0"/>
    <w:rPr>
      <w:rFonts w:asciiTheme="minorHAnsi" w:hAnsiTheme="minorHAnsi" w:eastAsiaTheme="minorEastAsia" w:cstheme="minorBidi"/>
      <w:sz w:val="21"/>
    </w:rPr>
  </w:style>
  <w:style w:type="character" w:customStyle="1" w:styleId="17">
    <w:name w:val="批注主题 Char"/>
    <w:basedOn w:val="16"/>
    <w:link w:val="8"/>
    <w:qFormat/>
    <w:uiPriority w:val="0"/>
  </w:style>
  <w:style w:type="character" w:customStyle="1" w:styleId="18">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9">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0">
    <w:name w:val="页脚 Char"/>
    <w:basedOn w:val="12"/>
    <w:link w:val="6"/>
    <w:qFormat/>
    <w:uiPriority w:val="99"/>
    <w:rPr>
      <w:rFonts w:asciiTheme="minorHAnsi" w:hAnsiTheme="minorHAnsi" w:eastAsiaTheme="minorEastAsia" w:cstheme="minorBidi"/>
      <w:kern w:val="2"/>
      <w:sz w:val="18"/>
      <w:szCs w:val="24"/>
    </w:rPr>
  </w:style>
  <w:style w:type="character" w:customStyle="1" w:styleId="21">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1993</Words>
  <Characters>2141</Characters>
  <Lines>10</Lines>
  <Paragraphs>2</Paragraphs>
  <TotalTime>51</TotalTime>
  <ScaleCrop>false</ScaleCrop>
  <LinksUpToDate>false</LinksUpToDate>
  <CharactersWithSpaces>2181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2026-07-03T09:14:07Z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3E170294010344E184B414AB4A2B2768_13</vt:lpwstr>
  </property>
  <property fmtid="{D5CDD505-2E9C-101B-9397-08002B2CF9AE}" pid="4" name="KSOTemplateDocerSaveRecord">
    <vt:lpwstr>eyJoZGlkIjoiZTIwMTMwYTA2NTI3OTgwOGYwYzA4NmFiZDYzYTU5NzEiLCJ1c2VySWQiOiI2NzkzNTU2NjEifQ==</vt:lpwstr>
  </property>
</Properties>
</file>