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72AD6">
      <w:pPr>
        <w:pageBreakBefore w:val="0"/>
        <w:kinsoku/>
        <w:overflowPunct/>
        <w:topLinePunct w:val="0"/>
        <w:bidi w:val="0"/>
        <w:adjustRightInd/>
        <w:snapToGrid/>
        <w:spacing w:line="480" w:lineRule="exact"/>
        <w:jc w:val="center"/>
        <w:textAlignment w:val="auto"/>
        <w:rPr>
          <w:rStyle w:val="10"/>
          <w:rFonts w:hint="eastAsia" w:ascii="宋体" w:hAnsi="宋体" w:eastAsia="宋体" w:cs="宋体"/>
          <w:i w:val="0"/>
          <w:iCs w:val="0"/>
          <w:caps w:val="0"/>
          <w:color w:val="000000"/>
          <w:spacing w:val="0"/>
          <w:sz w:val="31"/>
          <w:szCs w:val="31"/>
          <w:shd w:val="clear" w:fill="FFFFFF"/>
          <w:lang w:eastAsia="zh-CN"/>
        </w:rPr>
      </w:pPr>
      <w:r>
        <w:rPr>
          <w:rStyle w:val="10"/>
          <w:rFonts w:hint="eastAsia" w:ascii="宋体" w:hAnsi="宋体" w:eastAsia="宋体" w:cs="宋体"/>
          <w:i w:val="0"/>
          <w:iCs w:val="0"/>
          <w:caps w:val="0"/>
          <w:color w:val="000000"/>
          <w:spacing w:val="0"/>
          <w:sz w:val="36"/>
          <w:szCs w:val="36"/>
          <w:shd w:val="clear" w:fill="FFFFFF"/>
        </w:rPr>
        <w:t>中山市东升医院污水处理管理用户需求书</w:t>
      </w:r>
      <w:r>
        <w:rPr>
          <w:rStyle w:val="10"/>
          <w:rFonts w:hint="eastAsia" w:ascii="宋体" w:hAnsi="宋体" w:eastAsia="宋体" w:cs="宋体"/>
          <w:i w:val="0"/>
          <w:iCs w:val="0"/>
          <w:caps w:val="0"/>
          <w:color w:val="000000"/>
          <w:spacing w:val="0"/>
          <w:sz w:val="36"/>
          <w:szCs w:val="36"/>
          <w:shd w:val="clear" w:fill="FFFFFF"/>
          <w:lang w:eastAsia="zh-CN"/>
        </w:rPr>
        <w:t>（暂定</w:t>
      </w:r>
      <w:bookmarkStart w:id="0" w:name="_GoBack"/>
      <w:bookmarkEnd w:id="0"/>
      <w:r>
        <w:rPr>
          <w:rStyle w:val="10"/>
          <w:rFonts w:hint="eastAsia" w:ascii="宋体" w:hAnsi="宋体" w:eastAsia="宋体" w:cs="宋体"/>
          <w:i w:val="0"/>
          <w:iCs w:val="0"/>
          <w:caps w:val="0"/>
          <w:color w:val="000000"/>
          <w:spacing w:val="0"/>
          <w:sz w:val="36"/>
          <w:szCs w:val="36"/>
          <w:shd w:val="clear" w:fill="FFFFFF"/>
          <w:lang w:eastAsia="zh-CN"/>
        </w:rPr>
        <w:t>）</w:t>
      </w:r>
    </w:p>
    <w:p w14:paraId="6AB4464C">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before="156" w:line="480" w:lineRule="exact"/>
        <w:ind w:left="102" w:leftChars="0"/>
        <w:jc w:val="both"/>
        <w:textAlignment w:val="auto"/>
        <w:rPr>
          <w:rFonts w:hint="eastAsia" w:ascii="宋体" w:hAnsi="宋体" w:eastAsia="宋体" w:cs="宋体"/>
          <w:b/>
          <w:color w:val="000000"/>
          <w:sz w:val="28"/>
          <w:szCs w:val="28"/>
          <w:lang w:eastAsia="zh-CN"/>
        </w:rPr>
      </w:pPr>
      <w:r>
        <w:rPr>
          <w:rFonts w:hint="eastAsia" w:ascii="宋体" w:hAnsi="宋体" w:eastAsia="宋体" w:cs="宋体"/>
          <w:b/>
          <w:color w:val="000000"/>
          <w:kern w:val="2"/>
          <w:sz w:val="28"/>
          <w:szCs w:val="28"/>
          <w:lang w:val="en-US" w:eastAsia="zh-CN" w:bidi="ar-SA"/>
        </w:rPr>
        <w:t>一、</w:t>
      </w:r>
      <w:r>
        <w:rPr>
          <w:rFonts w:hint="eastAsia" w:ascii="宋体" w:hAnsi="宋体" w:eastAsia="宋体" w:cs="宋体"/>
          <w:b/>
          <w:color w:val="000000"/>
          <w:sz w:val="28"/>
          <w:szCs w:val="28"/>
          <w:lang w:eastAsia="zh-CN"/>
        </w:rPr>
        <w:t>项目概况</w:t>
      </w:r>
    </w:p>
    <w:p w14:paraId="41C37C35">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before="156" w:line="480" w:lineRule="exact"/>
        <w:jc w:val="both"/>
        <w:textAlignment w:val="auto"/>
        <w:rPr>
          <w:rFonts w:hint="eastAsia" w:ascii="宋体" w:hAnsi="宋体" w:eastAsia="宋体" w:cs="宋体"/>
          <w:b w:val="0"/>
          <w:bCs w:val="0"/>
          <w:sz w:val="28"/>
          <w:szCs w:val="28"/>
          <w:lang w:eastAsia="zh-CN"/>
        </w:rPr>
      </w:pPr>
      <w:r>
        <w:rPr>
          <w:rFonts w:hint="eastAsia" w:ascii="宋体" w:hAnsi="宋体" w:eastAsia="宋体" w:cs="宋体"/>
          <w:i w:val="0"/>
          <w:iCs w:val="0"/>
          <w:caps w:val="0"/>
          <w:color w:val="000000"/>
          <w:spacing w:val="0"/>
          <w:sz w:val="28"/>
          <w:szCs w:val="28"/>
          <w:shd w:val="clear" w:fill="FFFFFF"/>
        </w:rPr>
        <w:t>1.项目名称：</w:t>
      </w:r>
      <w:r>
        <w:rPr>
          <w:rFonts w:hint="eastAsia" w:ascii="宋体" w:hAnsi="宋体" w:eastAsia="宋体" w:cs="宋体"/>
          <w:b w:val="0"/>
          <w:bCs w:val="0"/>
          <w:sz w:val="28"/>
          <w:szCs w:val="28"/>
          <w:lang w:eastAsia="zh-CN"/>
        </w:rPr>
        <w:t>中山市东升医院污水处理管理项目</w:t>
      </w:r>
    </w:p>
    <w:p w14:paraId="7558CB6F">
      <w:pPr>
        <w:pStyle w:val="4"/>
        <w:keepNext w:val="0"/>
        <w:keepLines w:val="0"/>
        <w:pageBreakBefore w:val="0"/>
        <w:widowControl w:val="0"/>
        <w:kinsoku/>
        <w:wordWrap/>
        <w:overflowPunct/>
        <w:topLinePunct w:val="0"/>
        <w:bidi w:val="0"/>
        <w:adjustRightInd/>
        <w:snapToGrid/>
        <w:spacing w:after="0" w:line="480" w:lineRule="exac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2.用户单位：中山市东升医院</w:t>
      </w:r>
    </w:p>
    <w:p w14:paraId="26A6E543">
      <w:pPr>
        <w:pStyle w:val="4"/>
        <w:keepNext w:val="0"/>
        <w:keepLines w:val="0"/>
        <w:pageBreakBefore w:val="0"/>
        <w:widowControl w:val="0"/>
        <w:kinsoku/>
        <w:wordWrap/>
        <w:overflowPunct/>
        <w:topLinePunct w:val="0"/>
        <w:bidi w:val="0"/>
        <w:adjustRightInd/>
        <w:snapToGrid/>
        <w:spacing w:after="0" w:line="480" w:lineRule="exact"/>
        <w:textAlignment w:val="auto"/>
        <w:rPr>
          <w:rFonts w:hint="eastAsia" w:ascii="宋体" w:hAnsi="宋体" w:eastAsia="宋体" w:cs="宋体"/>
          <w:b w:val="0"/>
          <w:bCs w:val="0"/>
          <w:sz w:val="28"/>
          <w:szCs w:val="28"/>
          <w:highlight w:val="yellow"/>
          <w:lang w:val="en-US" w:eastAsia="zh-CN"/>
        </w:rPr>
      </w:pPr>
      <w:r>
        <w:rPr>
          <w:rFonts w:hint="eastAsia" w:ascii="宋体" w:hAnsi="宋体" w:eastAsia="宋体" w:cs="宋体"/>
          <w:b w:val="0"/>
          <w:bCs w:val="0"/>
          <w:sz w:val="28"/>
          <w:szCs w:val="28"/>
          <w:highlight w:val="yellow"/>
          <w:lang w:val="en-US" w:eastAsia="zh-CN"/>
        </w:rPr>
        <w:t>3.本项目采购金额预算约：        元</w:t>
      </w:r>
    </w:p>
    <w:p w14:paraId="36D75E1B">
      <w:pPr>
        <w:pStyle w:val="4"/>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b w:val="0"/>
          <w:bCs w:val="0"/>
          <w:sz w:val="28"/>
          <w:szCs w:val="28"/>
          <w:lang w:val="en-US" w:eastAsia="zh-CN"/>
        </w:rPr>
        <w:t>4.</w:t>
      </w:r>
      <w:r>
        <w:rPr>
          <w:rFonts w:hint="eastAsia" w:ascii="宋体" w:hAnsi="宋体" w:eastAsia="宋体" w:cs="宋体"/>
          <w:i w:val="0"/>
          <w:iCs w:val="0"/>
          <w:caps w:val="0"/>
          <w:color w:val="000000"/>
          <w:spacing w:val="0"/>
          <w:sz w:val="28"/>
          <w:szCs w:val="28"/>
          <w:shd w:val="clear" w:fill="FFFFFF"/>
          <w:lang w:val="en-US" w:eastAsia="zh-CN"/>
        </w:rPr>
        <w:t>项目范围</w:t>
      </w:r>
      <w:r>
        <w:rPr>
          <w:rFonts w:hint="eastAsia" w:ascii="宋体" w:hAnsi="宋体" w:eastAsia="宋体" w:cs="宋体"/>
          <w:i w:val="0"/>
          <w:iCs w:val="0"/>
          <w:caps w:val="0"/>
          <w:color w:val="000000"/>
          <w:spacing w:val="0"/>
          <w:sz w:val="28"/>
          <w:szCs w:val="28"/>
          <w:shd w:val="clear" w:fill="FFFFFF"/>
          <w:lang w:eastAsia="zh-CN"/>
        </w:rPr>
        <w:t>：</w:t>
      </w:r>
      <w:r>
        <w:rPr>
          <w:rFonts w:hint="eastAsia" w:ascii="宋体" w:hAnsi="宋体" w:eastAsia="宋体" w:cs="宋体"/>
          <w:i w:val="0"/>
          <w:iCs w:val="0"/>
          <w:caps w:val="0"/>
          <w:color w:val="000000"/>
          <w:spacing w:val="0"/>
          <w:sz w:val="28"/>
          <w:szCs w:val="28"/>
          <w:shd w:val="clear" w:fill="FFFFFF"/>
          <w:lang w:val="en-US" w:eastAsia="zh-CN"/>
        </w:rPr>
        <w:t>根据国家及省、市环境保护有关污水处理、污水排放的有关规定，按照污水处理设备的操作指引，成交供应商向采购人提供污水站运营管理服务。</w:t>
      </w:r>
    </w:p>
    <w:p w14:paraId="775BF316">
      <w:pPr>
        <w:pStyle w:val="5"/>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default"/>
          <w:lang w:val="en-US" w:eastAsia="zh-CN"/>
        </w:rPr>
      </w:pPr>
      <w:r>
        <w:rPr>
          <w:rFonts w:hint="eastAsia" w:hAnsi="宋体" w:cs="宋体"/>
          <w:i w:val="0"/>
          <w:iCs w:val="0"/>
          <w:caps w:val="0"/>
          <w:color w:val="000000"/>
          <w:spacing w:val="0"/>
          <w:sz w:val="28"/>
          <w:szCs w:val="28"/>
          <w:shd w:val="clear" w:fill="FFFFFF"/>
          <w:lang w:val="en-US" w:eastAsia="zh-CN"/>
        </w:rPr>
        <w:t>5.项目服务期限为3年，自2026年7月1日至2029年6月30日。采用1+1+1的形式，即先签订一年合同，在一年合同期满后，如采购人对成交供应商所提供的服务满意且考核合格，经采购人同意，本项目合同续签下一年，若采购人对成交供应商所提供的服务不满意（即连续两个季度考核结果低于75分），采购人有权单方终止合同。</w:t>
      </w:r>
    </w:p>
    <w:p w14:paraId="3D9FDF1C">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before="156" w:line="480" w:lineRule="exact"/>
        <w:ind w:left="102" w:leftChars="0"/>
        <w:jc w:val="both"/>
        <w:textAlignment w:val="auto"/>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二、供应商的资格要求</w:t>
      </w:r>
    </w:p>
    <w:p w14:paraId="511966CE">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响应供应商必须是具有独立承担民事责任的能力：在中华人民共和国境内注册的法人或其他组织或自然人，投标（响应）时提交营业执照（或事业法人登记证或身份证等相关证明）复印件。如分支机构投标的，须提供总公司和分公司营业执照复印件，总公司出具给分支机构的授权书。</w:t>
      </w:r>
    </w:p>
    <w:p w14:paraId="49ACFC7B">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2.响应供应商须具有效的且具备相关经营范围的营业执照及相关资质要求；</w:t>
      </w:r>
    </w:p>
    <w:p w14:paraId="7554796B">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3.响应供应商应具有项目的承接能力、合同的履约能力、售后供应能力和良好的信誉；</w:t>
      </w:r>
    </w:p>
    <w:p w14:paraId="78E100B8">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4.响应供应商在参与公开招标活动中未有违法违纪行为并受过处罚，响应供应商无围标、串标行为。</w:t>
      </w:r>
    </w:p>
    <w:p w14:paraId="6D2B3E69">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before="156" w:line="480" w:lineRule="exact"/>
        <w:ind w:left="102" w:leftChars="0"/>
        <w:jc w:val="both"/>
        <w:textAlignment w:val="auto"/>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三</w:t>
      </w:r>
      <w:r>
        <w:rPr>
          <w:rFonts w:hint="eastAsia" w:ascii="宋体" w:hAnsi="宋体" w:eastAsia="宋体" w:cs="宋体"/>
          <w:b/>
          <w:color w:val="000000"/>
          <w:sz w:val="28"/>
          <w:szCs w:val="28"/>
          <w:lang w:eastAsia="zh-CN"/>
        </w:rPr>
        <w:t>、</w:t>
      </w:r>
      <w:r>
        <w:rPr>
          <w:rFonts w:hint="eastAsia" w:ascii="宋体" w:hAnsi="宋体" w:eastAsia="宋体" w:cs="宋体"/>
          <w:b/>
          <w:color w:val="000000"/>
          <w:sz w:val="28"/>
          <w:szCs w:val="28"/>
          <w:lang w:val="en-US" w:eastAsia="zh-CN"/>
        </w:rPr>
        <w:t>服务要求</w:t>
      </w:r>
    </w:p>
    <w:p w14:paraId="1EF92CD3">
      <w:pPr>
        <w:pStyle w:val="5"/>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w:t>
      </w:r>
      <w:r>
        <w:rPr>
          <w:rFonts w:hint="eastAsia" w:hAnsi="宋体" w:cs="宋体"/>
          <w:color w:val="000000"/>
          <w:kern w:val="2"/>
          <w:sz w:val="28"/>
          <w:szCs w:val="28"/>
          <w:lang w:val="en-US" w:eastAsia="zh-CN" w:bidi="ar-SA"/>
        </w:rPr>
        <w:t>.</w:t>
      </w:r>
      <w:r>
        <w:rPr>
          <w:rFonts w:hint="eastAsia" w:ascii="宋体" w:hAnsi="宋体" w:eastAsia="宋体" w:cs="宋体"/>
          <w:color w:val="000000"/>
          <w:kern w:val="2"/>
          <w:sz w:val="28"/>
          <w:szCs w:val="28"/>
          <w:lang w:val="en-US" w:eastAsia="zh-CN" w:bidi="ar-SA"/>
        </w:rPr>
        <w:t>污水排放与处理设施概况：</w:t>
      </w:r>
    </w:p>
    <w:p w14:paraId="4C72E46C">
      <w:pPr>
        <w:pStyle w:val="5"/>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eastAsia" w:ascii="宋体" w:hAnsi="宋体" w:eastAsia="宋体" w:cs="宋体"/>
          <w:color w:val="000000"/>
          <w:kern w:val="2"/>
          <w:sz w:val="28"/>
          <w:szCs w:val="28"/>
          <w:lang w:val="en-US" w:eastAsia="zh-CN" w:bidi="ar-SA"/>
        </w:rPr>
      </w:pPr>
      <w:r>
        <w:rPr>
          <w:rFonts w:hint="default" w:ascii="宋体" w:hAnsi="宋体" w:eastAsia="宋体" w:cs="宋体"/>
          <w:color w:val="000000"/>
          <w:kern w:val="2"/>
          <w:sz w:val="28"/>
          <w:szCs w:val="28"/>
          <w:lang w:val="en-US" w:eastAsia="zh-CN" w:bidi="ar-SA"/>
        </w:rPr>
        <w:t>（1）</w:t>
      </w:r>
      <w:r>
        <w:rPr>
          <w:rFonts w:hint="eastAsia" w:ascii="宋体" w:hAnsi="宋体" w:eastAsia="宋体" w:cs="宋体"/>
          <w:color w:val="000000"/>
          <w:kern w:val="2"/>
          <w:sz w:val="28"/>
          <w:szCs w:val="28"/>
          <w:lang w:val="en-US" w:eastAsia="zh-CN" w:bidi="ar-SA"/>
        </w:rPr>
        <w:t>污水排放量最高</w:t>
      </w:r>
      <w:r>
        <w:rPr>
          <w:rFonts w:hint="eastAsia" w:hAnsi="宋体" w:cs="宋体"/>
          <w:color w:val="000000"/>
          <w:kern w:val="2"/>
          <w:sz w:val="28"/>
          <w:szCs w:val="28"/>
          <w:lang w:val="en-US" w:eastAsia="zh-CN" w:bidi="ar-SA"/>
        </w:rPr>
        <w:t>120</w:t>
      </w:r>
      <w:r>
        <w:rPr>
          <w:rFonts w:hint="eastAsia" w:ascii="宋体" w:hAnsi="宋体" w:eastAsia="宋体" w:cs="宋体"/>
          <w:color w:val="000000"/>
          <w:kern w:val="2"/>
          <w:sz w:val="28"/>
          <w:szCs w:val="28"/>
          <w:lang w:val="en-US" w:eastAsia="zh-CN" w:bidi="ar-SA"/>
        </w:rPr>
        <w:t>吨/日</w:t>
      </w:r>
    </w:p>
    <w:p w14:paraId="454C0775">
      <w:pPr>
        <w:pStyle w:val="5"/>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default" w:ascii="宋体" w:hAnsi="宋体" w:eastAsia="宋体" w:cs="宋体"/>
          <w:color w:val="000000"/>
          <w:kern w:val="2"/>
          <w:sz w:val="28"/>
          <w:szCs w:val="28"/>
          <w:lang w:val="en-US" w:eastAsia="zh-CN" w:bidi="ar-SA"/>
        </w:rPr>
      </w:pPr>
      <w:r>
        <w:rPr>
          <w:rFonts w:hint="default" w:ascii="宋体" w:hAnsi="宋体" w:eastAsia="宋体" w:cs="宋体"/>
          <w:color w:val="000000"/>
          <w:kern w:val="2"/>
          <w:sz w:val="28"/>
          <w:szCs w:val="28"/>
          <w:highlight w:val="none"/>
          <w:lang w:val="en-US" w:eastAsia="zh-CN" w:bidi="ar-SA"/>
        </w:rPr>
        <w:t>（2）</w:t>
      </w:r>
      <w:r>
        <w:rPr>
          <w:rFonts w:hint="default" w:ascii="宋体" w:hAnsi="宋体" w:eastAsia="宋体" w:cs="宋体"/>
          <w:color w:val="000000"/>
          <w:kern w:val="2"/>
          <w:sz w:val="28"/>
          <w:szCs w:val="28"/>
          <w:lang w:val="en-US" w:eastAsia="zh-CN" w:bidi="ar-SA"/>
        </w:rPr>
        <w:t>污水处理主要工艺：废水－格栅－调节沉淀池--消毒池－排入城市污水管网进入污水处理厂。</w:t>
      </w:r>
    </w:p>
    <w:p w14:paraId="1E46CD11">
      <w:pPr>
        <w:pStyle w:val="5"/>
        <w:keepNext w:val="0"/>
        <w:keepLines w:val="0"/>
        <w:pageBreakBefore w:val="0"/>
        <w:widowControl w:val="0"/>
        <w:kinsoku/>
        <w:wordWrap/>
        <w:overflowPunct/>
        <w:topLinePunct w:val="0"/>
        <w:autoSpaceDE w:val="0"/>
        <w:autoSpaceDN w:val="0"/>
        <w:bidi w:val="0"/>
        <w:adjustRightInd w:val="0"/>
        <w:snapToGrid/>
        <w:spacing w:line="480" w:lineRule="exact"/>
        <w:textAlignment w:val="auto"/>
        <w:rPr>
          <w:rFonts w:hint="default" w:ascii="宋体" w:hAnsi="宋体" w:eastAsia="宋体" w:cs="宋体"/>
          <w:color w:val="000000"/>
          <w:kern w:val="2"/>
          <w:sz w:val="28"/>
          <w:szCs w:val="28"/>
          <w:lang w:val="en-US" w:eastAsia="zh-CN" w:bidi="ar-SA"/>
        </w:rPr>
      </w:pPr>
      <w:r>
        <w:rPr>
          <w:rFonts w:hint="eastAsia" w:hAnsi="宋体" w:cs="宋体"/>
          <w:color w:val="000000"/>
          <w:kern w:val="2"/>
          <w:sz w:val="28"/>
          <w:szCs w:val="28"/>
          <w:lang w:val="en-US" w:eastAsia="zh-CN" w:bidi="ar-SA"/>
        </w:rPr>
        <w:t>（3）</w:t>
      </w:r>
      <w:r>
        <w:rPr>
          <w:rFonts w:hint="default" w:ascii="宋体" w:hAnsi="宋体" w:eastAsia="宋体" w:cs="宋体"/>
          <w:color w:val="000000"/>
          <w:kern w:val="2"/>
          <w:sz w:val="28"/>
          <w:szCs w:val="28"/>
          <w:lang w:val="en-US" w:eastAsia="zh-CN" w:bidi="ar-SA"/>
        </w:rPr>
        <w:t>污水排放执行标准：《医疗机构水污染物排放标准》(GB18466-2005)中表2预处理标准。</w:t>
      </w:r>
    </w:p>
    <w:p w14:paraId="5FA60220">
      <w:pPr>
        <w:keepNext w:val="0"/>
        <w:keepLines w:val="0"/>
        <w:pageBreakBefore w:val="0"/>
        <w:widowControl w:val="0"/>
        <w:numPr>
          <w:ilvl w:val="0"/>
          <w:numId w:val="0"/>
        </w:numPr>
        <w:kinsoku/>
        <w:wordWrap/>
        <w:overflowPunct/>
        <w:topLinePunct w:val="0"/>
        <w:bidi w:val="0"/>
        <w:adjustRightInd/>
        <w:snapToGrid/>
        <w:spacing w:line="480" w:lineRule="exact"/>
        <w:jc w:val="both"/>
        <w:textAlignment w:val="auto"/>
        <w:rPr>
          <w:rFonts w:hint="default"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2.服务内容：</w:t>
      </w:r>
    </w:p>
    <w:p w14:paraId="02224BEE">
      <w:pPr>
        <w:keepNext w:val="0"/>
        <w:keepLines w:val="0"/>
        <w:pageBreakBefore w:val="0"/>
        <w:widowControl w:val="0"/>
        <w:numPr>
          <w:ilvl w:val="0"/>
          <w:numId w:val="0"/>
        </w:numPr>
        <w:kinsoku/>
        <w:wordWrap/>
        <w:overflowPunct/>
        <w:topLinePunct w:val="0"/>
        <w:bidi w:val="0"/>
        <w:adjustRightInd/>
        <w:snapToGrid/>
        <w:spacing w:line="480" w:lineRule="exact"/>
        <w:jc w:val="both"/>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（1）人工格栅：每天清捞栅渣，并运送至采购人指定存放点。</w:t>
      </w:r>
    </w:p>
    <w:p w14:paraId="05587006">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eastAsia="宋体" w:cs="宋体"/>
          <w:sz w:val="28"/>
          <w:szCs w:val="28"/>
          <w:lang w:val="en-US" w:eastAsia="zh-CN"/>
        </w:rPr>
      </w:pPr>
      <w:r>
        <w:rPr>
          <w:rFonts w:hint="eastAsia" w:ascii="宋体" w:hAnsi="宋体" w:eastAsia="宋体" w:cs="宋体"/>
          <w:color w:val="000000"/>
          <w:sz w:val="28"/>
          <w:szCs w:val="28"/>
          <w:lang w:val="en-US" w:eastAsia="zh-CN"/>
        </w:rPr>
        <w:t>（2）污水提升泵：由液位计控制水泵起停；每2个小时检查运行情况一次，并做好巡检记录；每个月进行例行检查、发现故障及时上报采购人主管部门。</w:t>
      </w:r>
    </w:p>
    <w:p w14:paraId="17D55A99">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（3）液位控制器：经常检查水池液位情况，确保液位计运行正常，做好检查记录；每周检查一次液位控制器的灵活性，做好检查记录。</w:t>
      </w:r>
    </w:p>
    <w:p w14:paraId="79344AEA">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控制电柜：每月检查各电气元件的完好性与可用性，做好检查记录；检查主接触器、热继电器、过电流继电器等联锁保护装置完整性、灵敏性和准确性，做好检查记录，如有发现故障及时上报采购人主管部门。</w:t>
      </w:r>
    </w:p>
    <w:p w14:paraId="1E97D902">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做好投放药剂的安全管理工作，每2小时巡查一次（双人双锁），非管理人员不得进入污水处理站，操作期间禁止闲人进入；做好药剂使用用量登记及数据统计；每小时巡查投药设备运行是否正常，药剂是否满足要求，做好巡查记录；</w:t>
      </w:r>
    </w:p>
    <w:p w14:paraId="246614E5">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每个月进行例行检查，发现故障及时上报采购人主管部门。</w:t>
      </w:r>
    </w:p>
    <w:p w14:paraId="1B558EB1">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（6）</w:t>
      </w:r>
      <w:r>
        <w:rPr>
          <w:rFonts w:hint="eastAsia" w:ascii="宋体" w:hAnsi="宋体" w:eastAsia="宋体" w:cs="宋体"/>
          <w:color w:val="000000"/>
          <w:sz w:val="28"/>
          <w:szCs w:val="28"/>
          <w:lang w:val="en-US" w:eastAsia="zh-CN"/>
        </w:rPr>
        <w:t>在线监测设备：流量计、数采仪设备的正常运行，不准时进行校准；数据上传平台出现故障，需配合采购人进行设备的维护，数据的补录补传。</w:t>
      </w:r>
    </w:p>
    <w:p w14:paraId="7130A7A6">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（7）</w:t>
      </w:r>
      <w:r>
        <w:rPr>
          <w:rFonts w:hint="default" w:ascii="宋体" w:hAnsi="宋体" w:eastAsia="宋体" w:cs="宋体"/>
          <w:color w:val="000000"/>
          <w:sz w:val="28"/>
          <w:szCs w:val="28"/>
          <w:lang w:val="en-US" w:eastAsia="zh-CN"/>
        </w:rPr>
        <w:t>水样监测</w:t>
      </w:r>
      <w:r>
        <w:rPr>
          <w:rFonts w:hint="eastAsia" w:ascii="宋体" w:hAnsi="宋体" w:eastAsia="宋体" w:cs="宋体"/>
          <w:color w:val="000000"/>
          <w:sz w:val="28"/>
          <w:szCs w:val="28"/>
          <w:lang w:val="en-US" w:eastAsia="zh-CN"/>
        </w:rPr>
        <w:t>：按照采购人行业的国家有关排污许可证执行报告规范，编写或修改自行监测方案，该方案需镇生态环境局审核通过自行监测平台备案，由成交供应商按照采购人自行监测方案定期抽取水样检测，成交供应商可自行检测或送检具有相关资质的检测机构进行检测要求。按时出具CMA或CNAS标识的检测报告电子版及纸质版检测报告，且检测结果不得超过国家排污许可证上的标准限值，检测或送检所产生费用由成交供应商承担，采购人不再另行支付费用。</w:t>
      </w:r>
    </w:p>
    <w:p w14:paraId="5FF5A390">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（8）</w:t>
      </w:r>
      <w:r>
        <w:rPr>
          <w:rFonts w:hint="default" w:ascii="宋体" w:hAnsi="宋体" w:eastAsia="宋体" w:cs="宋体"/>
          <w:color w:val="000000"/>
          <w:sz w:val="28"/>
          <w:szCs w:val="28"/>
          <w:lang w:val="en-US" w:eastAsia="zh-CN"/>
        </w:rPr>
        <w:t>全国排污许可证管理信息平台</w:t>
      </w:r>
      <w:r>
        <w:rPr>
          <w:rFonts w:hint="eastAsia" w:ascii="宋体" w:hAnsi="宋体" w:eastAsia="宋体" w:cs="宋体"/>
          <w:color w:val="000000"/>
          <w:sz w:val="28"/>
          <w:szCs w:val="28"/>
          <w:lang w:val="en-US" w:eastAsia="zh-CN"/>
        </w:rPr>
        <w:t>：排污证月度、季度、年度执行报告及台账、自行监测等各项数据上报。</w:t>
      </w:r>
    </w:p>
    <w:p w14:paraId="3589E9C4">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（9）</w:t>
      </w:r>
      <w:r>
        <w:rPr>
          <w:rFonts w:hint="default" w:ascii="宋体" w:hAnsi="宋体" w:eastAsia="宋体" w:cs="宋体"/>
          <w:color w:val="000000"/>
          <w:sz w:val="28"/>
          <w:szCs w:val="28"/>
          <w:lang w:val="en-US" w:eastAsia="zh-CN"/>
        </w:rPr>
        <w:t>其它</w:t>
      </w:r>
      <w:r>
        <w:rPr>
          <w:rFonts w:hint="eastAsia" w:ascii="宋体" w:hAnsi="宋体" w:eastAsia="宋体" w:cs="宋体"/>
          <w:color w:val="000000"/>
          <w:sz w:val="28"/>
          <w:szCs w:val="28"/>
          <w:lang w:val="en-US" w:eastAsia="zh-CN"/>
        </w:rPr>
        <w:t>：保持污水处理站区内卫生、整洁，定期打扫；定期检查和紧固各种设备连接件；负责对药剂仓库进行巡查、管理；每周对污水管理和处置进行自查、分析，形成自查报告；每月检查设备类型、编号、就位状况与记录情况一致；协助采购人参与上级相关部门的检查；负责污水处理突发应急事件的统筹处理；熟悉掌握医院污水排放要求政策，及时与采购人沟通调整；参与采购人会议及时跟踪处理污水站问题；制定内部应急预案；负责污水站人员的技术培训；负责建立健全规范的管理档案、设备运行档案、设备维保档案；配合采购人迎接相关环保部门的检查或工作内容。</w:t>
      </w:r>
    </w:p>
    <w:p w14:paraId="2EB85256">
      <w:pPr>
        <w:keepNext w:val="0"/>
        <w:keepLines w:val="0"/>
        <w:pageBreakBefore w:val="0"/>
        <w:widowControl w:val="0"/>
        <w:numPr>
          <w:ilvl w:val="0"/>
          <w:numId w:val="1"/>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服务质量要求：</w:t>
      </w:r>
    </w:p>
    <w:p w14:paraId="22E515AD">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（1）</w:t>
      </w:r>
      <w:r>
        <w:rPr>
          <w:rFonts w:hint="eastAsia" w:ascii="宋体" w:hAnsi="宋体" w:eastAsia="宋体" w:cs="宋体"/>
          <w:color w:val="000000"/>
          <w:sz w:val="28"/>
          <w:szCs w:val="28"/>
          <w:lang w:val="en-US" w:eastAsia="zh-CN"/>
        </w:rPr>
        <w:t>成交供应商对服务时间内经污水站处理后排放的水质必须达标，排放水质要求达到《医疗机构水污染物排放标准》表2[综合医疗机构和其他医疗机构水污染物排放限值(日均值)]预处理标准。保证出水排放符合国家标准和环保要求，污水处理合格率 100%。</w:t>
      </w:r>
    </w:p>
    <w:p w14:paraId="056A2FFA">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（2）</w:t>
      </w:r>
      <w:r>
        <w:rPr>
          <w:rFonts w:hint="default" w:ascii="宋体" w:hAnsi="宋体" w:eastAsia="宋体" w:cs="宋体"/>
          <w:color w:val="000000"/>
          <w:sz w:val="28"/>
          <w:szCs w:val="28"/>
          <w:lang w:val="en-US" w:eastAsia="zh-CN"/>
        </w:rPr>
        <w:t>运营服务的时间为：全年365天（包含周六、日及国家规定节假日），每天</w:t>
      </w:r>
      <w:r>
        <w:rPr>
          <w:rFonts w:hint="eastAsia" w:ascii="宋体" w:hAnsi="宋体" w:eastAsia="宋体" w:cs="宋体"/>
          <w:color w:val="000000"/>
          <w:sz w:val="28"/>
          <w:szCs w:val="28"/>
          <w:lang w:val="en-US" w:eastAsia="zh-CN"/>
        </w:rPr>
        <w:t>8</w:t>
      </w:r>
      <w:r>
        <w:rPr>
          <w:rFonts w:hint="default" w:ascii="宋体" w:hAnsi="宋体" w:eastAsia="宋体" w:cs="宋体"/>
          <w:color w:val="000000"/>
          <w:sz w:val="28"/>
          <w:szCs w:val="28"/>
          <w:lang w:val="en-US" w:eastAsia="zh-CN"/>
        </w:rPr>
        <w:t>小时</w:t>
      </w:r>
      <w:r>
        <w:rPr>
          <w:rFonts w:hint="eastAsia" w:ascii="宋体" w:hAnsi="宋体" w:eastAsia="宋体" w:cs="宋体"/>
          <w:color w:val="000000"/>
          <w:sz w:val="28"/>
          <w:szCs w:val="28"/>
          <w:lang w:val="en-US" w:eastAsia="zh-CN"/>
        </w:rPr>
        <w:t>（8:00—12:00，14:00—18:00）</w:t>
      </w:r>
      <w:r>
        <w:rPr>
          <w:rFonts w:hint="default" w:ascii="宋体" w:hAnsi="宋体" w:eastAsia="宋体" w:cs="宋体"/>
          <w:color w:val="000000"/>
          <w:sz w:val="28"/>
          <w:szCs w:val="28"/>
          <w:lang w:val="en-US" w:eastAsia="zh-CN"/>
        </w:rPr>
        <w:t>，污水处理驻场人数不少于</w:t>
      </w:r>
      <w:r>
        <w:rPr>
          <w:rFonts w:hint="eastAsia" w:ascii="宋体" w:hAnsi="宋体" w:eastAsia="宋体" w:cs="宋体"/>
          <w:color w:val="000000"/>
          <w:sz w:val="28"/>
          <w:szCs w:val="28"/>
          <w:lang w:val="en-US" w:eastAsia="zh-CN"/>
        </w:rPr>
        <w:t>1</w:t>
      </w:r>
      <w:r>
        <w:rPr>
          <w:rFonts w:hint="default" w:ascii="宋体" w:hAnsi="宋体" w:eastAsia="宋体" w:cs="宋体"/>
          <w:color w:val="000000"/>
          <w:sz w:val="28"/>
          <w:szCs w:val="28"/>
          <w:lang w:val="en-US" w:eastAsia="zh-CN"/>
        </w:rPr>
        <w:t>人。</w:t>
      </w:r>
    </w:p>
    <w:p w14:paraId="36C55044">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（3）</w:t>
      </w:r>
      <w:r>
        <w:rPr>
          <w:rFonts w:hint="default" w:ascii="宋体" w:hAnsi="宋体" w:eastAsia="宋体" w:cs="宋体"/>
          <w:color w:val="000000"/>
          <w:sz w:val="28"/>
          <w:szCs w:val="28"/>
          <w:lang w:val="en-US" w:eastAsia="zh-CN"/>
        </w:rPr>
        <w:t>成交供应商须次月上旬提交上一个月设备的运行、安全状况报告和检查记录，如有突发事故发生，自发生之日起两天内提供事件处理报告。</w:t>
      </w:r>
    </w:p>
    <w:p w14:paraId="23FB264D">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（4）</w:t>
      </w:r>
      <w:r>
        <w:rPr>
          <w:rFonts w:hint="default" w:ascii="宋体" w:hAnsi="宋体" w:eastAsia="宋体" w:cs="宋体"/>
          <w:color w:val="000000"/>
          <w:sz w:val="28"/>
          <w:szCs w:val="28"/>
          <w:lang w:val="en-US" w:eastAsia="zh-CN"/>
        </w:rPr>
        <w:t>在系统运作期间污水处理设施出现故障的，成交供应商应及时向采购人汇报，成交供应商需协助采购人检修，在24小时内恢复污水处理设施的正常运行。</w:t>
      </w:r>
    </w:p>
    <w:p w14:paraId="7FD5F79B">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（5）</w:t>
      </w:r>
      <w:r>
        <w:rPr>
          <w:rFonts w:hint="default" w:ascii="宋体" w:hAnsi="宋体" w:eastAsia="宋体" w:cs="宋体"/>
          <w:color w:val="000000"/>
          <w:sz w:val="28"/>
          <w:szCs w:val="28"/>
          <w:lang w:val="en-US" w:eastAsia="zh-CN"/>
        </w:rPr>
        <w:t>成交供应商需建立设备运行记录、用料记录、检验检测记录，定期严格按照闭环管理处理故障，并把处理情况反馈给采购人。</w:t>
      </w:r>
    </w:p>
    <w:p w14:paraId="10AAA2F4">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（6）</w:t>
      </w:r>
      <w:r>
        <w:rPr>
          <w:rFonts w:hint="default" w:ascii="宋体" w:hAnsi="宋体" w:eastAsia="宋体" w:cs="宋体"/>
          <w:color w:val="000000"/>
          <w:sz w:val="28"/>
          <w:szCs w:val="28"/>
          <w:lang w:val="en-US" w:eastAsia="zh-CN"/>
        </w:rPr>
        <w:t>在处理特殊事件和紧急、突发事故时，采购人有直接指挥权；对安全事故及重大故障，成交供应商必须按照重大故障上报机制执行，要把最新处理情况即时反馈给采购人，禁止隐瞒的行为。</w:t>
      </w:r>
    </w:p>
    <w:p w14:paraId="18D794DC">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（7）</w:t>
      </w:r>
      <w:r>
        <w:rPr>
          <w:rFonts w:hint="default" w:ascii="宋体" w:hAnsi="宋体" w:eastAsia="宋体" w:cs="宋体"/>
          <w:color w:val="000000"/>
          <w:sz w:val="28"/>
          <w:szCs w:val="28"/>
          <w:lang w:val="en-US" w:eastAsia="zh-CN"/>
        </w:rPr>
        <w:t>成交供应商每月10日前向采购人提交上一个月的运行记录、值班记录及检验检测记录等相关记录文件，原始记录交采购人保存；年终提交全年工作总结报告。</w:t>
      </w:r>
    </w:p>
    <w:p w14:paraId="763CF38B">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（8）</w:t>
      </w:r>
      <w:r>
        <w:rPr>
          <w:rFonts w:hint="default" w:ascii="宋体" w:hAnsi="宋体" w:eastAsia="宋体" w:cs="宋体"/>
          <w:color w:val="000000"/>
          <w:sz w:val="28"/>
          <w:szCs w:val="28"/>
          <w:lang w:val="en-US" w:eastAsia="zh-CN"/>
        </w:rPr>
        <w:t>成交供应商于月度结算时向采购人提交相关票据、资料等进行结算，如因成交供应商原因未及时提供相关票据资料造成结算延误，采购人不承担逾期付款责任。</w:t>
      </w:r>
    </w:p>
    <w:p w14:paraId="410391B7">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（9）</w:t>
      </w:r>
      <w:r>
        <w:rPr>
          <w:rFonts w:hint="default" w:ascii="宋体" w:hAnsi="宋体" w:eastAsia="宋体" w:cs="宋体"/>
          <w:color w:val="000000"/>
          <w:sz w:val="28"/>
          <w:szCs w:val="28"/>
          <w:lang w:val="en-US" w:eastAsia="zh-CN"/>
        </w:rPr>
        <w:t>成交供应商员工所需的防护用品如橡胶手套、口罩、眼罩、隔离帽、隔离服、检测仪器、检测试剂等由成交供应商自行负责。</w:t>
      </w:r>
    </w:p>
    <w:p w14:paraId="744DBCB7">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（10）</w:t>
      </w:r>
      <w:r>
        <w:rPr>
          <w:rFonts w:hint="default" w:ascii="宋体" w:hAnsi="宋体" w:eastAsia="宋体" w:cs="宋体"/>
          <w:color w:val="000000"/>
          <w:sz w:val="28"/>
          <w:szCs w:val="28"/>
          <w:lang w:val="en-US" w:eastAsia="zh-CN"/>
        </w:rPr>
        <w:t>成交供应商不得擅自闲置或人为损坏污水处理设施，并应做好设施围蔽、标识等工作。否则，采购人有权解除合同，由此造成的所有损失由成交供应商承担。</w:t>
      </w:r>
    </w:p>
    <w:p w14:paraId="6BFFED36">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（11）</w:t>
      </w:r>
      <w:r>
        <w:rPr>
          <w:rFonts w:hint="default" w:ascii="宋体" w:hAnsi="宋体" w:eastAsia="宋体" w:cs="宋体"/>
          <w:color w:val="000000"/>
          <w:sz w:val="28"/>
          <w:szCs w:val="28"/>
          <w:lang w:val="en-US" w:eastAsia="zh-CN"/>
        </w:rPr>
        <w:t>成交供应商驻守的工作人员应遵守采购人的各项规章制度及疫情防控要求，服从指挥，配合现有污水运营公司的管理及采购人的工作要求对污水处理站进行统一运作，积极响应采购人的疫情防控措施，接受采购人的质量监督和检查。</w:t>
      </w:r>
    </w:p>
    <w:p w14:paraId="279F9B3A">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（12）</w:t>
      </w:r>
      <w:r>
        <w:rPr>
          <w:rFonts w:hint="default" w:ascii="宋体" w:hAnsi="宋体" w:eastAsia="宋体" w:cs="宋体"/>
          <w:color w:val="000000"/>
          <w:sz w:val="28"/>
          <w:szCs w:val="28"/>
          <w:lang w:val="en-US" w:eastAsia="zh-CN"/>
        </w:rPr>
        <w:t>提供24小时响应服务。如非正常上班时间遇临时性或突发性的工作，应在接到采购人通知1小时内到达现场处理，到场后2小时内处理完毕。如无法处理完毕的，应向采购人及时说明原因。</w:t>
      </w:r>
    </w:p>
    <w:p w14:paraId="6B2B5537">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（13）</w:t>
      </w:r>
      <w:r>
        <w:rPr>
          <w:rFonts w:hint="default" w:ascii="宋体" w:hAnsi="宋体" w:eastAsia="宋体" w:cs="宋体"/>
          <w:color w:val="000000"/>
          <w:sz w:val="28"/>
          <w:szCs w:val="28"/>
          <w:lang w:val="en-US" w:eastAsia="zh-CN"/>
        </w:rPr>
        <w:t>因成交供应商责任造成工作人员、采购人及第三方的设备设施、财产损坏或人身损害的，由成交供应商负责对损坏的设备恢复原状并承担所造成的所有责任及赔偿。</w:t>
      </w:r>
    </w:p>
    <w:p w14:paraId="557C8112">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（14）</w:t>
      </w:r>
      <w:r>
        <w:rPr>
          <w:rFonts w:hint="default" w:ascii="宋体" w:hAnsi="宋体" w:eastAsia="宋体" w:cs="宋体"/>
          <w:color w:val="000000"/>
          <w:sz w:val="28"/>
          <w:szCs w:val="28"/>
          <w:lang w:val="en-US" w:eastAsia="zh-CN"/>
        </w:rPr>
        <w:t>成交供应商员工发生的投诉、纠纷和法律事件，由成交供应商承担。若因成交供应商管理不善、控制不力而发生罢工等重大事件且造成严重影响的，采购人则有权扣罚该月总服务费的10～30%，及采购人有权根据具体情况单方终止合同。</w:t>
      </w:r>
    </w:p>
    <w:p w14:paraId="0017E8FF">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（15）</w:t>
      </w:r>
      <w:r>
        <w:rPr>
          <w:rFonts w:hint="default" w:ascii="宋体" w:hAnsi="宋体" w:eastAsia="宋体" w:cs="宋体"/>
          <w:color w:val="000000"/>
          <w:sz w:val="28"/>
          <w:szCs w:val="28"/>
          <w:lang w:val="en-US" w:eastAsia="zh-CN"/>
        </w:rPr>
        <w:t>服务到期时，成交供应商应将运营管理的所有原始资料交给采购人保管，不得私自损毁。</w:t>
      </w:r>
    </w:p>
    <w:p w14:paraId="650CF8E4">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default" w:ascii="宋体" w:hAnsi="宋体" w:eastAsia="宋体" w:cs="宋体"/>
          <w:color w:val="000000"/>
          <w:sz w:val="28"/>
          <w:szCs w:val="28"/>
          <w:lang w:val="en-US" w:eastAsia="zh-CN"/>
        </w:rPr>
      </w:pPr>
      <w:r>
        <w:rPr>
          <w:rFonts w:hint="default" w:ascii="宋体" w:hAnsi="宋体" w:eastAsia="宋体" w:cs="宋体"/>
          <w:color w:val="000000"/>
          <w:kern w:val="2"/>
          <w:sz w:val="28"/>
          <w:szCs w:val="28"/>
          <w:lang w:val="en-US" w:eastAsia="zh-CN" w:bidi="ar-SA"/>
        </w:rPr>
        <w:t>（16）</w:t>
      </w:r>
      <w:r>
        <w:rPr>
          <w:rFonts w:hint="default" w:ascii="宋体" w:hAnsi="宋体" w:eastAsia="宋体" w:cs="宋体"/>
          <w:color w:val="000000"/>
          <w:sz w:val="28"/>
          <w:szCs w:val="28"/>
          <w:lang w:val="en-US" w:eastAsia="zh-CN"/>
        </w:rPr>
        <w:t>污水处理站内设备、管道存在维修，成交供应商提供500元以下的维修配件由成交供应商提供（合同签订时由成交供应商提供配件清单），超过500元以上的配件由采购人自行采购。</w:t>
      </w:r>
    </w:p>
    <w:p w14:paraId="4EB8CC5B">
      <w:pPr>
        <w:keepNext w:val="0"/>
        <w:keepLines w:val="0"/>
        <w:pageBreakBefore w:val="0"/>
        <w:widowControl w:val="0"/>
        <w:numPr>
          <w:ilvl w:val="0"/>
          <w:numId w:val="1"/>
        </w:numPr>
        <w:kinsoku/>
        <w:wordWrap/>
        <w:overflowPunct/>
        <w:topLinePunct w:val="0"/>
        <w:bidi w:val="0"/>
        <w:adjustRightInd/>
        <w:snapToGrid/>
        <w:spacing w:line="480" w:lineRule="exact"/>
        <w:ind w:left="0" w:leftChars="0" w:firstLine="0" w:firstLine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人员配置要求：</w:t>
      </w:r>
    </w:p>
    <w:p w14:paraId="5E1CEF7C">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（1）运营人员要求：项目负责人1人；驻场人员要求污水处理工1人。</w:t>
      </w:r>
    </w:p>
    <w:p w14:paraId="70F611F2">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2）成交供应商应委派固定的驻场人员并持《污水处理工职业资格证书》或《工业废水处理工职业资格证书》上岗驻场负责采购人的污水处理站运营管理工作，委派的工作人员应具有初中及以上文化，年龄≤45岁。服务合同签订后7个工作日内成交供应商必须将公司的资质证书复印件、运营人员和驻场人员上岗证复印件交给采购人存档备案；如果遇到驻场人员无法解决的问题时，成交供应商应尽一切能力为本项目提供技术和设备支持。</w:t>
      </w:r>
    </w:p>
    <w:p w14:paraId="1E408B3F">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3）成交供应商委派的运营人员和驻场人员应服务态度好，品行良好，身体健康并能胜任岗位的工作，无传染性疾病、无违法犯罪记录。（员工入职前成交供应商应将人员名单提交给当地派出所核查，核查无犯罪记录后方可入职，否则所造成的一切后果及责任由成交供应商承担）。</w:t>
      </w:r>
    </w:p>
    <w:p w14:paraId="3794E9F5">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4）成交供应商应确保人员的稳定性，经采购人认可的工作人员不得随意频繁更换，如因成交供应商原因需更换的，需提前7个工作日向采购人提出书面更换申请并经采购人同意后方可进行更换，且不得影响维保服务工作的正常开展。</w:t>
      </w:r>
    </w:p>
    <w:p w14:paraId="3D0E77F5">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5）不能胜任的工作人员应及时更换。如果成交供应商委派的运营人员和驻场人员不符合要求（有事实依据证明不能胜任该岗位）的，采购人有权要求成交供应商更换人员至合格为止。成交供应商接到采购人书面换人通知后，应在1周内更换合格的人员到位且更换人员资格不低于投标时所投入人员要求，逾期不更换或更换的人员仍不符合要求的，成交供应商有权扣减该月的服务费，直至合格人员到位为止。</w:t>
      </w:r>
    </w:p>
    <w:p w14:paraId="3386C501">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（6）因成交供应商的工作人员不稳定导致运营管理服务质量不达标时，采购人有权根据质量考评结果对当月服务费进行扣罚。</w:t>
      </w:r>
    </w:p>
    <w:p w14:paraId="2739FCBC">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（7）成交供应商需按国家法律、法规的相关规定，为指派在采购人处工作的员工办理劳动用工手续，并承担保险、工资、劳保福利及其它一切费用，因违法用工造成的法律后果全部由成交供应商承担。</w:t>
      </w:r>
    </w:p>
    <w:p w14:paraId="34B1E8EB">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8）成交供应商应切实加强现场管理，并接受采购人的监督管理，确保服务到位。成交供应商确保在采购人单位内的作业符合国家和地方的安全作业规范，并负责工作人员的人身意外险及其它意外风险。由于成交供应商原因造成安全事故的发生，一切责任及损失由成交供应商负责。</w:t>
      </w:r>
    </w:p>
    <w:p w14:paraId="3F43FF2A">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（9）成交供应商按规定进行有序的运营管理工作，并保证所有指派到采购人处工作的人员均经过至少2天岗前培训。成交供应商应定期委派总公司运营人员到采购人运营场所进行驻场人员的指导及培训。</w:t>
      </w:r>
    </w:p>
    <w:p w14:paraId="0040FBEC">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5.专业能力要求：</w:t>
      </w:r>
    </w:p>
    <w:p w14:paraId="454FB0EE">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响应供应商在响应报价文件中需提供近三年内同类项目业绩相关证明文件。</w:t>
      </w:r>
    </w:p>
    <w:p w14:paraId="7F0C1C91">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6.保密要求:</w:t>
      </w:r>
    </w:p>
    <w:p w14:paraId="20A5ACCD">
      <w:pPr>
        <w:keepNext w:val="0"/>
        <w:keepLines w:val="0"/>
        <w:pageBreakBefore w:val="0"/>
        <w:widowControl w:val="0"/>
        <w:numPr>
          <w:ilvl w:val="0"/>
          <w:numId w:val="0"/>
        </w:numPr>
        <w:kinsoku/>
        <w:wordWrap/>
        <w:overflowPunct/>
        <w:topLinePunct w:val="0"/>
        <w:bidi w:val="0"/>
        <w:adjustRightInd/>
        <w:snapToGrid/>
        <w:spacing w:line="480" w:lineRule="exact"/>
        <w:ind w:leftChars="0"/>
        <w:textAlignment w:val="auto"/>
        <w:rPr>
          <w:rFonts w:hint="eastAsia" w:hAnsi="宋体" w:cs="宋体"/>
          <w:color w:val="000000"/>
          <w:kern w:val="2"/>
          <w:sz w:val="28"/>
          <w:szCs w:val="28"/>
          <w:lang w:val="en-US" w:eastAsia="zh-CN" w:bidi="ar-SA"/>
        </w:rPr>
      </w:pPr>
      <w:r>
        <w:rPr>
          <w:rFonts w:hint="eastAsia" w:hAnsi="宋体" w:cs="宋体"/>
          <w:color w:val="000000"/>
          <w:kern w:val="2"/>
          <w:sz w:val="28"/>
          <w:szCs w:val="28"/>
          <w:lang w:val="en-US" w:eastAsia="zh-CN" w:bidi="ar-SA"/>
        </w:rPr>
        <w:t>本次服务的所有需求资料、过程资料成果资料所有权均属于采购人。中选单位应对所有资料进行保密，不可用于除本项目之外的其他项目。若发现中选单位未经过采购人允许，将成果用于除本项目之外的其他项目,则采购人可追究中选单位相关法律责任。</w:t>
      </w:r>
    </w:p>
    <w:p w14:paraId="751DDA02">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四、服务质量监管</w:t>
      </w:r>
    </w:p>
    <w:p w14:paraId="1D9A5125">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由采购人每个月对成交供应商的服务质量进行监督考核（详见附表一《污水处理站运营管理服务质量考评表》），考核结果与当月的服务费挂钩，成交供应商应积极配合采购人的监督和考评，不得以任何理由拒绝或阻挠采购人的考核。</w:t>
      </w:r>
    </w:p>
    <w:p w14:paraId="2835BB8D">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2.考评要求：考评总分为100分，考评分按实际考评得分计算。考核结果≥90分的为合格；考核结果为80-89分的，成交供应商应对存在的问题限时整改，同一问题连续出现两次的，采购人有权对成交供应商按100元/分进行扣罚；考核结果为70-79分的，采购人有权对成交供应商按200元/分进行扣罚，如果成交供应商连续2个季度服务质量低于75分或因成交供应商的责任发生安全事件且造成严重后果的，采购人有权拒绝支付服务费且单方提前终止合同，并继续追究成交供应商相关责任。</w:t>
      </w:r>
    </w:p>
    <w:p w14:paraId="044061F4">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如果成交供应商未按要求落实运营管理服务工作，存在弄虚作假行为的，采购人有权进行相应的扣罚：第一次发现扣罚100元，第二次发现2倍扣罚（扣罚金额200元），第三次发现3倍扣罚（扣罚金额300元），以此类推。</w:t>
      </w:r>
    </w:p>
    <w:p w14:paraId="3EE21848">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成交供应商拟投入的人员变更未通知、人员上岗时间与实际不相符等情况，未书面提前通知采购人的，采购人有权进行相应的扣罚：第一次发现扣罚100元，第二次发现2倍扣罚（扣罚金额200元），第三次发现3倍扣罚（扣罚金额300元），以此类推。</w:t>
      </w:r>
    </w:p>
    <w:p w14:paraId="0F25E158">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5.因成交供应商责任导致的环保罚款、滞纳金、整改费用，由成交供应商自行承担。</w:t>
      </w:r>
    </w:p>
    <w:p w14:paraId="37770209">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kern w:val="2"/>
          <w:sz w:val="28"/>
          <w:szCs w:val="28"/>
          <w:lang w:val="en-US" w:eastAsia="zh-CN" w:bidi="ar-SA"/>
        </w:rPr>
        <w:t>6.如因成交供应商原因所导致的一切安全事故、责任和后果由成交供应商自行承担，采购人保留追究成交供应商责任的权利。</w:t>
      </w:r>
    </w:p>
    <w:p w14:paraId="1AC6EC3A">
      <w:pPr>
        <w:keepNext w:val="0"/>
        <w:keepLines w:val="0"/>
        <w:pageBreakBefore w:val="0"/>
        <w:widowControl w:val="0"/>
        <w:kinsoku/>
        <w:wordWrap/>
        <w:overflowPunct/>
        <w:topLinePunct w:val="0"/>
        <w:bidi w:val="0"/>
        <w:snapToGrid/>
        <w:spacing w:line="480" w:lineRule="exact"/>
        <w:textAlignment w:val="auto"/>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五、投标</w:t>
      </w:r>
      <w:r>
        <w:rPr>
          <w:rFonts w:hint="eastAsia" w:ascii="宋体" w:hAnsi="宋体" w:eastAsia="宋体" w:cs="宋体"/>
          <w:b/>
          <w:sz w:val="28"/>
          <w:szCs w:val="28"/>
          <w:highlight w:val="none"/>
        </w:rPr>
        <w:t>报价要求</w:t>
      </w:r>
    </w:p>
    <w:p w14:paraId="0EFA82B4">
      <w:pPr>
        <w:pStyle w:val="4"/>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highlight w:val="yellow"/>
          <w:lang w:val="en-US" w:eastAsia="zh-CN" w:bidi="ar-SA"/>
        </w:rPr>
        <w:t>1.预算金额为：人民币   元，</w:t>
      </w:r>
      <w:r>
        <w:rPr>
          <w:rFonts w:hint="eastAsia" w:ascii="宋体" w:hAnsi="宋体" w:eastAsia="宋体" w:cs="宋体"/>
          <w:color w:val="000000"/>
          <w:kern w:val="2"/>
          <w:sz w:val="28"/>
          <w:szCs w:val="28"/>
          <w:lang w:val="en-US" w:eastAsia="zh-CN" w:bidi="ar-SA"/>
        </w:rPr>
        <w:t>低于（含等于）预算金额的为有效报价，否则为无效报价。</w:t>
      </w:r>
    </w:p>
    <w:p w14:paraId="02BF4BEA">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 xml:space="preserve">2.报价为含税费报价，该报价包括：污水处理站排放水质监测试剂试纸费用；派驻人员工资、福利、服装、通信工具、交通工具、 社保、医疗、待业保障、工伤保险、各节假日和特殊工作任务加班费用、劳保费、应急演练费；完成该项目所需工具、设备、管理费、税费；不可预见费等费用。 </w:t>
      </w:r>
    </w:p>
    <w:p w14:paraId="45B1B041">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3.供应商报价应包括标的服务内容、配套设施、税费、运费、保险费、仓储费、安装调试、培训、质保等的全部费用，在项目实施过程中出现报价内容的任何遗漏，均由成交供应商负责相关费用，采购人将不再支付任何费用。</w:t>
      </w:r>
    </w:p>
    <w:p w14:paraId="22AC7664">
      <w:pPr>
        <w:keepNext w:val="0"/>
        <w:keepLines w:val="0"/>
        <w:pageBreakBefore w:val="0"/>
        <w:widowControl w:val="0"/>
        <w:kinsoku/>
        <w:wordWrap/>
        <w:overflowPunct/>
        <w:topLinePunct w:val="0"/>
        <w:bidi w:val="0"/>
        <w:adjustRightInd/>
        <w:snapToGrid/>
        <w:spacing w:line="480" w:lineRule="exact"/>
        <w:textAlignment w:val="auto"/>
        <w:rPr>
          <w:rFonts w:hint="eastAsia" w:ascii="宋体" w:hAnsi="宋体" w:eastAsia="宋体" w:cs="宋体"/>
          <w:b/>
          <w:color w:val="000000"/>
          <w:sz w:val="28"/>
          <w:szCs w:val="28"/>
        </w:rPr>
      </w:pPr>
      <w:r>
        <w:rPr>
          <w:rFonts w:hint="eastAsia" w:ascii="宋体" w:hAnsi="宋体" w:eastAsia="宋体" w:cs="宋体"/>
          <w:b/>
          <w:bCs/>
          <w:color w:val="000000"/>
          <w:sz w:val="28"/>
          <w:szCs w:val="28"/>
          <w:lang w:val="en-US" w:eastAsia="zh-CN"/>
        </w:rPr>
        <w:t>六</w:t>
      </w:r>
      <w:r>
        <w:rPr>
          <w:rFonts w:hint="eastAsia" w:ascii="宋体" w:hAnsi="宋体" w:eastAsia="宋体" w:cs="宋体"/>
          <w:b/>
          <w:bCs/>
          <w:color w:val="000000"/>
          <w:sz w:val="28"/>
          <w:szCs w:val="28"/>
          <w:lang w:eastAsia="zh-CN"/>
        </w:rPr>
        <w:t>、</w:t>
      </w:r>
      <w:r>
        <w:rPr>
          <w:rFonts w:hint="eastAsia" w:ascii="宋体" w:hAnsi="宋体" w:eastAsia="宋体" w:cs="宋体"/>
          <w:b/>
          <w:color w:val="000000"/>
          <w:sz w:val="28"/>
          <w:szCs w:val="28"/>
        </w:rPr>
        <w:t>付款方式</w:t>
      </w:r>
    </w:p>
    <w:p w14:paraId="4A647232">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highlight w:val="yellow"/>
          <w:lang w:val="en-US" w:eastAsia="zh-CN"/>
        </w:rPr>
      </w:pPr>
      <w:r>
        <w:rPr>
          <w:rFonts w:hint="eastAsia" w:ascii="宋体" w:hAnsi="宋体" w:eastAsia="宋体" w:cs="宋体"/>
          <w:color w:val="000000"/>
          <w:sz w:val="28"/>
          <w:szCs w:val="28"/>
          <w:highlight w:val="none"/>
          <w:lang w:val="en-US" w:eastAsia="zh-CN"/>
        </w:rPr>
        <w:t>1.成交供应商每季度结算，</w:t>
      </w:r>
      <w:r>
        <w:rPr>
          <w:rFonts w:hint="eastAsia" w:ascii="宋体" w:hAnsi="宋体" w:eastAsia="宋体" w:cs="宋体"/>
          <w:color w:val="000000"/>
          <w:sz w:val="28"/>
          <w:szCs w:val="28"/>
          <w:lang w:val="en-US" w:eastAsia="zh-CN"/>
        </w:rPr>
        <w:t>成交供应商交付巡检记录、检测报告、季度考核合格证明、有效全额增值税普通发票（含税），采购人在收到发票并审核无误后60个工作日内付款给成交供应商。</w:t>
      </w:r>
    </w:p>
    <w:p w14:paraId="499FAFAA">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2.特别说明：合同约定的付款期限，遵守《保障中小企业款项支付条例》的规定。如成交供应商为中小企业，付款期限最长不超过60日。</w:t>
      </w:r>
    </w:p>
    <w:p w14:paraId="75E258EB">
      <w:pPr>
        <w:keepNext w:val="0"/>
        <w:keepLines w:val="0"/>
        <w:pageBreakBefore w:val="0"/>
        <w:widowControl w:val="0"/>
        <w:numPr>
          <w:ilvl w:val="0"/>
          <w:numId w:val="0"/>
        </w:numPr>
        <w:kinsoku/>
        <w:wordWrap/>
        <w:overflowPunct/>
        <w:topLinePunct w:val="0"/>
        <w:bidi w:val="0"/>
        <w:adjustRightInd/>
        <w:snapToGrid/>
        <w:spacing w:line="48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3.成交供应商须开具与响应文件中报价人名称、响应报价一致的有效全额增值税普通发票。</w:t>
      </w:r>
    </w:p>
    <w:p w14:paraId="2DC4EDEA">
      <w:pPr>
        <w:pStyle w:val="4"/>
        <w:wordWrap w:val="0"/>
        <w:ind w:firstLine="6440" w:firstLineChars="2300"/>
        <w:jc w:val="both"/>
        <w:rPr>
          <w:rFonts w:hint="eastAsia" w:ascii="宋体" w:hAnsi="宋体" w:eastAsia="宋体" w:cs="宋体"/>
          <w:sz w:val="28"/>
          <w:szCs w:val="28"/>
          <w:lang w:eastAsia="zh-CN"/>
        </w:rPr>
      </w:pPr>
    </w:p>
    <w:p w14:paraId="07FE1CDE">
      <w:pPr>
        <w:pStyle w:val="4"/>
        <w:wordWrap w:val="0"/>
        <w:ind w:firstLine="6440" w:firstLineChars="2300"/>
        <w:jc w:val="both"/>
        <w:rPr>
          <w:rFonts w:hint="eastAsia" w:ascii="宋体" w:hAnsi="宋体" w:eastAsia="宋体" w:cs="宋体"/>
          <w:sz w:val="28"/>
          <w:szCs w:val="28"/>
          <w:lang w:val="en-US" w:eastAsia="zh-CN"/>
        </w:rPr>
      </w:pPr>
      <w:r>
        <w:rPr>
          <w:rFonts w:hint="eastAsia" w:ascii="宋体" w:hAnsi="宋体" w:eastAsia="宋体" w:cs="宋体"/>
          <w:sz w:val="28"/>
          <w:szCs w:val="28"/>
          <w:lang w:eastAsia="zh-CN"/>
        </w:rPr>
        <w:t>总务科</w:t>
      </w:r>
      <w:r>
        <w:rPr>
          <w:rFonts w:hint="eastAsia" w:ascii="宋体" w:hAnsi="宋体" w:eastAsia="宋体" w:cs="宋体"/>
          <w:sz w:val="28"/>
          <w:szCs w:val="28"/>
          <w:lang w:val="en-US" w:eastAsia="zh-CN"/>
        </w:rPr>
        <w:t xml:space="preserve">     </w:t>
      </w:r>
    </w:p>
    <w:p w14:paraId="3C99749C">
      <w:pPr>
        <w:pStyle w:val="4"/>
        <w:wordWrap w:val="0"/>
        <w:ind w:firstLine="5880" w:firstLineChars="210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2026年5月21日</w:t>
      </w:r>
    </w:p>
    <w:p w14:paraId="01B86FD0">
      <w:pPr>
        <w:pStyle w:val="12"/>
        <w:jc w:val="both"/>
        <w:rPr>
          <w:sz w:val="24"/>
        </w:rPr>
      </w:pPr>
    </w:p>
    <w:p w14:paraId="27ADA89E">
      <w:pPr>
        <w:pStyle w:val="12"/>
        <w:jc w:val="both"/>
        <w:rPr>
          <w:sz w:val="24"/>
        </w:rPr>
      </w:pPr>
    </w:p>
    <w:p w14:paraId="124B5979">
      <w:pPr>
        <w:pStyle w:val="12"/>
        <w:jc w:val="both"/>
        <w:rPr>
          <w:sz w:val="24"/>
        </w:rPr>
      </w:pPr>
    </w:p>
    <w:p w14:paraId="31529DE4">
      <w:pPr>
        <w:pStyle w:val="12"/>
        <w:jc w:val="both"/>
        <w:rPr>
          <w:sz w:val="24"/>
        </w:rPr>
      </w:pPr>
    </w:p>
    <w:p w14:paraId="1129B595">
      <w:pPr>
        <w:pStyle w:val="12"/>
        <w:jc w:val="both"/>
        <w:rPr>
          <w:sz w:val="24"/>
        </w:rPr>
      </w:pPr>
    </w:p>
    <w:p w14:paraId="22A3DCE4">
      <w:pPr>
        <w:pStyle w:val="12"/>
        <w:jc w:val="both"/>
        <w:rPr>
          <w:sz w:val="24"/>
        </w:rPr>
      </w:pPr>
    </w:p>
    <w:p w14:paraId="661233C3">
      <w:pPr>
        <w:pStyle w:val="12"/>
        <w:jc w:val="both"/>
        <w:rPr>
          <w:sz w:val="24"/>
        </w:rPr>
      </w:pPr>
    </w:p>
    <w:p w14:paraId="14295D97">
      <w:pPr>
        <w:pStyle w:val="12"/>
        <w:jc w:val="both"/>
        <w:rPr>
          <w:sz w:val="24"/>
        </w:rPr>
      </w:pPr>
    </w:p>
    <w:p w14:paraId="20AA8DFA">
      <w:pPr>
        <w:pStyle w:val="12"/>
        <w:jc w:val="both"/>
        <w:rPr>
          <w:sz w:val="24"/>
        </w:rPr>
      </w:pPr>
    </w:p>
    <w:p w14:paraId="785A6D73">
      <w:pPr>
        <w:pStyle w:val="12"/>
        <w:jc w:val="both"/>
        <w:rPr>
          <w:sz w:val="24"/>
        </w:rPr>
      </w:pPr>
    </w:p>
    <w:p w14:paraId="0AAD9CE0">
      <w:pPr>
        <w:pStyle w:val="12"/>
        <w:jc w:val="both"/>
        <w:rPr>
          <w:sz w:val="24"/>
        </w:rPr>
      </w:pPr>
    </w:p>
    <w:p w14:paraId="18CD79CD">
      <w:pPr>
        <w:pStyle w:val="12"/>
        <w:jc w:val="both"/>
        <w:rPr>
          <w:sz w:val="24"/>
        </w:rPr>
      </w:pPr>
    </w:p>
    <w:p w14:paraId="799B99BC">
      <w:pPr>
        <w:pStyle w:val="12"/>
        <w:jc w:val="both"/>
        <w:rPr>
          <w:sz w:val="24"/>
        </w:rPr>
      </w:pPr>
    </w:p>
    <w:p w14:paraId="4958E023">
      <w:pPr>
        <w:pStyle w:val="12"/>
        <w:jc w:val="both"/>
        <w:rPr>
          <w:sz w:val="24"/>
        </w:rPr>
      </w:pPr>
    </w:p>
    <w:p w14:paraId="23542E13">
      <w:pPr>
        <w:pStyle w:val="12"/>
        <w:jc w:val="both"/>
        <w:rPr>
          <w:sz w:val="24"/>
        </w:rPr>
      </w:pPr>
    </w:p>
    <w:p w14:paraId="79C02E43">
      <w:pPr>
        <w:pStyle w:val="12"/>
        <w:jc w:val="both"/>
        <w:rPr>
          <w:sz w:val="24"/>
        </w:rPr>
      </w:pPr>
    </w:p>
    <w:p w14:paraId="0F7C15C4">
      <w:pPr>
        <w:pStyle w:val="12"/>
        <w:jc w:val="both"/>
        <w:rPr>
          <w:sz w:val="24"/>
        </w:rPr>
      </w:pPr>
    </w:p>
    <w:p w14:paraId="27847FB0">
      <w:pPr>
        <w:pStyle w:val="12"/>
        <w:jc w:val="both"/>
        <w:rPr>
          <w:sz w:val="24"/>
        </w:rPr>
      </w:pPr>
    </w:p>
    <w:p w14:paraId="7F34B373">
      <w:pPr>
        <w:pStyle w:val="12"/>
        <w:jc w:val="both"/>
        <w:rPr>
          <w:sz w:val="24"/>
        </w:rPr>
      </w:pPr>
    </w:p>
    <w:p w14:paraId="246862FD">
      <w:pPr>
        <w:pStyle w:val="12"/>
        <w:jc w:val="both"/>
        <w:rPr>
          <w:sz w:val="24"/>
        </w:rPr>
      </w:pPr>
    </w:p>
    <w:p w14:paraId="64B900DC">
      <w:pPr>
        <w:pStyle w:val="12"/>
        <w:jc w:val="both"/>
        <w:rPr>
          <w:sz w:val="24"/>
        </w:rPr>
      </w:pPr>
    </w:p>
    <w:p w14:paraId="2DC23187">
      <w:pPr>
        <w:pStyle w:val="12"/>
        <w:jc w:val="both"/>
        <w:rPr>
          <w:sz w:val="24"/>
        </w:rPr>
      </w:pPr>
    </w:p>
    <w:p w14:paraId="0AD93A1A">
      <w:pPr>
        <w:pStyle w:val="12"/>
        <w:jc w:val="both"/>
        <w:rPr>
          <w:sz w:val="24"/>
        </w:rPr>
      </w:pPr>
    </w:p>
    <w:p w14:paraId="3664487B">
      <w:pPr>
        <w:pStyle w:val="12"/>
        <w:jc w:val="both"/>
        <w:rPr>
          <w:sz w:val="24"/>
        </w:rPr>
      </w:pPr>
    </w:p>
    <w:p w14:paraId="288B1E0A">
      <w:pPr>
        <w:pStyle w:val="12"/>
        <w:jc w:val="both"/>
        <w:rPr>
          <w:sz w:val="24"/>
        </w:rPr>
      </w:pPr>
    </w:p>
    <w:p w14:paraId="69D4F83A">
      <w:pPr>
        <w:pStyle w:val="12"/>
        <w:jc w:val="both"/>
        <w:rPr>
          <w:sz w:val="24"/>
        </w:rPr>
      </w:pPr>
    </w:p>
    <w:p w14:paraId="17470BBA">
      <w:pPr>
        <w:pStyle w:val="12"/>
        <w:jc w:val="both"/>
        <w:rPr>
          <w:sz w:val="24"/>
        </w:rPr>
      </w:pPr>
    </w:p>
    <w:p w14:paraId="334258CD">
      <w:pPr>
        <w:pStyle w:val="12"/>
        <w:jc w:val="both"/>
        <w:rPr>
          <w:sz w:val="24"/>
        </w:rPr>
      </w:pPr>
    </w:p>
    <w:p w14:paraId="53B3E141">
      <w:pPr>
        <w:pStyle w:val="12"/>
        <w:jc w:val="both"/>
        <w:rPr>
          <w:sz w:val="24"/>
        </w:rPr>
      </w:pPr>
    </w:p>
    <w:p w14:paraId="5FDF4DD6">
      <w:pPr>
        <w:pStyle w:val="12"/>
        <w:jc w:val="both"/>
        <w:rPr>
          <w:sz w:val="24"/>
        </w:rPr>
      </w:pPr>
    </w:p>
    <w:p w14:paraId="75FBB716">
      <w:pPr>
        <w:pStyle w:val="12"/>
        <w:jc w:val="left"/>
      </w:pPr>
      <w:r>
        <w:rPr>
          <w:sz w:val="24"/>
        </w:rPr>
        <w:t xml:space="preserve">附表一           </w:t>
      </w:r>
      <w:r>
        <w:rPr>
          <w:rFonts w:hint="eastAsia"/>
          <w:sz w:val="24"/>
          <w:lang w:val="en-US" w:eastAsia="zh-CN"/>
        </w:rPr>
        <w:t xml:space="preserve">      </w:t>
      </w:r>
      <w:r>
        <w:rPr>
          <w:sz w:val="24"/>
        </w:rPr>
        <w:t>污水处理站运营管理服务质量考评表</w:t>
      </w:r>
    </w:p>
    <w:p w14:paraId="3C5D9206">
      <w:pPr>
        <w:pStyle w:val="12"/>
        <w:ind w:left="2400" w:firstLine="240" w:firstLineChars="100"/>
        <w:jc w:val="left"/>
      </w:pPr>
      <w:r>
        <w:rPr>
          <w:sz w:val="24"/>
        </w:rPr>
        <w:t>（采购人有权根据实际情况进行调整）</w:t>
      </w:r>
    </w:p>
    <w:tbl>
      <w:tblPr>
        <w:tblStyle w:val="7"/>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8"/>
        <w:gridCol w:w="720"/>
        <w:gridCol w:w="3735"/>
        <w:gridCol w:w="690"/>
        <w:gridCol w:w="2565"/>
        <w:gridCol w:w="1365"/>
      </w:tblGrid>
      <w:tr w14:paraId="2D7C94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C5D903">
            <w:pPr>
              <w:pStyle w:val="12"/>
              <w:jc w:val="center"/>
            </w:pPr>
            <w:r>
              <w:rPr>
                <w:b/>
                <w:sz w:val="22"/>
              </w:rPr>
              <w:t>序号</w:t>
            </w:r>
          </w:p>
        </w:tc>
        <w:tc>
          <w:tcPr>
            <w:tcW w:w="7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4DB51B">
            <w:pPr>
              <w:pStyle w:val="12"/>
              <w:jc w:val="center"/>
            </w:pPr>
            <w:r>
              <w:rPr>
                <w:b/>
                <w:sz w:val="22"/>
              </w:rPr>
              <w:t>项目</w:t>
            </w:r>
          </w:p>
        </w:tc>
        <w:tc>
          <w:tcPr>
            <w:tcW w:w="37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7C2096">
            <w:pPr>
              <w:pStyle w:val="12"/>
              <w:jc w:val="center"/>
            </w:pPr>
            <w:r>
              <w:rPr>
                <w:b/>
                <w:sz w:val="22"/>
              </w:rPr>
              <w:t>考评标准</w:t>
            </w:r>
          </w:p>
        </w:tc>
        <w:tc>
          <w:tcPr>
            <w:tcW w:w="6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1B5B7F">
            <w:pPr>
              <w:pStyle w:val="12"/>
              <w:jc w:val="center"/>
            </w:pPr>
            <w:r>
              <w:rPr>
                <w:b/>
                <w:sz w:val="22"/>
              </w:rPr>
              <w:t>分值</w:t>
            </w:r>
          </w:p>
        </w:tc>
        <w:tc>
          <w:tcPr>
            <w:tcW w:w="25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6B3250">
            <w:pPr>
              <w:pStyle w:val="12"/>
              <w:jc w:val="center"/>
            </w:pPr>
            <w:r>
              <w:rPr>
                <w:b/>
                <w:sz w:val="22"/>
              </w:rPr>
              <w:t>考核方法</w:t>
            </w:r>
          </w:p>
        </w:tc>
        <w:tc>
          <w:tcPr>
            <w:tcW w:w="13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B86C38">
            <w:pPr>
              <w:pStyle w:val="12"/>
              <w:jc w:val="center"/>
            </w:pPr>
            <w:r>
              <w:rPr>
                <w:b/>
                <w:sz w:val="22"/>
              </w:rPr>
              <w:t>检查结果</w:t>
            </w:r>
          </w:p>
        </w:tc>
      </w:tr>
      <w:tr w14:paraId="06C4EB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B61477E">
            <w:pPr>
              <w:pStyle w:val="12"/>
              <w:jc w:val="center"/>
            </w:pPr>
            <w:r>
              <w:rPr>
                <w:sz w:val="22"/>
              </w:rPr>
              <w:t>一</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B8EBB20">
            <w:pPr>
              <w:pStyle w:val="12"/>
              <w:jc w:val="center"/>
            </w:pPr>
            <w:r>
              <w:rPr>
                <w:sz w:val="22"/>
              </w:rPr>
              <w:t>岗位</w:t>
            </w:r>
          </w:p>
          <w:p w14:paraId="7DCCD07B">
            <w:pPr>
              <w:pStyle w:val="12"/>
              <w:jc w:val="center"/>
            </w:pPr>
            <w:r>
              <w:rPr>
                <w:sz w:val="22"/>
              </w:rPr>
              <w:t>职责</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B27718A">
            <w:pPr>
              <w:pStyle w:val="12"/>
              <w:jc w:val="center"/>
            </w:pPr>
            <w:r>
              <w:rPr>
                <w:sz w:val="22"/>
              </w:rPr>
              <w:t>驻场人员每天根据日常运营服务管理内容及要求能按质按量完成本岗位职责。包括对人工格栅、污水提升泵、液位控制器、控制电柜、</w:t>
            </w:r>
            <w:r>
              <w:rPr>
                <w:rFonts w:hint="eastAsia"/>
                <w:sz w:val="22"/>
                <w:lang w:val="en-US" w:eastAsia="zh-CN"/>
              </w:rPr>
              <w:t>药剂投放</w:t>
            </w:r>
            <w:r>
              <w:rPr>
                <w:sz w:val="22"/>
              </w:rPr>
              <w:t>的运营管理、水样监测及其他工作内容。保证出水排放符合国家标准和环保要求，污水处理合格率100%。</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C7317A2">
            <w:pPr>
              <w:pStyle w:val="12"/>
              <w:jc w:val="center"/>
            </w:pPr>
            <w:r>
              <w:rPr>
                <w:sz w:val="22"/>
              </w:rPr>
              <w:t>40</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BAB63B2">
            <w:pPr>
              <w:pStyle w:val="12"/>
              <w:jc w:val="center"/>
            </w:pPr>
            <w:r>
              <w:rPr>
                <w:sz w:val="22"/>
              </w:rPr>
              <w:t>一项工作不符合要求的，扣1分/次，如因运营管理不到位导致污水排放不合格的，扣20分，扣完该项分为止。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2B41A87">
            <w:pPr>
              <w:pStyle w:val="12"/>
              <w:jc w:val="center"/>
            </w:pPr>
          </w:p>
        </w:tc>
      </w:tr>
      <w:tr w14:paraId="453B4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5772620">
            <w:pPr>
              <w:pStyle w:val="12"/>
              <w:jc w:val="center"/>
            </w:pPr>
            <w:r>
              <w:rPr>
                <w:sz w:val="22"/>
              </w:rPr>
              <w:t>二</w:t>
            </w:r>
          </w:p>
        </w:tc>
        <w:tc>
          <w:tcPr>
            <w:tcW w:w="72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61E3B9C">
            <w:pPr>
              <w:pStyle w:val="12"/>
              <w:jc w:val="center"/>
            </w:pPr>
            <w:r>
              <w:rPr>
                <w:sz w:val="22"/>
              </w:rPr>
              <w:t>人员</w:t>
            </w:r>
          </w:p>
          <w:p w14:paraId="5ADC1E19">
            <w:pPr>
              <w:pStyle w:val="12"/>
              <w:jc w:val="center"/>
            </w:pPr>
            <w:r>
              <w:rPr>
                <w:sz w:val="22"/>
              </w:rPr>
              <w:t>在岗</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C88898C">
            <w:pPr>
              <w:pStyle w:val="12"/>
              <w:jc w:val="center"/>
            </w:pPr>
            <w:r>
              <w:rPr>
                <w:sz w:val="22"/>
              </w:rPr>
              <w:t>运营人员、驻场人员要坚守工作岗位，在工作日请假休息或途中离开医院的，应向采购人主管部门报备并做好工作安排。</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7ACE301">
            <w:pPr>
              <w:pStyle w:val="12"/>
              <w:jc w:val="center"/>
            </w:pPr>
            <w:r>
              <w:rPr>
                <w:sz w:val="22"/>
              </w:rPr>
              <w:t>10</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FA259C">
            <w:pPr>
              <w:pStyle w:val="12"/>
              <w:jc w:val="center"/>
            </w:pPr>
            <w:r>
              <w:rPr>
                <w:sz w:val="22"/>
              </w:rPr>
              <w:t>驻场人员无故离岗或休息不向采购人主管部门报备的，一次扣5分；如因运营人员休息而工作安排不到位导致不良后果的，扣减10分/次。</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7D3B0E">
            <w:pPr>
              <w:pStyle w:val="12"/>
              <w:jc w:val="center"/>
            </w:pPr>
          </w:p>
        </w:tc>
      </w:tr>
      <w:tr w14:paraId="57302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vMerge w:val="continue"/>
            <w:tcBorders>
              <w:top w:val="nil"/>
              <w:left w:val="single" w:color="000000" w:sz="4" w:space="0"/>
              <w:bottom w:val="single" w:color="000000" w:sz="4" w:space="0"/>
              <w:right w:val="single" w:color="000000" w:sz="4" w:space="0"/>
            </w:tcBorders>
            <w:vAlign w:val="center"/>
          </w:tcPr>
          <w:p w14:paraId="49F2318B">
            <w:pPr>
              <w:jc w:val="center"/>
            </w:pPr>
          </w:p>
        </w:tc>
        <w:tc>
          <w:tcPr>
            <w:tcW w:w="720" w:type="dxa"/>
            <w:vMerge w:val="continue"/>
            <w:tcBorders>
              <w:top w:val="nil"/>
              <w:left w:val="single" w:color="000000" w:sz="4" w:space="0"/>
              <w:bottom w:val="single" w:color="000000" w:sz="4" w:space="0"/>
              <w:right w:val="single" w:color="000000" w:sz="4" w:space="0"/>
            </w:tcBorders>
            <w:vAlign w:val="center"/>
          </w:tcPr>
          <w:p w14:paraId="6510ED29">
            <w:pPr>
              <w:jc w:val="center"/>
            </w:pP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E2680BA">
            <w:pPr>
              <w:pStyle w:val="12"/>
              <w:jc w:val="center"/>
            </w:pPr>
            <w:r>
              <w:rPr>
                <w:sz w:val="22"/>
              </w:rPr>
              <w:t>岗位核查：</w:t>
            </w:r>
            <w:r>
              <w:rPr>
                <w:sz w:val="22"/>
                <w:shd w:val="clear" w:fill="FFFFFF"/>
              </w:rPr>
              <w:t>由采购人主管部门每月对成交供应商的岗位配置情况进行核查，不得存在缺岗或并岗。</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F7E0DCA">
            <w:pPr>
              <w:pStyle w:val="12"/>
              <w:jc w:val="center"/>
            </w:pPr>
            <w:r>
              <w:rPr>
                <w:sz w:val="22"/>
              </w:rPr>
              <w:t>10</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BD981CC">
            <w:pPr>
              <w:pStyle w:val="12"/>
              <w:jc w:val="center"/>
            </w:pPr>
            <w:r>
              <w:rPr>
                <w:sz w:val="22"/>
                <w:shd w:val="clear" w:fill="FFFFFF"/>
              </w:rPr>
              <w:t>发现缺岗或并岗的，每发现一次扣5分。</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A52DCC4">
            <w:pPr>
              <w:pStyle w:val="12"/>
              <w:jc w:val="center"/>
            </w:pPr>
          </w:p>
        </w:tc>
      </w:tr>
      <w:tr w14:paraId="44D167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E07FD6">
            <w:pPr>
              <w:pStyle w:val="12"/>
              <w:jc w:val="center"/>
            </w:pPr>
            <w:r>
              <w:rPr>
                <w:sz w:val="22"/>
              </w:rPr>
              <w:t>三</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9FBE9D4">
            <w:pPr>
              <w:pStyle w:val="12"/>
              <w:jc w:val="center"/>
            </w:pPr>
            <w:r>
              <w:rPr>
                <w:sz w:val="22"/>
              </w:rPr>
              <w:t>人员</w:t>
            </w:r>
          </w:p>
          <w:p w14:paraId="6A22DCD6">
            <w:pPr>
              <w:pStyle w:val="12"/>
              <w:jc w:val="center"/>
            </w:pPr>
            <w:r>
              <w:rPr>
                <w:sz w:val="22"/>
              </w:rPr>
              <w:t>资质</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8D6EA56">
            <w:pPr>
              <w:pStyle w:val="12"/>
              <w:jc w:val="center"/>
            </w:pPr>
            <w:r>
              <w:rPr>
                <w:sz w:val="22"/>
              </w:rPr>
              <w:t>成交供应商应委派固定的具备相关资质专业人员并持证上岗驻场负责采购人的污水处理站运营管理工作，将公司的资质证书复印件、运营人员和驻场人员上岗证复印件交给采购人存档备案。</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7A95143">
            <w:pPr>
              <w:pStyle w:val="12"/>
              <w:jc w:val="center"/>
            </w:pPr>
            <w:r>
              <w:rPr>
                <w:sz w:val="22"/>
              </w:rPr>
              <w:t>5</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20091F">
            <w:pPr>
              <w:pStyle w:val="12"/>
              <w:jc w:val="center"/>
            </w:pPr>
            <w:r>
              <w:rPr>
                <w:sz w:val="22"/>
                <w:shd w:val="clear" w:fill="FFFFFF"/>
              </w:rPr>
              <w:t>发现资质证或上岗证过期或不符的，扣减1分/次，扣完为止。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0D071B">
            <w:pPr>
              <w:pStyle w:val="12"/>
              <w:jc w:val="center"/>
            </w:pPr>
          </w:p>
        </w:tc>
      </w:tr>
      <w:tr w14:paraId="0D897D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CBD26C9">
            <w:pPr>
              <w:pStyle w:val="12"/>
              <w:jc w:val="center"/>
            </w:pPr>
            <w:r>
              <w:rPr>
                <w:sz w:val="22"/>
              </w:rPr>
              <w:t>四</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9265F2C">
            <w:pPr>
              <w:pStyle w:val="12"/>
              <w:jc w:val="center"/>
            </w:pPr>
            <w:r>
              <w:rPr>
                <w:sz w:val="22"/>
              </w:rPr>
              <w:t>资料</w:t>
            </w:r>
          </w:p>
          <w:p w14:paraId="7C4DFF39">
            <w:pPr>
              <w:pStyle w:val="12"/>
              <w:jc w:val="center"/>
            </w:pPr>
            <w:r>
              <w:rPr>
                <w:sz w:val="22"/>
              </w:rPr>
              <w:t>提交</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2455D03">
            <w:pPr>
              <w:pStyle w:val="12"/>
              <w:jc w:val="center"/>
            </w:pPr>
            <w:r>
              <w:rPr>
                <w:sz w:val="22"/>
              </w:rPr>
              <w:t>按时提交上一个月设备的运行、安全状况报告和检查记录、用料记录、检验检测记录等所有运营管理原始资料；如有突发事故发生，自发生之日起两天内提供事件处理报告；年终提交全年工作总结报告。</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16E3AC7">
            <w:pPr>
              <w:pStyle w:val="12"/>
              <w:jc w:val="center"/>
            </w:pPr>
            <w:r>
              <w:rPr>
                <w:sz w:val="22"/>
              </w:rPr>
              <w:t>10</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F6847E1">
            <w:pPr>
              <w:pStyle w:val="12"/>
              <w:jc w:val="center"/>
            </w:pPr>
            <w:r>
              <w:rPr>
                <w:sz w:val="22"/>
              </w:rPr>
              <w:t>未按时交齐相关资料的，扣2分/次，扣完为止。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CD0FB60">
            <w:pPr>
              <w:pStyle w:val="12"/>
              <w:jc w:val="center"/>
            </w:pPr>
          </w:p>
        </w:tc>
      </w:tr>
      <w:tr w14:paraId="63ACB3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B940C1C">
            <w:pPr>
              <w:pStyle w:val="12"/>
              <w:jc w:val="center"/>
            </w:pPr>
            <w:r>
              <w:rPr>
                <w:sz w:val="22"/>
              </w:rPr>
              <w:t>五</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7F6B0F">
            <w:pPr>
              <w:pStyle w:val="12"/>
              <w:jc w:val="center"/>
            </w:pPr>
            <w:r>
              <w:rPr>
                <w:sz w:val="22"/>
              </w:rPr>
              <w:t>员工</w:t>
            </w:r>
          </w:p>
          <w:p w14:paraId="230091FD">
            <w:pPr>
              <w:pStyle w:val="12"/>
              <w:jc w:val="center"/>
            </w:pPr>
            <w:r>
              <w:rPr>
                <w:sz w:val="22"/>
              </w:rPr>
              <w:t>培训</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D74A13">
            <w:pPr>
              <w:pStyle w:val="12"/>
              <w:jc w:val="center"/>
            </w:pPr>
            <w:r>
              <w:rPr>
                <w:sz w:val="22"/>
              </w:rPr>
              <w:t>公司有培训计划并针对员工进行实施，员工熟悉本岗位工作职责和流程及要求、相关法律法规、应急预案和处理方法等，应急处理培训合格率达100%。新入职员工应培训合格方可单独上岗。</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F31519E">
            <w:pPr>
              <w:pStyle w:val="12"/>
              <w:jc w:val="center"/>
            </w:pPr>
            <w:r>
              <w:rPr>
                <w:sz w:val="22"/>
              </w:rPr>
              <w:t>4</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065513">
            <w:pPr>
              <w:pStyle w:val="12"/>
              <w:jc w:val="center"/>
            </w:pPr>
            <w:r>
              <w:rPr>
                <w:sz w:val="22"/>
              </w:rPr>
              <w:t>不熟悉职责、工作流程的，扣2分/人；新入职员工未经培训或培训后不熟悉工作独上岗，扣减1分/人，扣完为止。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5F371CF">
            <w:pPr>
              <w:pStyle w:val="12"/>
              <w:jc w:val="center"/>
            </w:pPr>
          </w:p>
        </w:tc>
      </w:tr>
      <w:tr w14:paraId="09BE1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E0C3A87">
            <w:pPr>
              <w:pStyle w:val="12"/>
              <w:jc w:val="center"/>
            </w:pPr>
            <w:r>
              <w:rPr>
                <w:sz w:val="22"/>
              </w:rPr>
              <w:t>六</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206933D">
            <w:pPr>
              <w:pStyle w:val="12"/>
              <w:jc w:val="center"/>
            </w:pPr>
            <w:r>
              <w:rPr>
                <w:sz w:val="22"/>
              </w:rPr>
              <w:t>质量持</w:t>
            </w:r>
          </w:p>
          <w:p w14:paraId="70466CEF">
            <w:pPr>
              <w:pStyle w:val="12"/>
              <w:jc w:val="center"/>
            </w:pPr>
            <w:r>
              <w:rPr>
                <w:sz w:val="22"/>
              </w:rPr>
              <w:t>续改进</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1C5B910">
            <w:pPr>
              <w:pStyle w:val="12"/>
              <w:jc w:val="center"/>
            </w:pPr>
            <w:r>
              <w:rPr>
                <w:sz w:val="22"/>
              </w:rPr>
              <w:t>对存在问题及时改进，如收到采购人发出的整改通知函，应按期整改并提交整改意见。发生不良事件应1小时内采取补救措施将影响降到最低，处理结束后，针对发生原因进行分析并持续改进，在一周内提交整改报告到采购人主管部门。</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D14A53D">
            <w:pPr>
              <w:pStyle w:val="12"/>
              <w:jc w:val="center"/>
            </w:pPr>
            <w:r>
              <w:rPr>
                <w:sz w:val="22"/>
              </w:rPr>
              <w:t>10</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7D32652">
            <w:pPr>
              <w:pStyle w:val="12"/>
              <w:jc w:val="center"/>
            </w:pPr>
            <w:r>
              <w:rPr>
                <w:sz w:val="22"/>
              </w:rPr>
              <w:t>未按要求处理或改进的，扣1分/次；如果因公司责任再次发生同类不良事件的，扣3分/项，扣完为止。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CC90356">
            <w:pPr>
              <w:pStyle w:val="12"/>
              <w:jc w:val="center"/>
            </w:pPr>
          </w:p>
        </w:tc>
      </w:tr>
      <w:tr w14:paraId="107DC4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E15348A">
            <w:pPr>
              <w:pStyle w:val="12"/>
              <w:jc w:val="center"/>
            </w:pPr>
            <w:r>
              <w:rPr>
                <w:sz w:val="22"/>
              </w:rPr>
              <w:t>七</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354EBD">
            <w:pPr>
              <w:pStyle w:val="12"/>
              <w:jc w:val="center"/>
            </w:pPr>
            <w:r>
              <w:rPr>
                <w:sz w:val="22"/>
              </w:rPr>
              <w:t>劳动</w:t>
            </w:r>
          </w:p>
          <w:p w14:paraId="5F491961">
            <w:pPr>
              <w:pStyle w:val="12"/>
              <w:jc w:val="center"/>
            </w:pPr>
            <w:r>
              <w:rPr>
                <w:sz w:val="22"/>
              </w:rPr>
              <w:t>纪律</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F6D7C7">
            <w:pPr>
              <w:pStyle w:val="12"/>
              <w:jc w:val="center"/>
            </w:pPr>
            <w:r>
              <w:rPr>
                <w:sz w:val="22"/>
              </w:rPr>
              <w:t>成交供应商的驻场人员应遵守采购人的各项规章制度及疫情防控（如需）要求，服从指挥，配合采购人的工作要求，接受采购人的质量监督和检查。</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26A33FF">
            <w:pPr>
              <w:pStyle w:val="12"/>
              <w:jc w:val="center"/>
            </w:pPr>
            <w:r>
              <w:rPr>
                <w:sz w:val="22"/>
              </w:rPr>
              <w:t>6</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9EDE08">
            <w:pPr>
              <w:pStyle w:val="12"/>
              <w:jc w:val="center"/>
            </w:pPr>
            <w:r>
              <w:rPr>
                <w:sz w:val="22"/>
              </w:rPr>
              <w:t>一人一项不符合扣0.5分/次；扣完该项为止；同类问题出现≥3次扣3/人.次，扣完该项分为止。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06D4470">
            <w:pPr>
              <w:pStyle w:val="12"/>
              <w:jc w:val="center"/>
            </w:pPr>
          </w:p>
        </w:tc>
      </w:tr>
      <w:tr w14:paraId="476C33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C5BF45D">
            <w:pPr>
              <w:pStyle w:val="12"/>
              <w:jc w:val="center"/>
            </w:pPr>
            <w:r>
              <w:rPr>
                <w:sz w:val="22"/>
              </w:rPr>
              <w:t>八</w:t>
            </w:r>
          </w:p>
        </w:tc>
        <w:tc>
          <w:tcPr>
            <w:tcW w:w="7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0A999D">
            <w:pPr>
              <w:pStyle w:val="12"/>
              <w:jc w:val="center"/>
            </w:pPr>
            <w:r>
              <w:rPr>
                <w:sz w:val="22"/>
              </w:rPr>
              <w:t>应急</w:t>
            </w:r>
          </w:p>
          <w:p w14:paraId="1AB9E4C0">
            <w:pPr>
              <w:pStyle w:val="12"/>
              <w:jc w:val="center"/>
            </w:pPr>
            <w:r>
              <w:rPr>
                <w:sz w:val="22"/>
              </w:rPr>
              <w:t>响应</w:t>
            </w:r>
          </w:p>
        </w:tc>
        <w:tc>
          <w:tcPr>
            <w:tcW w:w="37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FC49014">
            <w:pPr>
              <w:pStyle w:val="12"/>
              <w:jc w:val="center"/>
            </w:pPr>
            <w:r>
              <w:rPr>
                <w:sz w:val="22"/>
              </w:rPr>
              <w:t>提供24小时响应服务。非正常上班时间遇临时性或突发性的工作，应在接到采购人通知1小时内到达现场处理，到场后2小时内处理完毕。</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4843114">
            <w:pPr>
              <w:pStyle w:val="12"/>
              <w:jc w:val="center"/>
            </w:pPr>
            <w:r>
              <w:rPr>
                <w:sz w:val="22"/>
              </w:rPr>
              <w:t>5</w:t>
            </w:r>
          </w:p>
        </w:tc>
        <w:tc>
          <w:tcPr>
            <w:tcW w:w="25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04B2910">
            <w:pPr>
              <w:pStyle w:val="12"/>
              <w:jc w:val="center"/>
            </w:pPr>
            <w:r>
              <w:rPr>
                <w:sz w:val="22"/>
              </w:rPr>
              <w:t>未按要求响应或未按时到达现场处理的，每发生一次扣1分，扣完为止。</w:t>
            </w:r>
          </w:p>
        </w:tc>
        <w:tc>
          <w:tcPr>
            <w:tcW w:w="1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A6E6E55">
            <w:pPr>
              <w:pStyle w:val="12"/>
              <w:jc w:val="center"/>
            </w:pPr>
          </w:p>
        </w:tc>
      </w:tr>
      <w:tr w14:paraId="0CB395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5123"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D48D029">
            <w:pPr>
              <w:pStyle w:val="12"/>
              <w:jc w:val="center"/>
            </w:pPr>
            <w:r>
              <w:rPr>
                <w:b/>
                <w:sz w:val="22"/>
              </w:rPr>
              <w:t>合计得分</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1CDCD29">
            <w:pPr>
              <w:pStyle w:val="12"/>
              <w:jc w:val="center"/>
            </w:pPr>
          </w:p>
        </w:tc>
        <w:tc>
          <w:tcPr>
            <w:tcW w:w="393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B5685B0">
            <w:pPr>
              <w:pStyle w:val="12"/>
              <w:jc w:val="both"/>
            </w:pPr>
            <w:r>
              <w:rPr>
                <w:sz w:val="22"/>
              </w:rPr>
              <w:t>考评人员签名：</w:t>
            </w:r>
          </w:p>
        </w:tc>
      </w:tr>
    </w:tbl>
    <w:p w14:paraId="0CCA65D6">
      <w:pPr>
        <w:pStyle w:val="5"/>
        <w:rPr>
          <w:rFonts w:hint="default" w:ascii="宋体" w:hAnsi="宋体" w:eastAsia="宋体" w:cs="宋体"/>
          <w:sz w:val="28"/>
          <w:szCs w:val="28"/>
          <w:lang w:val="en-US" w:eastAsia="zh-CN"/>
        </w:rPr>
      </w:pPr>
    </w:p>
    <w:sectPr>
      <w:pgSz w:w="11906" w:h="16838"/>
      <w:pgMar w:top="1020" w:right="1123" w:bottom="1043"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4FF0BD"/>
    <w:multiLevelType w:val="singleLevel"/>
    <w:tmpl w:val="734FF0BD"/>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4B58C9"/>
    <w:rsid w:val="037D7F44"/>
    <w:rsid w:val="0DBD1298"/>
    <w:rsid w:val="0F2C72EC"/>
    <w:rsid w:val="124B3DF4"/>
    <w:rsid w:val="14D32B2F"/>
    <w:rsid w:val="17272285"/>
    <w:rsid w:val="24E261E9"/>
    <w:rsid w:val="40403D8B"/>
    <w:rsid w:val="40E361D4"/>
    <w:rsid w:val="4147319F"/>
    <w:rsid w:val="44AE5975"/>
    <w:rsid w:val="46C94CF8"/>
    <w:rsid w:val="47334A91"/>
    <w:rsid w:val="5D8A5191"/>
    <w:rsid w:val="656622CB"/>
    <w:rsid w:val="69A32082"/>
    <w:rsid w:val="6C1F1FA6"/>
    <w:rsid w:val="71F902A8"/>
    <w:rsid w:val="74F90210"/>
    <w:rsid w:val="784B58C9"/>
    <w:rsid w:val="7FFA2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widowControl w:val="0"/>
      <w:spacing w:before="340" w:line="578" w:lineRule="auto"/>
      <w:jc w:val="center"/>
      <w:outlineLvl w:val="0"/>
    </w:pPr>
    <w:rPr>
      <w:rFonts w:ascii="Times New Roman" w:hAnsi="宋体" w:eastAsia="黑体" w:cs="宋体"/>
      <w:b/>
      <w:color w:val="000000"/>
      <w:sz w:val="44"/>
      <w:szCs w:val="20"/>
    </w:rPr>
  </w:style>
  <w:style w:type="paragraph" w:styleId="3">
    <w:name w:val="heading 2"/>
    <w:basedOn w:val="1"/>
    <w:next w:val="1"/>
    <w:unhideWhenUsed/>
    <w:qFormat/>
    <w:uiPriority w:val="0"/>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0"/>
    <w:pPr>
      <w:spacing w:after="120"/>
    </w:pPr>
  </w:style>
  <w:style w:type="paragraph" w:customStyle="1" w:styleId="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39"/>
    <w:rPr>
      <w:rFonts w:ascii="Times New Roman" w:hAnsi="Times New Roman" w:eastAsia="宋体" w:cs="Times New Roman"/>
      <w:kern w:val="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目录 21"/>
    <w:next w:val="2"/>
    <w:qFormat/>
    <w:uiPriority w:val="0"/>
    <w:pPr>
      <w:wordWrap w:val="0"/>
      <w:jc w:val="both"/>
    </w:pPr>
    <w:rPr>
      <w:rFonts w:ascii="宋体" w:hAnsi="宋体" w:eastAsia="宋体" w:cs="宋体"/>
      <w:sz w:val="21"/>
      <w:lang w:val="en-US" w:eastAsia="zh-CN" w:bidi="ar-SA"/>
    </w:rPr>
  </w:style>
  <w:style w:type="paragraph" w:customStyle="1" w:styleId="1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5314</Words>
  <Characters>5451</Characters>
  <Lines>0</Lines>
  <Paragraphs>0</Paragraphs>
  <TotalTime>1</TotalTime>
  <ScaleCrop>false</ScaleCrop>
  <LinksUpToDate>false</LinksUpToDate>
  <CharactersWithSpaces>5487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2026-02-09T06:59:00Z</dcterms:created>
  <dc:creator>小军</dc:creator>
  <cp:lastModifiedBy>18924981193</cp:lastModifiedBy>
  <cp:lastPrinted>2026-05-13T00:45:00Z</cp:lastPrinted>
  <dcterms:modified xsi:type="dcterms:W3CDTF">2026-05-26T04:11:51Z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031B1EABEA1F4C079DE3F7CB4EA5AF6C_13</vt:lpwstr>
  </property>
  <property fmtid="{D5CDD505-2E9C-101B-9397-08002B2CF9AE}" pid="4" name="KSOTemplateDocerSaveRecord">
    <vt:lpwstr>eyJoZGlkIjoiMDI1YTQ0MGQ2NDc4NmQ3MjU4NTFkMzZmNDA5NDM5ODgiLCJ1c2VySWQiOiI3MDcxOTEyNjEifQ==</vt:lpwstr>
  </property>
</Properties>
</file>