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1856"/>
        <w:gridCol w:w="2022"/>
        <w:gridCol w:w="1436"/>
        <w:gridCol w:w="2189"/>
        <w:gridCol w:w="2189"/>
      </w:tblGrid>
      <w:tr w14:paraId="307D4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7ADC801A">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投资项目代码</w:t>
            </w:r>
          </w:p>
        </w:tc>
        <w:tc>
          <w:tcPr>
            <w:tcW w:w="7836" w:type="dxa"/>
            <w:gridSpan w:val="4"/>
            <w:noWrap w:val="0"/>
            <w:vAlign w:val="center"/>
          </w:tcPr>
          <w:p w14:paraId="0278622C">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rPr>
              <w:t>2507-441322-04-01-983835</w:t>
            </w:r>
          </w:p>
        </w:tc>
      </w:tr>
      <w:tr w14:paraId="53996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19A50A75">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投资项目名称</w:t>
            </w:r>
          </w:p>
        </w:tc>
        <w:tc>
          <w:tcPr>
            <w:tcW w:w="7836" w:type="dxa"/>
            <w:gridSpan w:val="4"/>
            <w:noWrap w:val="0"/>
            <w:vAlign w:val="center"/>
          </w:tcPr>
          <w:p w14:paraId="30FBDB57">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博罗县农贸综合批发市场及仓储园区</w:t>
            </w:r>
            <w:r>
              <w:rPr>
                <w:rFonts w:hint="eastAsia" w:ascii="仿宋" w:hAnsi="仿宋" w:eastAsia="仿宋" w:cs="仿宋"/>
                <w:b/>
                <w:bCs/>
                <w:i w:val="0"/>
                <w:color w:val="auto"/>
                <w:sz w:val="32"/>
                <w:szCs w:val="32"/>
                <w:highlight w:val="none"/>
                <w:u w:val="none"/>
                <w:lang w:val="en-US" w:eastAsia="zh-CN"/>
              </w:rPr>
              <w:t>项目</w:t>
            </w:r>
          </w:p>
        </w:tc>
      </w:tr>
      <w:tr w14:paraId="74DF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59E34374">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招标项目名称</w:t>
            </w:r>
          </w:p>
        </w:tc>
        <w:tc>
          <w:tcPr>
            <w:tcW w:w="7836" w:type="dxa"/>
            <w:gridSpan w:val="4"/>
            <w:noWrap w:val="0"/>
            <w:vAlign w:val="center"/>
          </w:tcPr>
          <w:p w14:paraId="0ECEF7D5">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博罗县农贸综合批发市场及仓储园区项目农贸综合批发市场（一期）水土保持方案编制及水土保持设施验收服务</w:t>
            </w:r>
          </w:p>
        </w:tc>
      </w:tr>
      <w:tr w14:paraId="61676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65CF17F7">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标段（包）名称</w:t>
            </w:r>
          </w:p>
        </w:tc>
        <w:tc>
          <w:tcPr>
            <w:tcW w:w="2022" w:type="dxa"/>
            <w:noWrap w:val="0"/>
            <w:vAlign w:val="center"/>
          </w:tcPr>
          <w:p w14:paraId="08C6C30C">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 xml:space="preserve"> /</w:t>
            </w:r>
          </w:p>
        </w:tc>
        <w:tc>
          <w:tcPr>
            <w:tcW w:w="1436" w:type="dxa"/>
            <w:noWrap w:val="0"/>
            <w:vAlign w:val="center"/>
          </w:tcPr>
          <w:p w14:paraId="76274B5D">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公告性质</w:t>
            </w:r>
          </w:p>
        </w:tc>
        <w:tc>
          <w:tcPr>
            <w:tcW w:w="4378" w:type="dxa"/>
            <w:gridSpan w:val="2"/>
            <w:noWrap w:val="0"/>
            <w:vAlign w:val="center"/>
          </w:tcPr>
          <w:p w14:paraId="69792817">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正常</w:t>
            </w:r>
          </w:p>
        </w:tc>
      </w:tr>
      <w:tr w14:paraId="7C33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3E8991AD">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资格审查方式</w:t>
            </w:r>
          </w:p>
        </w:tc>
        <w:tc>
          <w:tcPr>
            <w:tcW w:w="7836" w:type="dxa"/>
            <w:gridSpan w:val="4"/>
            <w:noWrap w:val="0"/>
            <w:vAlign w:val="center"/>
          </w:tcPr>
          <w:p w14:paraId="07F792AF">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资格后审</w:t>
            </w:r>
          </w:p>
        </w:tc>
      </w:tr>
      <w:tr w14:paraId="031B3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0FD5C6A0">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招标项目实施（交货）地点</w:t>
            </w:r>
          </w:p>
        </w:tc>
        <w:tc>
          <w:tcPr>
            <w:tcW w:w="7836" w:type="dxa"/>
            <w:gridSpan w:val="4"/>
            <w:noWrap w:val="0"/>
            <w:vAlign w:val="center"/>
          </w:tcPr>
          <w:p w14:paraId="2138E3CE">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惠州市博罗县罗阳街道塱头村横岭经济合作社蓄能路东侧地段</w:t>
            </w:r>
          </w:p>
        </w:tc>
      </w:tr>
      <w:tr w14:paraId="7EC79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1D15E652">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资金来源</w:t>
            </w:r>
          </w:p>
        </w:tc>
        <w:tc>
          <w:tcPr>
            <w:tcW w:w="2022" w:type="dxa"/>
            <w:noWrap w:val="0"/>
            <w:vAlign w:val="center"/>
          </w:tcPr>
          <w:p w14:paraId="26589753">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val="en-US"/>
              </w:rPr>
            </w:pPr>
            <w:r>
              <w:rPr>
                <w:rFonts w:hint="eastAsia" w:ascii="仿宋" w:hAnsi="仿宋" w:eastAsia="仿宋" w:cs="仿宋"/>
                <w:b/>
                <w:bCs/>
                <w:i w:val="0"/>
                <w:color w:val="auto"/>
                <w:sz w:val="32"/>
                <w:szCs w:val="32"/>
                <w:highlight w:val="none"/>
                <w:u w:val="none"/>
                <w:lang w:val="en-US" w:eastAsia="zh-CN"/>
              </w:rPr>
              <w:t>自筹资金、政策性金融工具融资、其它贷款</w:t>
            </w:r>
          </w:p>
        </w:tc>
        <w:tc>
          <w:tcPr>
            <w:tcW w:w="1436" w:type="dxa"/>
            <w:noWrap w:val="0"/>
            <w:vAlign w:val="center"/>
          </w:tcPr>
          <w:p w14:paraId="69E3C7A8">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资金来源构成</w:t>
            </w:r>
          </w:p>
        </w:tc>
        <w:tc>
          <w:tcPr>
            <w:tcW w:w="4378" w:type="dxa"/>
            <w:gridSpan w:val="2"/>
            <w:noWrap w:val="0"/>
            <w:vAlign w:val="center"/>
          </w:tcPr>
          <w:p w14:paraId="02EC63D2">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lang w:val="en-US" w:eastAsia="zh-CN"/>
              </w:rPr>
              <w:t>主要渠道为</w:t>
            </w:r>
            <w:r>
              <w:rPr>
                <w:rFonts w:hint="eastAsia" w:ascii="仿宋" w:hAnsi="仿宋" w:eastAsia="仿宋" w:cs="仿宋"/>
                <w:b/>
                <w:bCs/>
                <w:i w:val="0"/>
                <w:color w:val="auto"/>
                <w:sz w:val="32"/>
                <w:szCs w:val="32"/>
                <w:highlight w:val="none"/>
                <w:u w:val="none"/>
                <w:lang w:eastAsia="zh-CN"/>
              </w:rPr>
              <w:t>通过企业</w:t>
            </w:r>
            <w:r>
              <w:rPr>
                <w:rFonts w:hint="eastAsia" w:ascii="仿宋" w:hAnsi="仿宋" w:eastAsia="仿宋" w:cs="仿宋"/>
                <w:b/>
                <w:bCs/>
                <w:i w:val="0"/>
                <w:color w:val="auto"/>
                <w:sz w:val="32"/>
                <w:szCs w:val="32"/>
                <w:highlight w:val="none"/>
                <w:u w:val="none"/>
                <w:lang w:val="en-US" w:eastAsia="zh-CN"/>
              </w:rPr>
              <w:t>自筹</w:t>
            </w:r>
            <w:r>
              <w:rPr>
                <w:rFonts w:hint="eastAsia" w:ascii="仿宋" w:hAnsi="仿宋" w:eastAsia="仿宋" w:cs="仿宋"/>
                <w:b/>
                <w:bCs/>
                <w:i w:val="0"/>
                <w:color w:val="auto"/>
                <w:sz w:val="32"/>
                <w:szCs w:val="32"/>
                <w:highlight w:val="none"/>
                <w:u w:val="none"/>
                <w:lang w:eastAsia="zh-CN"/>
              </w:rPr>
              <w:t>资金以及银行融资、</w:t>
            </w:r>
            <w:r>
              <w:rPr>
                <w:rFonts w:hint="eastAsia" w:ascii="仿宋" w:hAnsi="仿宋" w:eastAsia="仿宋" w:cs="仿宋"/>
                <w:b/>
                <w:bCs/>
                <w:i w:val="0"/>
                <w:color w:val="auto"/>
                <w:sz w:val="32"/>
                <w:szCs w:val="32"/>
                <w:highlight w:val="none"/>
                <w:u w:val="none"/>
                <w:lang w:val="en-US" w:eastAsia="zh-CN"/>
              </w:rPr>
              <w:t>其他贷款</w:t>
            </w:r>
            <w:r>
              <w:rPr>
                <w:rFonts w:hint="eastAsia" w:ascii="仿宋" w:hAnsi="仿宋" w:eastAsia="仿宋" w:cs="仿宋"/>
                <w:b/>
                <w:bCs/>
                <w:i w:val="0"/>
                <w:color w:val="auto"/>
                <w:sz w:val="32"/>
                <w:szCs w:val="32"/>
                <w:highlight w:val="none"/>
                <w:u w:val="none"/>
                <w:lang w:eastAsia="zh-CN"/>
              </w:rPr>
              <w:t>等多种渠道筹集</w:t>
            </w:r>
          </w:p>
        </w:tc>
      </w:tr>
      <w:tr w14:paraId="2A6EA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1B6F6964">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招标范围及规模</w:t>
            </w:r>
          </w:p>
        </w:tc>
        <w:tc>
          <w:tcPr>
            <w:tcW w:w="7836" w:type="dxa"/>
            <w:gridSpan w:val="4"/>
            <w:noWrap w:val="0"/>
            <w:vAlign w:val="center"/>
          </w:tcPr>
          <w:p w14:paraId="5F6E66B9">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博罗县农贸综合批发市场及仓储园区项目农贸综合批发市场（一期），投资估算：根据项目建设内容和分类建设规模，项目一期总投资包含工程费用、工程建设其他费用、预备费、建设期利息四个部分，其中工程费用68433.25万元(含冷库设备安装及保温工程2500万元)，工程建设其他费用38193.5万元，预备费4659.34万元，建设期利息5670万元，合计116956.10万元。最终以批复的项目投资为准。建设规模与内容:本项包含农贸展销，邻里商业和物流仓储3个主题功能分区,占地面积64130.55㎡，建筑面积约164400㎡，计容经营面积为128400㎡。</w:t>
            </w:r>
          </w:p>
        </w:tc>
      </w:tr>
      <w:tr w14:paraId="73E8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158345F4">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招标内容</w:t>
            </w:r>
          </w:p>
        </w:tc>
        <w:tc>
          <w:tcPr>
            <w:tcW w:w="7836" w:type="dxa"/>
            <w:gridSpan w:val="4"/>
            <w:noWrap w:val="0"/>
            <w:vAlign w:val="center"/>
          </w:tcPr>
          <w:p w14:paraId="577C02B6">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sz w:val="32"/>
                <w:szCs w:val="32"/>
                <w:highlight w:val="none"/>
                <w:u w:val="none"/>
                <w:lang w:val="en-US" w:eastAsia="zh-CN"/>
              </w:rPr>
            </w:pPr>
            <w:r>
              <w:rPr>
                <w:rFonts w:hint="eastAsia" w:ascii="仿宋" w:hAnsi="仿宋" w:eastAsia="仿宋" w:cs="仿宋"/>
                <w:b/>
                <w:bCs/>
                <w:i w:val="0"/>
                <w:color w:val="auto"/>
                <w:sz w:val="32"/>
                <w:szCs w:val="32"/>
                <w:highlight w:val="none"/>
                <w:u w:val="none"/>
                <w:lang w:val="en-US" w:eastAsia="zh-CN"/>
              </w:rPr>
              <w:t>开展</w:t>
            </w:r>
            <w:r>
              <w:rPr>
                <w:rFonts w:hint="eastAsia" w:ascii="仿宋" w:hAnsi="仿宋" w:eastAsia="仿宋" w:cs="仿宋"/>
                <w:b/>
                <w:bCs/>
                <w:i w:val="0"/>
                <w:color w:val="auto"/>
                <w:sz w:val="32"/>
                <w:szCs w:val="32"/>
                <w:highlight w:val="none"/>
                <w:u w:val="none"/>
                <w:lang w:eastAsia="zh-CN"/>
              </w:rPr>
              <w:t>博罗县农贸综合批发市场及仓储园区项目农贸综合批发市场（一期）水土保持方案编制及水土保持设施验收服务。</w:t>
            </w:r>
          </w:p>
        </w:tc>
      </w:tr>
      <w:tr w14:paraId="0483F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0FACB580">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工期（交货期）</w:t>
            </w:r>
          </w:p>
        </w:tc>
        <w:tc>
          <w:tcPr>
            <w:tcW w:w="7836" w:type="dxa"/>
            <w:gridSpan w:val="4"/>
            <w:noWrap w:val="0"/>
            <w:vAlign w:val="center"/>
          </w:tcPr>
          <w:p w14:paraId="2A2937C8">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1.水土保持方案编制：合同签订后，甲方提供完整项目相关材料后 30 个工作日内完成提交报批的水土保持方案报告。</w:t>
            </w:r>
          </w:p>
          <w:p w14:paraId="5F3A41C0">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2.水土保持设施验收：工程竣工验收前，乙方需在甲方通知后 45 个工作日内完成水土保持设施验收鉴定书、水土保持设施验收报告并取得生产建设项目水土保持设施自主验收报告材料回执。</w:t>
            </w:r>
          </w:p>
        </w:tc>
      </w:tr>
      <w:tr w14:paraId="07D4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4E5A002C">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最高投标限价</w:t>
            </w:r>
          </w:p>
        </w:tc>
        <w:tc>
          <w:tcPr>
            <w:tcW w:w="7836" w:type="dxa"/>
            <w:gridSpan w:val="4"/>
            <w:noWrap w:val="0"/>
            <w:vAlign w:val="center"/>
          </w:tcPr>
          <w:p w14:paraId="503F1593">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lang w:val="en-US" w:eastAsia="zh-CN"/>
              </w:rPr>
              <w:t>136.99万元</w:t>
            </w:r>
          </w:p>
        </w:tc>
      </w:tr>
      <w:tr w14:paraId="25A4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2B4774CB">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是否接受联合体投标</w:t>
            </w:r>
          </w:p>
        </w:tc>
        <w:tc>
          <w:tcPr>
            <w:tcW w:w="7836" w:type="dxa"/>
            <w:gridSpan w:val="4"/>
            <w:noWrap w:val="0"/>
            <w:vAlign w:val="center"/>
          </w:tcPr>
          <w:p w14:paraId="3E54AB97">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否</w:t>
            </w:r>
          </w:p>
        </w:tc>
      </w:tr>
      <w:tr w14:paraId="09D0D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vMerge w:val="restart"/>
            <w:noWrap w:val="0"/>
            <w:vAlign w:val="center"/>
          </w:tcPr>
          <w:p w14:paraId="04C2A191">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投标资格能力要求（包括但不限于资质人员、业绩等要求）</w:t>
            </w:r>
          </w:p>
        </w:tc>
        <w:tc>
          <w:tcPr>
            <w:tcW w:w="2022" w:type="dxa"/>
            <w:noWrap w:val="0"/>
            <w:vAlign w:val="center"/>
          </w:tcPr>
          <w:p w14:paraId="70865063">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投标人资格要求</w:t>
            </w:r>
          </w:p>
        </w:tc>
        <w:tc>
          <w:tcPr>
            <w:tcW w:w="5814" w:type="dxa"/>
            <w:gridSpan w:val="3"/>
            <w:noWrap w:val="0"/>
            <w:vAlign w:val="center"/>
          </w:tcPr>
          <w:p w14:paraId="327499C5">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1、已在中国境内注册，在法律上、财务上独立，合法运作的独立法人；</w:t>
            </w:r>
          </w:p>
          <w:p w14:paraId="6B3C0FD5">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2、拟派的项目负责人须具有水土保持相关专业中级（或以上）职称。</w:t>
            </w:r>
          </w:p>
          <w:p w14:paraId="6194F3D8">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3、资格审查方式：本次招标采用资格后审方式，具体详见招标文件。</w:t>
            </w:r>
          </w:p>
        </w:tc>
      </w:tr>
      <w:tr w14:paraId="44280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vMerge w:val="continue"/>
            <w:noWrap w:val="0"/>
            <w:vAlign w:val="center"/>
          </w:tcPr>
          <w:p w14:paraId="471C7150">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color w:val="auto"/>
                <w:sz w:val="32"/>
                <w:szCs w:val="32"/>
                <w:highlight w:val="none"/>
              </w:rPr>
            </w:pPr>
          </w:p>
        </w:tc>
        <w:tc>
          <w:tcPr>
            <w:tcW w:w="2022" w:type="dxa"/>
            <w:noWrap w:val="0"/>
            <w:vAlign w:val="center"/>
          </w:tcPr>
          <w:p w14:paraId="727B922E">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投标人业绩要求</w:t>
            </w:r>
          </w:p>
        </w:tc>
        <w:tc>
          <w:tcPr>
            <w:tcW w:w="5814" w:type="dxa"/>
            <w:gridSpan w:val="3"/>
            <w:noWrap w:val="0"/>
            <w:vAlign w:val="center"/>
          </w:tcPr>
          <w:p w14:paraId="5366A28D">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w:t>
            </w:r>
          </w:p>
        </w:tc>
      </w:tr>
      <w:tr w14:paraId="5091D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vMerge w:val="restart"/>
            <w:noWrap w:val="0"/>
            <w:vAlign w:val="center"/>
          </w:tcPr>
          <w:p w14:paraId="69C61D04">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是否采用电子招标投标方式</w:t>
            </w:r>
          </w:p>
        </w:tc>
        <w:tc>
          <w:tcPr>
            <w:tcW w:w="2022" w:type="dxa"/>
            <w:vMerge w:val="restart"/>
            <w:noWrap w:val="0"/>
            <w:vAlign w:val="center"/>
          </w:tcPr>
          <w:p w14:paraId="77863ED3">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是</w:t>
            </w:r>
          </w:p>
        </w:tc>
        <w:tc>
          <w:tcPr>
            <w:tcW w:w="1436" w:type="dxa"/>
            <w:vMerge w:val="restart"/>
            <w:noWrap w:val="0"/>
            <w:vAlign w:val="center"/>
          </w:tcPr>
          <w:p w14:paraId="0BC4F5E0">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获取招标文件的方式</w:t>
            </w:r>
          </w:p>
        </w:tc>
        <w:tc>
          <w:tcPr>
            <w:tcW w:w="2189" w:type="dxa"/>
            <w:noWrap w:val="0"/>
            <w:vAlign w:val="center"/>
          </w:tcPr>
          <w:p w14:paraId="037AE877">
            <w:pPr>
              <w:keepNext w:val="0"/>
              <w:keepLines w:val="0"/>
              <w:pageBreakBefore w:val="0"/>
              <w:widowControl/>
              <w:suppressLineNumbers w:val="0"/>
              <w:kinsoku/>
              <w:overflowPunct/>
              <w:topLinePunct w:val="0"/>
              <w:autoSpaceDE/>
              <w:autoSpaceDN/>
              <w:bidi w:val="0"/>
              <w:adjustRightInd/>
              <w:snapToGrid/>
              <w:spacing w:line="420" w:lineRule="exact"/>
              <w:jc w:val="both"/>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下载</w:t>
            </w:r>
            <w:r>
              <w:rPr>
                <w:rFonts w:hint="eastAsia" w:ascii="仿宋" w:hAnsi="仿宋" w:eastAsia="仿宋" w:cs="仿宋"/>
                <w:b/>
                <w:bCs/>
                <w:i w:val="0"/>
                <w:color w:val="auto"/>
                <w:sz w:val="32"/>
                <w:szCs w:val="32"/>
                <w:highlight w:val="none"/>
                <w:u w:val="none"/>
                <w:lang w:val="en-US" w:eastAsia="zh-CN"/>
              </w:rPr>
              <w:t>招标文件的网络地址</w:t>
            </w:r>
          </w:p>
        </w:tc>
        <w:tc>
          <w:tcPr>
            <w:tcW w:w="2189" w:type="dxa"/>
            <w:noWrap w:val="0"/>
            <w:vAlign w:val="center"/>
          </w:tcPr>
          <w:p w14:paraId="5C5ACF75">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sz w:val="32"/>
                <w:szCs w:val="32"/>
                <w:highlight w:val="none"/>
                <w:u w:val="none"/>
                <w:lang w:val="en-US" w:eastAsia="zh-CN"/>
              </w:rPr>
            </w:pPr>
            <w:r>
              <w:rPr>
                <w:rFonts w:hint="eastAsia" w:ascii="仿宋" w:hAnsi="仿宋" w:eastAsia="仿宋" w:cs="仿宋"/>
                <w:b/>
                <w:bCs/>
                <w:i w:val="0"/>
                <w:color w:val="auto"/>
                <w:sz w:val="32"/>
                <w:szCs w:val="32"/>
                <w:highlight w:val="none"/>
                <w:u w:val="none"/>
                <w:lang w:val="en-US" w:eastAsia="zh-CN"/>
              </w:rPr>
              <w:t>中易电子交易平台（http://www.cotenders.cn）</w:t>
            </w:r>
          </w:p>
        </w:tc>
      </w:tr>
      <w:tr w14:paraId="5AC7C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vMerge w:val="continue"/>
            <w:noWrap w:val="0"/>
            <w:vAlign w:val="center"/>
          </w:tcPr>
          <w:p w14:paraId="38BECE5F">
            <w:pPr>
              <w:keepNext w:val="0"/>
              <w:keepLines w:val="0"/>
              <w:pageBreakBefore w:val="0"/>
              <w:widowControl/>
              <w:suppressLineNumbers w:val="0"/>
              <w:kinsoku/>
              <w:overflowPunct/>
              <w:topLinePunct w:val="0"/>
              <w:autoSpaceDE/>
              <w:autoSpaceDN/>
              <w:bidi w:val="0"/>
              <w:adjustRightInd/>
              <w:snapToGrid/>
              <w:spacing w:line="420" w:lineRule="exact"/>
              <w:jc w:val="both"/>
              <w:textAlignment w:val="center"/>
              <w:rPr>
                <w:rFonts w:hint="eastAsia" w:ascii="仿宋" w:hAnsi="仿宋" w:eastAsia="仿宋" w:cs="仿宋"/>
                <w:b/>
                <w:bCs/>
                <w:color w:val="auto"/>
                <w:sz w:val="32"/>
                <w:szCs w:val="32"/>
                <w:highlight w:val="none"/>
              </w:rPr>
            </w:pPr>
          </w:p>
        </w:tc>
        <w:tc>
          <w:tcPr>
            <w:tcW w:w="2022" w:type="dxa"/>
            <w:vMerge w:val="continue"/>
            <w:noWrap w:val="0"/>
            <w:vAlign w:val="center"/>
          </w:tcPr>
          <w:p w14:paraId="7D41939B">
            <w:pPr>
              <w:keepNext w:val="0"/>
              <w:keepLines w:val="0"/>
              <w:pageBreakBefore w:val="0"/>
              <w:widowControl/>
              <w:suppressLineNumbers w:val="0"/>
              <w:kinsoku/>
              <w:overflowPunct/>
              <w:topLinePunct w:val="0"/>
              <w:autoSpaceDE/>
              <w:autoSpaceDN/>
              <w:bidi w:val="0"/>
              <w:adjustRightInd/>
              <w:snapToGrid/>
              <w:spacing w:line="420" w:lineRule="exact"/>
              <w:jc w:val="both"/>
              <w:textAlignment w:val="center"/>
              <w:rPr>
                <w:rFonts w:hint="eastAsia" w:ascii="仿宋" w:hAnsi="仿宋" w:eastAsia="仿宋" w:cs="仿宋"/>
                <w:b/>
                <w:bCs/>
                <w:color w:val="auto"/>
                <w:sz w:val="32"/>
                <w:szCs w:val="32"/>
                <w:highlight w:val="none"/>
              </w:rPr>
            </w:pPr>
          </w:p>
        </w:tc>
        <w:tc>
          <w:tcPr>
            <w:tcW w:w="1436" w:type="dxa"/>
            <w:vMerge w:val="continue"/>
            <w:noWrap w:val="0"/>
            <w:vAlign w:val="center"/>
          </w:tcPr>
          <w:p w14:paraId="06A66563">
            <w:pPr>
              <w:keepNext w:val="0"/>
              <w:keepLines w:val="0"/>
              <w:pageBreakBefore w:val="0"/>
              <w:widowControl/>
              <w:suppressLineNumbers w:val="0"/>
              <w:kinsoku/>
              <w:overflowPunct/>
              <w:topLinePunct w:val="0"/>
              <w:autoSpaceDE/>
              <w:autoSpaceDN/>
              <w:bidi w:val="0"/>
              <w:adjustRightInd/>
              <w:snapToGrid/>
              <w:spacing w:line="420" w:lineRule="exact"/>
              <w:jc w:val="both"/>
              <w:textAlignment w:val="center"/>
              <w:rPr>
                <w:rFonts w:hint="eastAsia" w:ascii="仿宋" w:hAnsi="仿宋" w:eastAsia="仿宋" w:cs="仿宋"/>
                <w:b/>
                <w:bCs/>
                <w:color w:val="auto"/>
                <w:sz w:val="32"/>
                <w:szCs w:val="32"/>
                <w:highlight w:val="none"/>
              </w:rPr>
            </w:pPr>
          </w:p>
        </w:tc>
        <w:tc>
          <w:tcPr>
            <w:tcW w:w="2189" w:type="dxa"/>
            <w:noWrap w:val="0"/>
            <w:vAlign w:val="center"/>
          </w:tcPr>
          <w:p w14:paraId="1207B5C3">
            <w:pPr>
              <w:keepNext w:val="0"/>
              <w:keepLines w:val="0"/>
              <w:pageBreakBefore w:val="0"/>
              <w:widowControl/>
              <w:suppressLineNumbers w:val="0"/>
              <w:kinsoku/>
              <w:overflowPunct/>
              <w:topLinePunct w:val="0"/>
              <w:autoSpaceDE/>
              <w:autoSpaceDN/>
              <w:bidi w:val="0"/>
              <w:adjustRightInd/>
              <w:snapToGrid/>
              <w:spacing w:line="420" w:lineRule="exact"/>
              <w:jc w:val="both"/>
              <w:textAlignment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i w:val="0"/>
                <w:color w:val="auto"/>
                <w:sz w:val="32"/>
                <w:szCs w:val="32"/>
                <w:highlight w:val="none"/>
                <w:u w:val="none"/>
                <w:lang w:eastAsia="zh-CN"/>
              </w:rPr>
              <w:t>获取</w:t>
            </w:r>
            <w:r>
              <w:rPr>
                <w:rFonts w:hint="eastAsia" w:ascii="仿宋" w:hAnsi="仿宋" w:eastAsia="仿宋" w:cs="仿宋"/>
                <w:b/>
                <w:bCs/>
                <w:i w:val="0"/>
                <w:color w:val="auto"/>
                <w:sz w:val="32"/>
                <w:szCs w:val="32"/>
                <w:highlight w:val="none"/>
                <w:u w:val="none"/>
                <w:lang w:val="en-US" w:eastAsia="zh-CN"/>
              </w:rPr>
              <w:t>招标文件的方式</w:t>
            </w:r>
          </w:p>
        </w:tc>
        <w:tc>
          <w:tcPr>
            <w:tcW w:w="2189" w:type="dxa"/>
            <w:noWrap w:val="0"/>
            <w:vAlign w:val="center"/>
          </w:tcPr>
          <w:p w14:paraId="38D5182A">
            <w:pPr>
              <w:keepNext w:val="0"/>
              <w:keepLines w:val="0"/>
              <w:pageBreakBefore w:val="0"/>
              <w:widowControl/>
              <w:suppressLineNumbers w:val="0"/>
              <w:kinsoku/>
              <w:overflowPunct/>
              <w:topLinePunct w:val="0"/>
              <w:autoSpaceDE/>
              <w:autoSpaceDN/>
              <w:bidi w:val="0"/>
              <w:adjustRightInd/>
              <w:snapToGrid/>
              <w:spacing w:line="420" w:lineRule="exact"/>
              <w:jc w:val="left"/>
              <w:textAlignment w:val="center"/>
              <w:rPr>
                <w:rFonts w:hint="eastAsia" w:ascii="仿宋" w:hAnsi="仿宋" w:eastAsia="仿宋" w:cs="仿宋"/>
                <w:b/>
                <w:bCs/>
                <w:color w:val="auto"/>
                <w:sz w:val="32"/>
                <w:szCs w:val="32"/>
                <w:highlight w:val="none"/>
              </w:rPr>
            </w:pPr>
            <w:r>
              <w:rPr>
                <w:rFonts w:hint="eastAsia" w:ascii="仿宋" w:hAnsi="仿宋" w:eastAsia="仿宋" w:cs="仿宋"/>
                <w:b/>
                <w:bCs/>
                <w:i w:val="0"/>
                <w:color w:val="auto"/>
                <w:kern w:val="0"/>
                <w:sz w:val="32"/>
                <w:szCs w:val="32"/>
                <w:highlight w:val="none"/>
                <w:u w:val="none"/>
                <w:lang w:val="en-US" w:eastAsia="zh-CN" w:bidi="ar"/>
              </w:rPr>
              <w:t>具备本公告投标人资格要求且有意参与项目投标的潜在投标人，应在获取招标文件开始时间至获取招标文件截止时间内，登录</w:t>
            </w:r>
            <w:r>
              <w:rPr>
                <w:rFonts w:hint="eastAsia" w:ascii="仿宋" w:hAnsi="仿宋" w:eastAsia="仿宋" w:cs="仿宋"/>
                <w:b/>
                <w:bCs/>
                <w:i w:val="0"/>
                <w:color w:val="auto"/>
                <w:sz w:val="32"/>
                <w:szCs w:val="32"/>
                <w:highlight w:val="none"/>
                <w:u w:val="none"/>
                <w:lang w:val="en-US" w:eastAsia="zh-CN"/>
              </w:rPr>
              <w:t>中易电子交易平台</w:t>
            </w:r>
            <w:r>
              <w:rPr>
                <w:rFonts w:hint="eastAsia" w:ascii="仿宋" w:hAnsi="仿宋" w:eastAsia="仿宋" w:cs="仿宋"/>
                <w:b/>
                <w:bCs/>
                <w:i w:val="0"/>
                <w:color w:val="auto"/>
                <w:kern w:val="0"/>
                <w:sz w:val="32"/>
                <w:szCs w:val="32"/>
                <w:highlight w:val="none"/>
                <w:u w:val="none"/>
                <w:lang w:val="en-US" w:eastAsia="zh-CN" w:bidi="ar"/>
              </w:rPr>
              <w:t>下载招标文件等资料。</w:t>
            </w:r>
          </w:p>
        </w:tc>
      </w:tr>
      <w:tr w14:paraId="353E6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3D07CFA4">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获取招标文件开始时间</w:t>
            </w:r>
          </w:p>
        </w:tc>
        <w:tc>
          <w:tcPr>
            <w:tcW w:w="2022" w:type="dxa"/>
            <w:noWrap w:val="0"/>
            <w:vAlign w:val="center"/>
          </w:tcPr>
          <w:p w14:paraId="605FC143">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lang w:val="en-US" w:eastAsia="zh-CN"/>
              </w:rPr>
            </w:pPr>
            <w:r>
              <w:rPr>
                <w:rFonts w:hint="eastAsia" w:ascii="仿宋" w:hAnsi="仿宋" w:eastAsia="仿宋" w:cs="仿宋"/>
                <w:b/>
                <w:bCs/>
                <w:i w:val="0"/>
                <w:color w:val="auto"/>
                <w:sz w:val="32"/>
                <w:szCs w:val="32"/>
                <w:highlight w:val="none"/>
                <w:u w:val="none"/>
                <w:lang w:val="en-US" w:eastAsia="zh-CN"/>
              </w:rPr>
              <w:t xml:space="preserve">2026年2月10 日  </w:t>
            </w:r>
          </w:p>
        </w:tc>
        <w:tc>
          <w:tcPr>
            <w:tcW w:w="1436" w:type="dxa"/>
            <w:noWrap w:val="0"/>
            <w:vAlign w:val="center"/>
          </w:tcPr>
          <w:p w14:paraId="596E98DE">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获取招标文件截止时间</w:t>
            </w:r>
          </w:p>
        </w:tc>
        <w:tc>
          <w:tcPr>
            <w:tcW w:w="4378" w:type="dxa"/>
            <w:gridSpan w:val="2"/>
            <w:noWrap w:val="0"/>
            <w:vAlign w:val="center"/>
          </w:tcPr>
          <w:p w14:paraId="1A82F845">
            <w:pPr>
              <w:keepNext w:val="0"/>
              <w:keepLines w:val="0"/>
              <w:pageBreakBefore w:val="0"/>
              <w:kinsoku/>
              <w:overflowPunct/>
              <w:topLinePunct w:val="0"/>
              <w:autoSpaceDE/>
              <w:autoSpaceDN/>
              <w:bidi w:val="0"/>
              <w:adjustRightInd/>
              <w:snapToGrid/>
              <w:spacing w:line="420" w:lineRule="exact"/>
              <w:jc w:val="both"/>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lang w:val="en-US" w:eastAsia="zh-CN"/>
              </w:rPr>
              <w:t xml:space="preserve"> 2026年2月24日</w:t>
            </w:r>
          </w:p>
        </w:tc>
      </w:tr>
      <w:tr w14:paraId="42B4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272BE961">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递交投标文件截止时间</w:t>
            </w:r>
          </w:p>
        </w:tc>
        <w:tc>
          <w:tcPr>
            <w:tcW w:w="2022" w:type="dxa"/>
            <w:noWrap w:val="0"/>
            <w:vAlign w:val="center"/>
          </w:tcPr>
          <w:p w14:paraId="5A1DB67A">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lang w:val="en-US" w:eastAsia="zh-CN"/>
              </w:rPr>
              <w:t xml:space="preserve"> 2026年3月10日09点30分 </w:t>
            </w:r>
          </w:p>
        </w:tc>
        <w:tc>
          <w:tcPr>
            <w:tcW w:w="1436" w:type="dxa"/>
            <w:noWrap w:val="0"/>
            <w:vAlign w:val="center"/>
          </w:tcPr>
          <w:p w14:paraId="01115F89">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投标文件递交方式</w:t>
            </w:r>
          </w:p>
        </w:tc>
        <w:tc>
          <w:tcPr>
            <w:tcW w:w="4378" w:type="dxa"/>
            <w:gridSpan w:val="2"/>
            <w:noWrap w:val="0"/>
            <w:vAlign w:val="center"/>
          </w:tcPr>
          <w:p w14:paraId="52AF8C2E">
            <w:pPr>
              <w:keepNext w:val="0"/>
              <w:keepLines w:val="0"/>
              <w:pageBreakBefore w:val="0"/>
              <w:widowControl/>
              <w:suppressLineNumbers w:val="0"/>
              <w:kinsoku/>
              <w:overflowPunct/>
              <w:topLinePunct w:val="0"/>
              <w:autoSpaceDE/>
              <w:autoSpaceDN/>
              <w:bidi w:val="0"/>
              <w:adjustRightInd/>
              <w:snapToGrid/>
              <w:spacing w:line="420" w:lineRule="exact"/>
              <w:jc w:val="both"/>
              <w:textAlignment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i w:val="0"/>
                <w:color w:val="auto"/>
                <w:sz w:val="32"/>
                <w:szCs w:val="32"/>
                <w:highlight w:val="none"/>
                <w:u w:val="none"/>
              </w:rPr>
              <w:t>电子投标文件</w:t>
            </w:r>
            <w:r>
              <w:rPr>
                <w:rFonts w:hint="eastAsia" w:ascii="仿宋" w:hAnsi="仿宋" w:eastAsia="仿宋" w:cs="仿宋"/>
                <w:b/>
                <w:bCs/>
                <w:i w:val="0"/>
                <w:color w:val="auto"/>
                <w:sz w:val="32"/>
                <w:szCs w:val="32"/>
                <w:highlight w:val="none"/>
                <w:u w:val="none"/>
                <w:lang w:eastAsia="zh-CN"/>
              </w:rPr>
              <w:t>：</w:t>
            </w:r>
            <w:r>
              <w:rPr>
                <w:rFonts w:hint="eastAsia" w:ascii="仿宋" w:hAnsi="仿宋" w:eastAsia="仿宋" w:cs="仿宋"/>
                <w:b/>
                <w:bCs/>
                <w:i w:val="0"/>
                <w:color w:val="auto"/>
                <w:sz w:val="32"/>
                <w:szCs w:val="32"/>
                <w:highlight w:val="none"/>
                <w:u w:val="none"/>
              </w:rPr>
              <w:t>通过网络上传的方式，上传至</w:t>
            </w:r>
            <w:r>
              <w:rPr>
                <w:rFonts w:hint="eastAsia" w:ascii="仿宋" w:hAnsi="仿宋" w:eastAsia="仿宋" w:cs="仿宋"/>
                <w:b/>
                <w:bCs/>
                <w:i w:val="0"/>
                <w:color w:val="auto"/>
                <w:sz w:val="32"/>
                <w:szCs w:val="32"/>
                <w:highlight w:val="none"/>
                <w:u w:val="none"/>
                <w:lang w:val="en-US" w:eastAsia="zh-CN"/>
              </w:rPr>
              <w:t>中易电子交易平台</w:t>
            </w:r>
            <w:r>
              <w:rPr>
                <w:rFonts w:hint="eastAsia" w:ascii="仿宋" w:hAnsi="仿宋" w:eastAsia="仿宋" w:cs="仿宋"/>
                <w:b/>
                <w:bCs/>
                <w:i w:val="0"/>
                <w:color w:val="auto"/>
                <w:sz w:val="32"/>
                <w:szCs w:val="32"/>
                <w:highlight w:val="none"/>
                <w:u w:val="none"/>
              </w:rPr>
              <w:t>对应招标项目的指定模块。为了避免网络有堵塞和延时现象，确保各投标人能顺利完成投标工作。建议在投标截止时间24小时前完成电子投标文件上传工作。</w:t>
            </w:r>
          </w:p>
        </w:tc>
      </w:tr>
      <w:tr w14:paraId="1077E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6DC841A9">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开标方式</w:t>
            </w:r>
          </w:p>
        </w:tc>
        <w:tc>
          <w:tcPr>
            <w:tcW w:w="2022" w:type="dxa"/>
            <w:noWrap w:val="0"/>
            <w:vAlign w:val="center"/>
          </w:tcPr>
          <w:p w14:paraId="38B93F90">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val="en-US" w:eastAsia="zh-CN"/>
              </w:rPr>
            </w:pPr>
            <w:r>
              <w:rPr>
                <w:rFonts w:hint="eastAsia" w:ascii="仿宋" w:hAnsi="仿宋" w:eastAsia="仿宋" w:cs="仿宋"/>
                <w:b/>
                <w:bCs/>
                <w:i w:val="0"/>
                <w:color w:val="auto"/>
                <w:sz w:val="32"/>
                <w:szCs w:val="32"/>
                <w:highlight w:val="none"/>
                <w:u w:val="none"/>
                <w:lang w:val="en-US" w:eastAsia="zh-CN"/>
              </w:rPr>
              <w:t>电子开标</w:t>
            </w:r>
          </w:p>
        </w:tc>
        <w:tc>
          <w:tcPr>
            <w:tcW w:w="1436" w:type="dxa"/>
            <w:noWrap w:val="0"/>
            <w:vAlign w:val="center"/>
          </w:tcPr>
          <w:p w14:paraId="22CA4A71">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开标时间地点</w:t>
            </w:r>
          </w:p>
        </w:tc>
        <w:tc>
          <w:tcPr>
            <w:tcW w:w="4378" w:type="dxa"/>
            <w:gridSpan w:val="2"/>
            <w:noWrap w:val="0"/>
            <w:vAlign w:val="center"/>
          </w:tcPr>
          <w:p w14:paraId="3F65A837">
            <w:pPr>
              <w:keepNext w:val="0"/>
              <w:keepLines w:val="0"/>
              <w:pageBreakBefore w:val="0"/>
              <w:widowControl/>
              <w:suppressLineNumbers w:val="0"/>
              <w:kinsoku/>
              <w:overflowPunct/>
              <w:topLinePunct w:val="0"/>
              <w:autoSpaceDE/>
              <w:autoSpaceDN/>
              <w:bidi w:val="0"/>
              <w:adjustRightInd/>
              <w:snapToGrid/>
              <w:spacing w:line="420" w:lineRule="exact"/>
              <w:jc w:val="both"/>
              <w:textAlignment w:val="center"/>
              <w:rPr>
                <w:rFonts w:hint="eastAsia" w:ascii="仿宋" w:hAnsi="仿宋" w:eastAsia="仿宋" w:cs="仿宋"/>
                <w:b/>
                <w:bCs/>
                <w:i w:val="0"/>
                <w:color w:val="auto"/>
                <w:sz w:val="32"/>
                <w:szCs w:val="32"/>
                <w:highlight w:val="none"/>
                <w:u w:val="none"/>
                <w:lang w:val="en-US" w:eastAsia="zh-CN"/>
              </w:rPr>
            </w:pPr>
            <w:r>
              <w:rPr>
                <w:rFonts w:hint="eastAsia" w:ascii="仿宋" w:hAnsi="仿宋" w:eastAsia="仿宋" w:cs="仿宋"/>
                <w:b/>
                <w:bCs/>
                <w:i w:val="0"/>
                <w:color w:val="auto"/>
                <w:sz w:val="32"/>
                <w:szCs w:val="32"/>
                <w:highlight w:val="none"/>
                <w:u w:val="none"/>
                <w:lang w:val="en-US" w:eastAsia="zh-CN"/>
              </w:rPr>
              <w:t xml:space="preserve">开标时间：2026年3月10日09点30分 </w:t>
            </w:r>
          </w:p>
          <w:p w14:paraId="29FF101B">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lang w:val="en-US" w:eastAsia="zh-CN"/>
              </w:rPr>
              <w:t>开标地点：</w:t>
            </w:r>
            <w:r>
              <w:rPr>
                <w:rFonts w:hint="eastAsia" w:ascii="仿宋" w:hAnsi="仿宋" w:eastAsia="仿宋" w:cs="仿宋"/>
                <w:b/>
                <w:bCs/>
                <w:i w:val="0"/>
                <w:color w:val="auto"/>
                <w:sz w:val="32"/>
                <w:szCs w:val="32"/>
                <w:highlight w:val="none"/>
                <w:u w:val="none"/>
                <w:lang w:eastAsia="zh-CN"/>
              </w:rPr>
              <w:t>惠州市江北云山菊花一路真维斯大厦A座五楼</w:t>
            </w:r>
          </w:p>
        </w:tc>
      </w:tr>
      <w:tr w14:paraId="3E49C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3085DE46">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发布公告媒介</w:t>
            </w:r>
          </w:p>
        </w:tc>
        <w:tc>
          <w:tcPr>
            <w:tcW w:w="7836" w:type="dxa"/>
            <w:gridSpan w:val="4"/>
            <w:noWrap w:val="0"/>
            <w:vAlign w:val="center"/>
          </w:tcPr>
          <w:p w14:paraId="68D32662">
            <w:pPr>
              <w:keepNext w:val="0"/>
              <w:keepLines w:val="0"/>
              <w:pageBreakBefore w:val="0"/>
              <w:widowControl/>
              <w:suppressLineNumbers w:val="0"/>
              <w:kinsoku/>
              <w:overflowPunct/>
              <w:topLinePunct w:val="0"/>
              <w:autoSpaceDE/>
              <w:autoSpaceDN/>
              <w:bidi w:val="0"/>
              <w:adjustRightInd/>
              <w:snapToGrid/>
              <w:spacing w:line="420" w:lineRule="exact"/>
              <w:jc w:val="both"/>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中易电子交易平台、广东省公共资源交易平台、中国招标投标公共服务平台</w:t>
            </w:r>
          </w:p>
        </w:tc>
      </w:tr>
      <w:tr w14:paraId="299AE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26297410">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招标人</w:t>
            </w:r>
          </w:p>
        </w:tc>
        <w:tc>
          <w:tcPr>
            <w:tcW w:w="2022" w:type="dxa"/>
            <w:noWrap w:val="0"/>
            <w:vAlign w:val="center"/>
          </w:tcPr>
          <w:p w14:paraId="138ADB8B">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博罗县工交实业投资有限公司</w:t>
            </w:r>
          </w:p>
        </w:tc>
        <w:tc>
          <w:tcPr>
            <w:tcW w:w="1436" w:type="dxa"/>
            <w:noWrap w:val="0"/>
            <w:vAlign w:val="center"/>
          </w:tcPr>
          <w:p w14:paraId="327A0B8B">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联系地址</w:t>
            </w:r>
          </w:p>
        </w:tc>
        <w:tc>
          <w:tcPr>
            <w:tcW w:w="4378" w:type="dxa"/>
            <w:gridSpan w:val="2"/>
            <w:noWrap w:val="0"/>
            <w:vAlign w:val="center"/>
          </w:tcPr>
          <w:p w14:paraId="4F57711F">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博罗县罗阳街道和平路32号</w:t>
            </w:r>
          </w:p>
        </w:tc>
      </w:tr>
      <w:tr w14:paraId="4375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43B91C92">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招标人联系人</w:t>
            </w:r>
          </w:p>
        </w:tc>
        <w:tc>
          <w:tcPr>
            <w:tcW w:w="2022" w:type="dxa"/>
            <w:noWrap w:val="0"/>
            <w:vAlign w:val="center"/>
          </w:tcPr>
          <w:p w14:paraId="0D25E751">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邹工</w:t>
            </w:r>
          </w:p>
        </w:tc>
        <w:tc>
          <w:tcPr>
            <w:tcW w:w="1436" w:type="dxa"/>
            <w:noWrap w:val="0"/>
            <w:vAlign w:val="center"/>
          </w:tcPr>
          <w:p w14:paraId="75860392">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联系电话</w:t>
            </w:r>
          </w:p>
        </w:tc>
        <w:tc>
          <w:tcPr>
            <w:tcW w:w="4378" w:type="dxa"/>
            <w:gridSpan w:val="2"/>
            <w:noWrap w:val="0"/>
            <w:vAlign w:val="center"/>
          </w:tcPr>
          <w:p w14:paraId="7F0369E9">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rPr>
              <w:t>0752-6296831</w:t>
            </w:r>
          </w:p>
        </w:tc>
      </w:tr>
      <w:tr w14:paraId="4C81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511D9571">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招标代理机构</w:t>
            </w:r>
          </w:p>
        </w:tc>
        <w:tc>
          <w:tcPr>
            <w:tcW w:w="2022" w:type="dxa"/>
            <w:noWrap w:val="0"/>
            <w:vAlign w:val="center"/>
          </w:tcPr>
          <w:p w14:paraId="7C0ACBA4">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惠州市保瑞工程咨询有限公司</w:t>
            </w:r>
          </w:p>
        </w:tc>
        <w:tc>
          <w:tcPr>
            <w:tcW w:w="1436" w:type="dxa"/>
            <w:noWrap w:val="0"/>
            <w:vAlign w:val="center"/>
          </w:tcPr>
          <w:p w14:paraId="633FE8D9">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联系地址</w:t>
            </w:r>
          </w:p>
        </w:tc>
        <w:tc>
          <w:tcPr>
            <w:tcW w:w="4378" w:type="dxa"/>
            <w:gridSpan w:val="2"/>
            <w:noWrap w:val="0"/>
            <w:vAlign w:val="center"/>
          </w:tcPr>
          <w:p w14:paraId="22068D8B">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lang w:val="en-US" w:eastAsia="zh-CN"/>
              </w:rPr>
              <w:t>博罗县罗阳街道水西村四期18栋2号-3号</w:t>
            </w:r>
          </w:p>
        </w:tc>
      </w:tr>
      <w:tr w14:paraId="3DB57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3A91C490">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招标代理联系人</w:t>
            </w:r>
          </w:p>
        </w:tc>
        <w:tc>
          <w:tcPr>
            <w:tcW w:w="2022" w:type="dxa"/>
            <w:noWrap w:val="0"/>
            <w:vAlign w:val="center"/>
          </w:tcPr>
          <w:p w14:paraId="09703106">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lang w:val="en-US" w:eastAsia="zh-CN"/>
              </w:rPr>
              <w:t>苏工</w:t>
            </w:r>
          </w:p>
        </w:tc>
        <w:tc>
          <w:tcPr>
            <w:tcW w:w="1436" w:type="dxa"/>
            <w:noWrap w:val="0"/>
            <w:vAlign w:val="center"/>
          </w:tcPr>
          <w:p w14:paraId="5FFB45E8">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联系电话</w:t>
            </w:r>
          </w:p>
        </w:tc>
        <w:tc>
          <w:tcPr>
            <w:tcW w:w="4378" w:type="dxa"/>
            <w:gridSpan w:val="2"/>
            <w:noWrap w:val="0"/>
            <w:vAlign w:val="center"/>
          </w:tcPr>
          <w:p w14:paraId="1BB83081">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lang w:val="en-US" w:eastAsia="zh-CN"/>
              </w:rPr>
              <w:t>0752-6650009</w:t>
            </w:r>
          </w:p>
        </w:tc>
      </w:tr>
      <w:tr w14:paraId="2C45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19B6E150">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招标监督机构</w:t>
            </w:r>
          </w:p>
        </w:tc>
        <w:tc>
          <w:tcPr>
            <w:tcW w:w="2022" w:type="dxa"/>
            <w:noWrap w:val="0"/>
            <w:vAlign w:val="center"/>
          </w:tcPr>
          <w:p w14:paraId="7767F03E">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lang w:eastAsia="zh-CN"/>
              </w:rPr>
            </w:pPr>
            <w:r>
              <w:rPr>
                <w:rFonts w:hint="eastAsia" w:ascii="仿宋" w:hAnsi="仿宋" w:eastAsia="仿宋" w:cs="仿宋"/>
                <w:b/>
                <w:bCs/>
                <w:i w:val="0"/>
                <w:color w:val="auto"/>
                <w:sz w:val="32"/>
                <w:szCs w:val="32"/>
                <w:highlight w:val="none"/>
                <w:u w:val="none"/>
                <w:lang w:eastAsia="zh-CN"/>
              </w:rPr>
              <w:t>博罗县工交实业投资有限公司</w:t>
            </w:r>
          </w:p>
        </w:tc>
        <w:tc>
          <w:tcPr>
            <w:tcW w:w="1436" w:type="dxa"/>
            <w:noWrap w:val="0"/>
            <w:vAlign w:val="center"/>
          </w:tcPr>
          <w:p w14:paraId="42C5522A">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kern w:val="0"/>
                <w:sz w:val="32"/>
                <w:szCs w:val="32"/>
                <w:highlight w:val="none"/>
                <w:u w:val="none"/>
                <w:lang w:val="en-US" w:eastAsia="zh-CN" w:bidi="ar"/>
              </w:rPr>
              <w:t>联系电话</w:t>
            </w:r>
          </w:p>
        </w:tc>
        <w:tc>
          <w:tcPr>
            <w:tcW w:w="4378" w:type="dxa"/>
            <w:gridSpan w:val="2"/>
            <w:noWrap w:val="0"/>
            <w:vAlign w:val="center"/>
          </w:tcPr>
          <w:p w14:paraId="132F31D5">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rPr>
            </w:pPr>
            <w:r>
              <w:rPr>
                <w:rFonts w:hint="eastAsia" w:ascii="仿宋" w:hAnsi="仿宋" w:eastAsia="仿宋" w:cs="仿宋"/>
                <w:b/>
                <w:bCs/>
                <w:i w:val="0"/>
                <w:color w:val="auto"/>
                <w:sz w:val="32"/>
                <w:szCs w:val="32"/>
                <w:highlight w:val="none"/>
                <w:u w:val="none"/>
              </w:rPr>
              <w:t>0752-6296831</w:t>
            </w:r>
          </w:p>
        </w:tc>
      </w:tr>
      <w:tr w14:paraId="67A0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2CBF7035">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其他依法应当载明的内容</w:t>
            </w:r>
          </w:p>
        </w:tc>
        <w:tc>
          <w:tcPr>
            <w:tcW w:w="7836" w:type="dxa"/>
            <w:gridSpan w:val="4"/>
            <w:noWrap w:val="0"/>
            <w:vAlign w:val="center"/>
          </w:tcPr>
          <w:p w14:paraId="5ABF5C4C">
            <w:pPr>
              <w:keepNext w:val="0"/>
              <w:keepLines w:val="0"/>
              <w:pageBreakBefore w:val="0"/>
              <w:widowControl/>
              <w:suppressLineNumbers w:val="0"/>
              <w:kinsoku/>
              <w:wordWrap w:val="0"/>
              <w:overflowPunct/>
              <w:topLinePunct w:val="0"/>
              <w:autoSpaceDE/>
              <w:autoSpaceDN/>
              <w:bidi w:val="0"/>
              <w:adjustRightInd/>
              <w:snapToGrid/>
              <w:spacing w:line="420" w:lineRule="exact"/>
              <w:jc w:val="left"/>
              <w:textAlignment w:val="center"/>
              <w:rPr>
                <w:rFonts w:hint="eastAsia" w:ascii="仿宋" w:hAnsi="仿宋" w:eastAsia="仿宋" w:cs="仿宋"/>
                <w:b/>
                <w:bCs/>
                <w:i w:val="0"/>
                <w:color w:val="auto"/>
                <w:sz w:val="32"/>
                <w:szCs w:val="32"/>
                <w:highlight w:val="none"/>
                <w:u w:val="none"/>
                <w:lang w:val="en-US" w:eastAsia="zh-CN"/>
              </w:rPr>
            </w:pPr>
            <w:r>
              <w:rPr>
                <w:rFonts w:hint="eastAsia" w:ascii="仿宋" w:hAnsi="仿宋" w:eastAsia="仿宋" w:cs="仿宋"/>
                <w:b/>
                <w:bCs/>
                <w:i w:val="0"/>
                <w:color w:val="auto"/>
                <w:sz w:val="32"/>
                <w:szCs w:val="32"/>
                <w:highlight w:val="none"/>
                <w:u w:val="none"/>
                <w:lang w:val="en-US" w:eastAsia="zh-CN"/>
              </w:rPr>
              <w:t>1、本项目采用全流程电子化招标投标方式，具体的平台操作流程见中易电子交易平台（https://www.cotenders.cn/）“服务指南-办事指南”里的《中易电子交易平台建设工程投标企业操作指南》（网址：https://www.cotenders.cn/PublicServer2.0/public/comDetail/comDetail.html?id=0706766E-0F2C-B0B8-535C-19755EF233DA），平台须使用广东数字证书（GDCA）进行上传电子投标文件并完成投标，需办理广东数字证书（GDCA）的用户在“服务指南-办事指南”里的《中易电子交易平台广东GDCA数字证书及电子印章（实体CA）申请办理指南》（网址：https://www.cotenders.cn/PublicServer2.0/public/comDetail/comDetail.html?id=12BDEC90-46BB-DDB4-5840-EC6B95CC424E）进行下载查看。没有办理过CA数字证书的投标人须在投标截止时间前办理好，以免影响正常投标。</w:t>
            </w:r>
          </w:p>
          <w:p w14:paraId="2AE5CA33">
            <w:pPr>
              <w:pStyle w:val="2"/>
              <w:keepNext w:val="0"/>
              <w:keepLines w:val="0"/>
              <w:pageBreakBefore w:val="0"/>
              <w:kinsoku/>
              <w:overflowPunct/>
              <w:topLinePunct w:val="0"/>
              <w:autoSpaceDE/>
              <w:autoSpaceDN/>
              <w:bidi w:val="0"/>
              <w:adjustRightInd/>
              <w:snapToGrid/>
              <w:spacing w:line="420" w:lineRule="exact"/>
              <w:ind w:left="0" w:leftChars="0" w:firstLine="0" w:firstLineChars="0"/>
              <w:rPr>
                <w:rFonts w:hint="eastAsia" w:ascii="仿宋" w:hAnsi="仿宋" w:eastAsia="仿宋" w:cs="仿宋"/>
                <w:b/>
                <w:bCs/>
                <w:i w:val="0"/>
                <w:color w:val="auto"/>
                <w:sz w:val="32"/>
                <w:szCs w:val="32"/>
                <w:highlight w:val="none"/>
                <w:u w:val="none"/>
                <w:lang w:val="en-US" w:eastAsia="zh-CN"/>
              </w:rPr>
            </w:pPr>
            <w:r>
              <w:rPr>
                <w:rFonts w:hint="eastAsia" w:ascii="仿宋" w:hAnsi="仿宋" w:eastAsia="仿宋" w:cs="仿宋"/>
                <w:b/>
                <w:bCs/>
                <w:i w:val="0"/>
                <w:color w:val="auto"/>
                <w:sz w:val="32"/>
                <w:szCs w:val="32"/>
                <w:highlight w:val="none"/>
                <w:u w:val="none"/>
                <w:lang w:val="en-US" w:eastAsia="zh-CN"/>
              </w:rPr>
              <w:t>2、</w:t>
            </w:r>
            <w:r>
              <w:rPr>
                <w:rFonts w:hint="eastAsia" w:ascii="仿宋" w:hAnsi="仿宋" w:eastAsia="仿宋" w:cs="仿宋"/>
                <w:b/>
                <w:bCs/>
                <w:i w:val="0"/>
                <w:color w:val="auto"/>
                <w:sz w:val="32"/>
                <w:szCs w:val="32"/>
                <w:highlight w:val="none"/>
                <w:u w:val="none"/>
                <w:lang w:eastAsia="zh-CN"/>
              </w:rPr>
              <w:t>各投标人代表参与现场开标时须携带法定代表人或授权委托人的身份证和企业CA入场。如投标人</w:t>
            </w:r>
            <w:r>
              <w:rPr>
                <w:rFonts w:hint="eastAsia" w:ascii="仿宋" w:hAnsi="仿宋" w:eastAsia="仿宋" w:cs="仿宋"/>
                <w:b/>
                <w:bCs/>
                <w:i w:val="0"/>
                <w:color w:val="auto"/>
                <w:sz w:val="32"/>
                <w:szCs w:val="32"/>
                <w:highlight w:val="none"/>
                <w:u w:val="none"/>
                <w:lang w:val="en-US" w:eastAsia="zh-CN"/>
              </w:rPr>
              <w:t>不</w:t>
            </w:r>
            <w:r>
              <w:rPr>
                <w:rFonts w:hint="eastAsia" w:ascii="仿宋" w:hAnsi="仿宋" w:eastAsia="仿宋" w:cs="仿宋"/>
                <w:b/>
                <w:bCs/>
                <w:i w:val="0"/>
                <w:color w:val="auto"/>
                <w:sz w:val="32"/>
                <w:szCs w:val="32"/>
                <w:highlight w:val="none"/>
                <w:u w:val="none"/>
                <w:lang w:eastAsia="zh-CN"/>
              </w:rPr>
              <w:t>参与现场开标</w:t>
            </w:r>
            <w:r>
              <w:rPr>
                <w:rFonts w:hint="eastAsia" w:ascii="仿宋" w:hAnsi="仿宋" w:eastAsia="仿宋" w:cs="仿宋"/>
                <w:b/>
                <w:bCs/>
                <w:i w:val="0"/>
                <w:color w:val="auto"/>
                <w:sz w:val="32"/>
                <w:szCs w:val="32"/>
                <w:highlight w:val="none"/>
                <w:u w:val="none"/>
                <w:lang w:val="en-US" w:eastAsia="zh-CN"/>
              </w:rPr>
              <w:t>的，可</w:t>
            </w:r>
            <w:r>
              <w:rPr>
                <w:rFonts w:hint="eastAsia" w:ascii="仿宋" w:hAnsi="仿宋" w:eastAsia="仿宋" w:cs="仿宋"/>
                <w:b/>
                <w:bCs/>
                <w:i w:val="0"/>
                <w:color w:val="auto"/>
                <w:sz w:val="32"/>
                <w:szCs w:val="32"/>
                <w:highlight w:val="none"/>
                <w:u w:val="none"/>
                <w:lang w:eastAsia="zh-CN"/>
              </w:rPr>
              <w:t>远程解密</w:t>
            </w:r>
            <w:r>
              <w:rPr>
                <w:rFonts w:hint="eastAsia" w:ascii="仿宋" w:hAnsi="仿宋" w:eastAsia="仿宋" w:cs="仿宋"/>
                <w:b/>
                <w:bCs/>
                <w:i w:val="0"/>
                <w:color w:val="auto"/>
                <w:sz w:val="32"/>
                <w:szCs w:val="32"/>
                <w:highlight w:val="none"/>
                <w:u w:val="none"/>
                <w:lang w:val="en-US" w:eastAsia="zh-CN"/>
              </w:rPr>
              <w:t>投标</w:t>
            </w:r>
            <w:r>
              <w:rPr>
                <w:rFonts w:hint="eastAsia" w:ascii="仿宋" w:hAnsi="仿宋" w:eastAsia="仿宋" w:cs="仿宋"/>
                <w:b/>
                <w:bCs/>
                <w:i w:val="0"/>
                <w:color w:val="auto"/>
                <w:sz w:val="32"/>
                <w:szCs w:val="32"/>
                <w:highlight w:val="none"/>
                <w:u w:val="none"/>
                <w:lang w:eastAsia="zh-CN"/>
              </w:rPr>
              <w:t>文件，投标人</w:t>
            </w:r>
            <w:r>
              <w:rPr>
                <w:rFonts w:hint="eastAsia" w:ascii="仿宋" w:hAnsi="仿宋" w:eastAsia="仿宋" w:cs="仿宋"/>
                <w:b/>
                <w:bCs/>
                <w:i w:val="0"/>
                <w:color w:val="auto"/>
                <w:sz w:val="32"/>
                <w:szCs w:val="32"/>
                <w:highlight w:val="none"/>
                <w:u w:val="none"/>
                <w:lang w:val="zh-CN" w:eastAsia="zh-CN"/>
              </w:rPr>
              <w:t>须登录交易系统在</w:t>
            </w:r>
            <w:r>
              <w:rPr>
                <w:rFonts w:hint="eastAsia" w:ascii="仿宋" w:hAnsi="仿宋" w:eastAsia="仿宋" w:cs="仿宋"/>
                <w:b/>
                <w:bCs/>
                <w:i w:val="0"/>
                <w:color w:val="auto"/>
                <w:sz w:val="32"/>
                <w:szCs w:val="32"/>
                <w:highlight w:val="none"/>
                <w:u w:val="none"/>
                <w:lang w:val="en-US" w:eastAsia="zh-CN"/>
              </w:rPr>
              <w:t>开标</w:t>
            </w:r>
            <w:r>
              <w:rPr>
                <w:rFonts w:hint="eastAsia" w:ascii="仿宋" w:hAnsi="仿宋" w:eastAsia="仿宋" w:cs="仿宋"/>
                <w:b/>
                <w:bCs/>
                <w:i w:val="0"/>
                <w:color w:val="auto"/>
                <w:sz w:val="32"/>
                <w:szCs w:val="32"/>
                <w:highlight w:val="none"/>
                <w:u w:val="none"/>
                <w:lang w:val="zh-CN" w:eastAsia="zh-CN"/>
              </w:rPr>
              <w:t>时间解密</w:t>
            </w:r>
            <w:r>
              <w:rPr>
                <w:rFonts w:hint="eastAsia" w:ascii="仿宋" w:hAnsi="仿宋" w:eastAsia="仿宋" w:cs="仿宋"/>
                <w:b/>
                <w:bCs/>
                <w:i w:val="0"/>
                <w:color w:val="auto"/>
                <w:sz w:val="32"/>
                <w:szCs w:val="32"/>
                <w:highlight w:val="none"/>
                <w:u w:val="none"/>
                <w:lang w:eastAsia="zh-CN"/>
              </w:rPr>
              <w:t>投标</w:t>
            </w:r>
            <w:r>
              <w:rPr>
                <w:rFonts w:hint="eastAsia" w:ascii="仿宋" w:hAnsi="仿宋" w:eastAsia="仿宋" w:cs="仿宋"/>
                <w:b/>
                <w:bCs/>
                <w:i w:val="0"/>
                <w:color w:val="auto"/>
                <w:sz w:val="32"/>
                <w:szCs w:val="32"/>
                <w:highlight w:val="none"/>
                <w:u w:val="none"/>
                <w:lang w:val="zh-CN" w:eastAsia="zh-CN"/>
              </w:rPr>
              <w:t>文件</w:t>
            </w:r>
            <w:r>
              <w:rPr>
                <w:rFonts w:hint="eastAsia" w:ascii="仿宋" w:hAnsi="仿宋" w:eastAsia="仿宋" w:cs="仿宋"/>
                <w:b/>
                <w:bCs/>
                <w:i w:val="0"/>
                <w:color w:val="auto"/>
                <w:sz w:val="32"/>
                <w:szCs w:val="32"/>
                <w:highlight w:val="none"/>
                <w:u w:val="none"/>
                <w:lang w:eastAsia="zh-CN"/>
              </w:rPr>
              <w:t>和</w:t>
            </w:r>
            <w:r>
              <w:rPr>
                <w:rFonts w:hint="eastAsia" w:ascii="仿宋" w:hAnsi="仿宋" w:eastAsia="仿宋" w:cs="仿宋"/>
                <w:b/>
                <w:bCs/>
                <w:i w:val="0"/>
                <w:color w:val="auto"/>
                <w:sz w:val="32"/>
                <w:szCs w:val="32"/>
                <w:highlight w:val="none"/>
                <w:u w:val="none"/>
                <w:lang w:val="zh-CN" w:eastAsia="zh-CN"/>
              </w:rPr>
              <w:t>确认报价。</w:t>
            </w:r>
          </w:p>
        </w:tc>
      </w:tr>
      <w:tr w14:paraId="014E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1856" w:type="dxa"/>
            <w:noWrap w:val="0"/>
            <w:vAlign w:val="center"/>
          </w:tcPr>
          <w:p w14:paraId="3946B72A">
            <w:pPr>
              <w:keepNext w:val="0"/>
              <w:keepLines w:val="0"/>
              <w:pageBreakBefore w:val="0"/>
              <w:widowControl/>
              <w:suppressLineNumbers w:val="0"/>
              <w:kinsoku/>
              <w:overflowPunct/>
              <w:topLinePunct w:val="0"/>
              <w:autoSpaceDE/>
              <w:autoSpaceDN/>
              <w:bidi w:val="0"/>
              <w:adjustRightInd/>
              <w:snapToGrid/>
              <w:spacing w:line="420" w:lineRule="exact"/>
              <w:jc w:val="center"/>
              <w:textAlignment w:val="center"/>
              <w:rPr>
                <w:rFonts w:hint="eastAsia" w:ascii="仿宋" w:hAnsi="仿宋" w:eastAsia="仿宋" w:cs="仿宋"/>
                <w:b/>
                <w:bCs/>
                <w:i w:val="0"/>
                <w:color w:val="auto"/>
                <w:kern w:val="0"/>
                <w:sz w:val="32"/>
                <w:szCs w:val="32"/>
                <w:highlight w:val="none"/>
                <w:u w:val="none"/>
                <w:lang w:val="en-US" w:eastAsia="zh-CN" w:bidi="ar"/>
              </w:rPr>
            </w:pPr>
            <w:r>
              <w:rPr>
                <w:rFonts w:hint="eastAsia" w:ascii="仿宋" w:hAnsi="仿宋" w:eastAsia="仿宋" w:cs="仿宋"/>
                <w:b/>
                <w:bCs/>
                <w:i w:val="0"/>
                <w:color w:val="auto"/>
                <w:kern w:val="0"/>
                <w:sz w:val="32"/>
                <w:szCs w:val="32"/>
                <w:highlight w:val="none"/>
                <w:u w:val="none"/>
                <w:lang w:val="en-US" w:eastAsia="zh-CN" w:bidi="ar"/>
              </w:rPr>
              <w:t>发布日期</w:t>
            </w:r>
          </w:p>
        </w:tc>
        <w:tc>
          <w:tcPr>
            <w:tcW w:w="7836" w:type="dxa"/>
            <w:gridSpan w:val="4"/>
            <w:noWrap w:val="0"/>
            <w:vAlign w:val="center"/>
          </w:tcPr>
          <w:p w14:paraId="3BB0FF7F">
            <w:pPr>
              <w:keepNext w:val="0"/>
              <w:keepLines w:val="0"/>
              <w:pageBreakBefore w:val="0"/>
              <w:kinsoku/>
              <w:overflowPunct/>
              <w:topLinePunct w:val="0"/>
              <w:autoSpaceDE/>
              <w:autoSpaceDN/>
              <w:bidi w:val="0"/>
              <w:adjustRightInd/>
              <w:snapToGrid/>
              <w:spacing w:line="420" w:lineRule="exact"/>
              <w:jc w:val="center"/>
              <w:rPr>
                <w:rFonts w:hint="eastAsia" w:ascii="仿宋" w:hAnsi="仿宋" w:eastAsia="仿宋" w:cs="仿宋"/>
                <w:b/>
                <w:bCs/>
                <w:i w:val="0"/>
                <w:color w:val="auto"/>
                <w:sz w:val="32"/>
                <w:szCs w:val="32"/>
                <w:highlight w:val="none"/>
                <w:u w:val="none"/>
                <w:lang w:val="en-US" w:eastAsia="zh-CN"/>
              </w:rPr>
            </w:pPr>
            <w:r>
              <w:rPr>
                <w:rFonts w:hint="eastAsia" w:ascii="仿宋" w:hAnsi="仿宋" w:eastAsia="仿宋" w:cs="仿宋"/>
                <w:b/>
                <w:bCs/>
                <w:i w:val="0"/>
                <w:color w:val="auto"/>
                <w:sz w:val="32"/>
                <w:szCs w:val="32"/>
                <w:highlight w:val="none"/>
                <w:u w:val="none"/>
                <w:lang w:val="en-US" w:eastAsia="zh-CN"/>
              </w:rPr>
              <w:t>2026年2月10</w:t>
            </w:r>
            <w:bookmarkStart w:id="0" w:name="_GoBack"/>
            <w:bookmarkEnd w:id="0"/>
            <w:r>
              <w:rPr>
                <w:rFonts w:hint="eastAsia" w:ascii="仿宋" w:hAnsi="仿宋" w:eastAsia="仿宋" w:cs="仿宋"/>
                <w:b/>
                <w:bCs/>
                <w:i w:val="0"/>
                <w:color w:val="auto"/>
                <w:sz w:val="32"/>
                <w:szCs w:val="32"/>
                <w:highlight w:val="none"/>
                <w:u w:val="none"/>
                <w:lang w:val="en-US" w:eastAsia="zh-CN"/>
              </w:rPr>
              <w:t>日</w:t>
            </w:r>
          </w:p>
        </w:tc>
      </w:tr>
    </w:tbl>
    <w:p w14:paraId="2ED6DEED"/>
    <w:sectPr>
      <w:pgSz w:w="11906" w:h="16838"/>
      <w:pgMar w:top="1417" w:right="1417" w:bottom="1417" w:left="1417"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CA2F9C"/>
    <w:rsid w:val="02A93B2F"/>
    <w:rsid w:val="07EE7038"/>
    <w:rsid w:val="19F50124"/>
    <w:rsid w:val="76CA2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2026-02-10T02:50:00Z</dcterms:created>
  <dc:creator>目光所在</dc:creator>
  <cp:lastModifiedBy>目光所在</cp:lastModifiedBy>
  <dcterms:modified xsi:type="dcterms:W3CDTF">2026-02-10T03:08:25Z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2DC09228556A44D49998D3E1923718E0_11</vt:lpwstr>
  </property>
  <property fmtid="{D5CDD505-2E9C-101B-9397-08002B2CF9AE}" pid="4" name="KSOTemplateDocerSaveRecord">
    <vt:lpwstr>eyJoZGlkIjoiZTViODc4NTQ1MjY0MTVlNTY4NmZmYTI1ODFlMDc5ZTciLCJ1c2VySWQiOiI1MzQwNDkwNzMifQ==</vt:lpwstr>
  </property>
</Properties>
</file>