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CA2FC3">
      <w:pPr>
        <w:jc w:val="center"/>
        <w:rPr>
          <w:rFonts w:hint="eastAsia"/>
          <w:b/>
          <w:bCs/>
          <w:sz w:val="36"/>
          <w:szCs w:val="36"/>
          <w:lang w:val="en-US" w:eastAsia="zh-CN"/>
        </w:rPr>
      </w:pPr>
      <w:r>
        <w:rPr>
          <w:rFonts w:hint="eastAsia"/>
          <w:b/>
          <w:bCs/>
          <w:sz w:val="36"/>
          <w:szCs w:val="36"/>
          <w:lang w:val="en-US" w:eastAsia="zh-CN"/>
        </w:rPr>
        <w:t>调研报价（二次）响应文件</w:t>
      </w:r>
    </w:p>
    <w:p w14:paraId="1DBB4F4E">
      <w:pPr>
        <w:pStyle w:val="4"/>
        <w:rPr>
          <w:rFonts w:hint="eastAsia"/>
          <w:sz w:val="28"/>
          <w:szCs w:val="28"/>
          <w:lang w:val="en-US" w:eastAsia="zh-CN"/>
        </w:rPr>
      </w:pPr>
      <w:r>
        <w:rPr>
          <w:rFonts w:hint="eastAsia"/>
          <w:b/>
          <w:bCs/>
          <w:sz w:val="28"/>
          <w:szCs w:val="28"/>
          <w:lang w:val="en-US" w:eastAsia="zh-CN"/>
        </w:rPr>
        <w:t>一、项目报价清单</w:t>
      </w:r>
    </w:p>
    <w:tbl>
      <w:tblPr>
        <w:tblStyle w:val="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0"/>
        <w:gridCol w:w="1071"/>
        <w:gridCol w:w="2884"/>
        <w:gridCol w:w="1984"/>
      </w:tblGrid>
      <w:tr w14:paraId="124CB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1" w:type="pct"/>
            <w:vAlign w:val="center"/>
          </w:tcPr>
          <w:p w14:paraId="6C9136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名称</w:t>
            </w:r>
          </w:p>
        </w:tc>
        <w:tc>
          <w:tcPr>
            <w:tcW w:w="510" w:type="pct"/>
            <w:vAlign w:val="center"/>
          </w:tcPr>
          <w:p w14:paraId="34F450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数量</w:t>
            </w:r>
          </w:p>
        </w:tc>
        <w:tc>
          <w:tcPr>
            <w:tcW w:w="1373" w:type="pct"/>
            <w:vAlign w:val="center"/>
          </w:tcPr>
          <w:p w14:paraId="2F9B8C5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调研报价（元）</w:t>
            </w:r>
          </w:p>
        </w:tc>
        <w:tc>
          <w:tcPr>
            <w:tcW w:w="944" w:type="pct"/>
            <w:vAlign w:val="center"/>
          </w:tcPr>
          <w:p w14:paraId="38B02C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备注</w:t>
            </w:r>
          </w:p>
        </w:tc>
      </w:tr>
      <w:tr w14:paraId="38EAA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71" w:type="pct"/>
            <w:vAlign w:val="center"/>
          </w:tcPr>
          <w:p w14:paraId="477755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中山市东升医院污水处理管理项目</w:t>
            </w:r>
          </w:p>
        </w:tc>
        <w:tc>
          <w:tcPr>
            <w:tcW w:w="510" w:type="pct"/>
            <w:vAlign w:val="center"/>
          </w:tcPr>
          <w:p w14:paraId="12CFFB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sz w:val="28"/>
                <w:szCs w:val="28"/>
                <w:vertAlign w:val="baseline"/>
                <w:lang w:val="en-US" w:eastAsia="zh-CN"/>
              </w:rPr>
            </w:pPr>
            <w:r>
              <w:rPr>
                <w:rFonts w:hint="eastAsia"/>
                <w:b/>
                <w:bCs/>
                <w:sz w:val="28"/>
                <w:szCs w:val="28"/>
                <w:vertAlign w:val="baseline"/>
                <w:lang w:val="en-US" w:eastAsia="zh-CN"/>
              </w:rPr>
              <w:t>1项</w:t>
            </w:r>
          </w:p>
        </w:tc>
        <w:tc>
          <w:tcPr>
            <w:tcW w:w="1373" w:type="pct"/>
            <w:vAlign w:val="center"/>
          </w:tcPr>
          <w:p w14:paraId="5D4F18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p>
        </w:tc>
        <w:tc>
          <w:tcPr>
            <w:tcW w:w="944" w:type="pct"/>
            <w:vAlign w:val="center"/>
          </w:tcPr>
          <w:p w14:paraId="7AB67C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vertAlign w:val="baseline"/>
                <w:lang w:val="en-US" w:eastAsia="zh-CN"/>
              </w:rPr>
            </w:pPr>
            <w:r>
              <w:rPr>
                <w:rFonts w:hint="eastAsia"/>
                <w:b/>
                <w:bCs/>
                <w:sz w:val="28"/>
                <w:szCs w:val="28"/>
                <w:vertAlign w:val="baseline"/>
                <w:lang w:val="en-US" w:eastAsia="zh-CN"/>
              </w:rPr>
              <w:t>附项目清单</w:t>
            </w:r>
          </w:p>
        </w:tc>
      </w:tr>
    </w:tbl>
    <w:p w14:paraId="1C96F74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b/>
          <w:bCs/>
          <w:sz w:val="28"/>
          <w:szCs w:val="28"/>
          <w:lang w:val="en-US" w:eastAsia="zh-CN"/>
        </w:rPr>
      </w:pPr>
      <w:r>
        <w:rPr>
          <w:rFonts w:hint="eastAsia"/>
          <w:b/>
          <w:bCs/>
          <w:sz w:val="28"/>
          <w:szCs w:val="28"/>
          <w:lang w:val="en-US" w:eastAsia="zh-CN"/>
        </w:rPr>
        <w:t>注：以上</w:t>
      </w:r>
      <w:r>
        <w:rPr>
          <w:rFonts w:hint="eastAsia"/>
          <w:b/>
          <w:bCs/>
          <w:sz w:val="28"/>
          <w:szCs w:val="28"/>
          <w:vertAlign w:val="baseline"/>
          <w:lang w:val="en-US" w:eastAsia="zh-CN"/>
        </w:rPr>
        <w:t>调研报价</w:t>
      </w:r>
      <w:r>
        <w:rPr>
          <w:rFonts w:hint="eastAsia"/>
          <w:b/>
          <w:bCs/>
          <w:sz w:val="28"/>
          <w:szCs w:val="28"/>
          <w:lang w:val="en-US" w:eastAsia="zh-CN"/>
        </w:rPr>
        <w:t>参考《</w:t>
      </w:r>
      <w:r>
        <w:rPr>
          <w:rFonts w:hint="eastAsia"/>
          <w:b/>
          <w:bCs/>
          <w:sz w:val="28"/>
          <w:szCs w:val="28"/>
          <w:vertAlign w:val="baseline"/>
          <w:lang w:val="en-US" w:eastAsia="zh-CN"/>
        </w:rPr>
        <w:t>中山市东升医院污水处理管理项目用户需</w:t>
      </w:r>
      <w:r>
        <w:rPr>
          <w:rFonts w:hint="eastAsia"/>
          <w:b/>
          <w:bCs/>
          <w:sz w:val="28"/>
          <w:szCs w:val="28"/>
          <w:lang w:val="en-US" w:eastAsia="zh-CN"/>
        </w:rPr>
        <w:t>求书》的服务条款填报</w:t>
      </w:r>
    </w:p>
    <w:p w14:paraId="70DEC94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1.报价为含税费报价，该报价包括：派驻人员工资、福利、服装、通信工具、交通工具、社保、医疗、待业保障、工伤保险、各节假日</w:t>
      </w:r>
      <w:bookmarkStart w:id="0" w:name="_GoBack"/>
      <w:bookmarkEnd w:id="0"/>
      <w:r>
        <w:rPr>
          <w:rFonts w:hint="eastAsia" w:ascii="宋体" w:hAnsi="宋体" w:eastAsia="宋体" w:cs="宋体"/>
          <w:color w:val="000000"/>
          <w:kern w:val="2"/>
          <w:sz w:val="28"/>
          <w:szCs w:val="28"/>
          <w:lang w:val="en-US" w:eastAsia="zh-CN" w:bidi="ar-SA"/>
        </w:rPr>
        <w:t>和特殊工作任务加班费用、劳保费；完成该项目所需工具、设备、管理费、税费；不可预见费等费用。</w:t>
      </w:r>
    </w:p>
    <w:p w14:paraId="1888E65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ascii="宋体" w:hAnsi="宋体" w:eastAsia="宋体" w:cs="宋体"/>
          <w:color w:val="000000"/>
          <w:kern w:val="2"/>
          <w:sz w:val="28"/>
          <w:szCs w:val="28"/>
          <w:lang w:val="en-US" w:eastAsia="zh-CN" w:bidi="ar-SA"/>
        </w:rPr>
        <w:t>2.供应商报价应包括标的服务内容、配套设施、税费、运费、保险费、仓储费、安装调试、培训、质保等的全部费用，在项目实施过程中出现报价内容的任何遗漏，均由成交供应商负责相关费用，采购人将不再支付任何费用。</w:t>
      </w:r>
    </w:p>
    <w:p w14:paraId="5E81611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79C9B99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5A716C1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65C39BE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675891F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p>
    <w:p w14:paraId="2F61622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报价公司：</w:t>
      </w:r>
    </w:p>
    <w:p w14:paraId="3E0506A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联系人：</w:t>
      </w:r>
    </w:p>
    <w:p w14:paraId="50E21BD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b/>
          <w:bCs/>
          <w:sz w:val="28"/>
          <w:szCs w:val="28"/>
          <w:lang w:val="en-US" w:eastAsia="zh-CN"/>
        </w:rPr>
      </w:pPr>
      <w:r>
        <w:rPr>
          <w:rFonts w:hint="eastAsia"/>
          <w:b/>
          <w:bCs/>
          <w:sz w:val="28"/>
          <w:szCs w:val="28"/>
          <w:lang w:val="en-US" w:eastAsia="zh-CN"/>
        </w:rPr>
        <w:t>联系电话：</w:t>
      </w:r>
    </w:p>
    <w:p w14:paraId="29C3D6DE">
      <w:pPr>
        <w:rPr>
          <w:rFonts w:hint="eastAsia"/>
          <w:b/>
          <w:bCs/>
          <w:sz w:val="24"/>
          <w:szCs w:val="24"/>
          <w:lang w:val="en-US" w:eastAsia="zh-CN"/>
        </w:rPr>
      </w:pPr>
      <w:r>
        <w:rPr>
          <w:rFonts w:hint="eastAsia"/>
          <w:b/>
          <w:bCs/>
          <w:sz w:val="28"/>
          <w:szCs w:val="28"/>
          <w:lang w:val="en-US" w:eastAsia="zh-CN"/>
        </w:rPr>
        <w:t>报价日期：</w:t>
      </w:r>
    </w:p>
    <w:p w14:paraId="619D3375">
      <w:pPr>
        <w:pStyle w:val="4"/>
        <w:rPr>
          <w:rFonts w:hint="eastAsia"/>
          <w:b/>
          <w:bCs/>
          <w:sz w:val="24"/>
          <w:szCs w:val="24"/>
          <w:lang w:val="en-US" w:eastAsia="zh-CN"/>
        </w:rPr>
      </w:pPr>
    </w:p>
    <w:p w14:paraId="50879111">
      <w:pPr>
        <w:pStyle w:val="6"/>
        <w:rPr>
          <w:rFonts w:hint="eastAsia"/>
          <w:b/>
          <w:bCs/>
          <w:sz w:val="24"/>
          <w:szCs w:val="24"/>
          <w:lang w:val="en-US" w:eastAsia="zh-CN"/>
        </w:rPr>
      </w:pPr>
    </w:p>
    <w:p w14:paraId="4DC4A183">
      <w:pPr>
        <w:rPr>
          <w:rFonts w:hint="eastAsia"/>
          <w:b/>
          <w:bCs/>
          <w:sz w:val="24"/>
          <w:szCs w:val="24"/>
          <w:lang w:val="en-US" w:eastAsia="zh-CN"/>
        </w:rPr>
      </w:pPr>
    </w:p>
    <w:p w14:paraId="33328919">
      <w:pPr>
        <w:pStyle w:val="4"/>
        <w:numPr>
          <w:ilvl w:val="0"/>
          <w:numId w:val="0"/>
        </w:numPr>
        <w:rPr>
          <w:rFonts w:hint="eastAsia"/>
          <w:lang w:val="en-US" w:eastAsia="zh-CN"/>
        </w:rPr>
      </w:pPr>
    </w:p>
    <w:p w14:paraId="42862A0E">
      <w:pPr>
        <w:pStyle w:val="4"/>
        <w:numPr>
          <w:ilvl w:val="0"/>
          <w:numId w:val="0"/>
        </w:numPr>
        <w:rPr>
          <w:rFonts w:hint="eastAsia"/>
          <w:lang w:val="en-US" w:eastAsia="zh-CN"/>
        </w:rPr>
      </w:pPr>
    </w:p>
    <w:p w14:paraId="6ED11771">
      <w:pPr>
        <w:pStyle w:val="4"/>
        <w:numPr>
          <w:ilvl w:val="0"/>
          <w:numId w:val="0"/>
        </w:numPr>
        <w:rPr>
          <w:rFonts w:hint="eastAsia"/>
          <w:lang w:val="en-US" w:eastAsia="zh-CN"/>
        </w:rPr>
      </w:pPr>
    </w:p>
    <w:p w14:paraId="160C9A18">
      <w:pPr>
        <w:pStyle w:val="4"/>
        <w:numPr>
          <w:ilvl w:val="0"/>
          <w:numId w:val="0"/>
        </w:numPr>
        <w:rPr>
          <w:rFonts w:hint="eastAsia"/>
          <w:lang w:val="en-US" w:eastAsia="zh-CN"/>
        </w:rPr>
      </w:pPr>
    </w:p>
    <w:p w14:paraId="6FABD2BC">
      <w:pPr>
        <w:pStyle w:val="4"/>
        <w:numPr>
          <w:ilvl w:val="0"/>
          <w:numId w:val="0"/>
        </w:numPr>
        <w:rPr>
          <w:rFonts w:hint="eastAsia"/>
          <w:lang w:val="en-US" w:eastAsia="zh-CN"/>
        </w:rPr>
      </w:pPr>
    </w:p>
    <w:p w14:paraId="1EF437AF">
      <w:pPr>
        <w:pStyle w:val="4"/>
        <w:numPr>
          <w:ilvl w:val="0"/>
          <w:numId w:val="0"/>
        </w:numPr>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rPr>
        <w:t>具备相关经营范围的营业执照</w:t>
      </w:r>
      <w:r>
        <w:rPr>
          <w:rFonts w:hint="eastAsia" w:ascii="宋体" w:hAnsi="宋体" w:eastAsia="宋体" w:cs="宋体"/>
          <w:i w:val="0"/>
          <w:iCs w:val="0"/>
          <w:caps w:val="0"/>
          <w:color w:val="000000"/>
          <w:spacing w:val="0"/>
          <w:sz w:val="21"/>
          <w:szCs w:val="21"/>
          <w:lang w:eastAsia="zh-CN"/>
        </w:rPr>
        <w:t>复印件（盖章）</w:t>
      </w:r>
    </w:p>
    <w:p w14:paraId="313D8525">
      <w:pPr>
        <w:pStyle w:val="4"/>
        <w:numPr>
          <w:ilvl w:val="0"/>
          <w:numId w:val="0"/>
        </w:numPr>
        <w:rPr>
          <w:rFonts w:hint="eastAsia" w:ascii="宋体" w:hAnsi="宋体" w:eastAsia="宋体" w:cs="宋体"/>
          <w:i w:val="0"/>
          <w:iCs w:val="0"/>
          <w:caps w:val="0"/>
          <w:color w:val="000000"/>
          <w:spacing w:val="0"/>
          <w:sz w:val="21"/>
          <w:szCs w:val="21"/>
          <w:lang w:eastAsia="zh-CN"/>
        </w:rPr>
      </w:pPr>
    </w:p>
    <w:p w14:paraId="3792209A">
      <w:pPr>
        <w:pStyle w:val="4"/>
        <w:numPr>
          <w:ilvl w:val="0"/>
          <w:numId w:val="0"/>
        </w:numPr>
        <w:rPr>
          <w:rFonts w:hint="eastAsia" w:ascii="宋体" w:hAnsi="宋体" w:eastAsia="宋体" w:cs="宋体"/>
          <w:i w:val="0"/>
          <w:iCs w:val="0"/>
          <w:caps w:val="0"/>
          <w:color w:val="000000"/>
          <w:spacing w:val="0"/>
          <w:sz w:val="21"/>
          <w:szCs w:val="21"/>
          <w:lang w:eastAsia="zh-CN"/>
        </w:rPr>
      </w:pPr>
    </w:p>
    <w:p w14:paraId="3776D224">
      <w:pPr>
        <w:pStyle w:val="4"/>
        <w:numPr>
          <w:ilvl w:val="0"/>
          <w:numId w:val="0"/>
        </w:numPr>
        <w:rPr>
          <w:rFonts w:hint="eastAsia" w:ascii="宋体" w:hAnsi="宋体" w:eastAsia="宋体" w:cs="宋体"/>
          <w:i w:val="0"/>
          <w:iCs w:val="0"/>
          <w:caps w:val="0"/>
          <w:color w:val="000000"/>
          <w:spacing w:val="0"/>
          <w:sz w:val="21"/>
          <w:szCs w:val="21"/>
          <w:lang w:eastAsia="zh-CN"/>
        </w:rPr>
      </w:pPr>
    </w:p>
    <w:p w14:paraId="6B75D3C1">
      <w:pPr>
        <w:pStyle w:val="4"/>
        <w:numPr>
          <w:ilvl w:val="0"/>
          <w:numId w:val="0"/>
        </w:numPr>
        <w:rPr>
          <w:rFonts w:hint="eastAsia" w:ascii="宋体" w:hAnsi="宋体" w:eastAsia="宋体" w:cs="宋体"/>
          <w:i w:val="0"/>
          <w:iCs w:val="0"/>
          <w:caps w:val="0"/>
          <w:color w:val="000000"/>
          <w:spacing w:val="0"/>
          <w:sz w:val="21"/>
          <w:szCs w:val="21"/>
          <w:lang w:eastAsia="zh-CN"/>
        </w:rPr>
      </w:pPr>
    </w:p>
    <w:p w14:paraId="5F480E77">
      <w:pPr>
        <w:pStyle w:val="4"/>
        <w:numPr>
          <w:ilvl w:val="0"/>
          <w:numId w:val="0"/>
        </w:numPr>
        <w:rPr>
          <w:rFonts w:hint="eastAsia" w:ascii="宋体" w:hAnsi="宋体" w:eastAsia="宋体" w:cs="宋体"/>
          <w:i w:val="0"/>
          <w:iCs w:val="0"/>
          <w:caps w:val="0"/>
          <w:color w:val="000000"/>
          <w:spacing w:val="0"/>
          <w:sz w:val="21"/>
          <w:szCs w:val="21"/>
          <w:lang w:eastAsia="zh-CN"/>
        </w:rPr>
      </w:pPr>
    </w:p>
    <w:p w14:paraId="08FB8A02">
      <w:pPr>
        <w:pStyle w:val="4"/>
        <w:numPr>
          <w:ilvl w:val="0"/>
          <w:numId w:val="0"/>
        </w:numPr>
        <w:rPr>
          <w:rFonts w:hint="eastAsia" w:ascii="宋体" w:hAnsi="宋体" w:eastAsia="宋体" w:cs="宋体"/>
          <w:i w:val="0"/>
          <w:iCs w:val="0"/>
          <w:caps w:val="0"/>
          <w:color w:val="000000"/>
          <w:spacing w:val="0"/>
          <w:sz w:val="21"/>
          <w:szCs w:val="21"/>
          <w:lang w:eastAsia="zh-CN"/>
        </w:rPr>
      </w:pPr>
    </w:p>
    <w:p w14:paraId="739EFF00">
      <w:pPr>
        <w:pStyle w:val="4"/>
        <w:numPr>
          <w:ilvl w:val="0"/>
          <w:numId w:val="0"/>
        </w:numPr>
        <w:rPr>
          <w:rFonts w:hint="eastAsia" w:ascii="宋体" w:hAnsi="宋体" w:eastAsia="宋体" w:cs="宋体"/>
          <w:i w:val="0"/>
          <w:iCs w:val="0"/>
          <w:caps w:val="0"/>
          <w:color w:val="000000"/>
          <w:spacing w:val="0"/>
          <w:sz w:val="21"/>
          <w:szCs w:val="21"/>
          <w:lang w:eastAsia="zh-CN"/>
        </w:rPr>
      </w:pPr>
    </w:p>
    <w:p w14:paraId="3D69D218">
      <w:pPr>
        <w:pStyle w:val="4"/>
        <w:numPr>
          <w:ilvl w:val="0"/>
          <w:numId w:val="0"/>
        </w:numPr>
        <w:rPr>
          <w:rFonts w:hint="eastAsia" w:ascii="宋体" w:hAnsi="宋体" w:eastAsia="宋体" w:cs="宋体"/>
          <w:i w:val="0"/>
          <w:iCs w:val="0"/>
          <w:caps w:val="0"/>
          <w:color w:val="000000"/>
          <w:spacing w:val="0"/>
          <w:sz w:val="21"/>
          <w:szCs w:val="21"/>
          <w:lang w:eastAsia="zh-CN"/>
        </w:rPr>
      </w:pPr>
    </w:p>
    <w:p w14:paraId="115826B9">
      <w:pPr>
        <w:pStyle w:val="4"/>
        <w:numPr>
          <w:ilvl w:val="0"/>
          <w:numId w:val="0"/>
        </w:numPr>
        <w:rPr>
          <w:rFonts w:hint="eastAsia" w:ascii="宋体" w:hAnsi="宋体" w:eastAsia="宋体" w:cs="宋体"/>
          <w:i w:val="0"/>
          <w:iCs w:val="0"/>
          <w:caps w:val="0"/>
          <w:color w:val="000000"/>
          <w:spacing w:val="0"/>
          <w:sz w:val="21"/>
          <w:szCs w:val="21"/>
          <w:lang w:eastAsia="zh-CN"/>
        </w:rPr>
      </w:pPr>
    </w:p>
    <w:p w14:paraId="0B2A164C">
      <w:pPr>
        <w:pStyle w:val="4"/>
        <w:numPr>
          <w:ilvl w:val="0"/>
          <w:numId w:val="0"/>
        </w:numPr>
        <w:rPr>
          <w:rFonts w:hint="eastAsia" w:ascii="宋体" w:hAnsi="宋体" w:eastAsia="宋体" w:cs="宋体"/>
          <w:i w:val="0"/>
          <w:iCs w:val="0"/>
          <w:caps w:val="0"/>
          <w:color w:val="000000"/>
          <w:spacing w:val="0"/>
          <w:sz w:val="21"/>
          <w:szCs w:val="21"/>
          <w:lang w:eastAsia="zh-CN"/>
        </w:rPr>
      </w:pPr>
    </w:p>
    <w:p w14:paraId="52C27EC3">
      <w:pPr>
        <w:pStyle w:val="4"/>
        <w:numPr>
          <w:ilvl w:val="0"/>
          <w:numId w:val="0"/>
        </w:numPr>
        <w:rPr>
          <w:rFonts w:hint="eastAsia" w:ascii="宋体" w:hAnsi="宋体" w:eastAsia="宋体" w:cs="宋体"/>
          <w:i w:val="0"/>
          <w:iCs w:val="0"/>
          <w:caps w:val="0"/>
          <w:color w:val="000000"/>
          <w:spacing w:val="0"/>
          <w:sz w:val="21"/>
          <w:szCs w:val="21"/>
          <w:lang w:eastAsia="zh-CN"/>
        </w:rPr>
      </w:pPr>
    </w:p>
    <w:p w14:paraId="7B7DD7D5">
      <w:pPr>
        <w:pStyle w:val="4"/>
        <w:numPr>
          <w:ilvl w:val="0"/>
          <w:numId w:val="0"/>
        </w:numPr>
        <w:rPr>
          <w:rFonts w:hint="eastAsia" w:ascii="宋体" w:hAnsi="宋体" w:eastAsia="宋体" w:cs="宋体"/>
          <w:i w:val="0"/>
          <w:iCs w:val="0"/>
          <w:caps w:val="0"/>
          <w:color w:val="000000"/>
          <w:spacing w:val="0"/>
          <w:sz w:val="21"/>
          <w:szCs w:val="21"/>
          <w:lang w:eastAsia="zh-CN"/>
        </w:rPr>
      </w:pPr>
    </w:p>
    <w:p w14:paraId="6A8AF4F0">
      <w:pPr>
        <w:pStyle w:val="4"/>
        <w:numPr>
          <w:ilvl w:val="0"/>
          <w:numId w:val="0"/>
        </w:numPr>
        <w:rPr>
          <w:rFonts w:hint="eastAsia" w:ascii="宋体" w:hAnsi="宋体" w:eastAsia="宋体" w:cs="宋体"/>
          <w:i w:val="0"/>
          <w:iCs w:val="0"/>
          <w:caps w:val="0"/>
          <w:color w:val="000000"/>
          <w:spacing w:val="0"/>
          <w:sz w:val="21"/>
          <w:szCs w:val="21"/>
          <w:lang w:eastAsia="zh-CN"/>
        </w:rPr>
      </w:pPr>
    </w:p>
    <w:p w14:paraId="7DF70CA7">
      <w:pPr>
        <w:pStyle w:val="4"/>
        <w:numPr>
          <w:ilvl w:val="0"/>
          <w:numId w:val="0"/>
        </w:numPr>
        <w:rPr>
          <w:rFonts w:hint="eastAsia" w:ascii="宋体" w:hAnsi="宋体" w:eastAsia="宋体" w:cs="宋体"/>
          <w:i w:val="0"/>
          <w:iCs w:val="0"/>
          <w:caps w:val="0"/>
          <w:color w:val="000000"/>
          <w:spacing w:val="0"/>
          <w:sz w:val="21"/>
          <w:szCs w:val="21"/>
          <w:lang w:eastAsia="zh-CN"/>
        </w:rPr>
      </w:pPr>
    </w:p>
    <w:p w14:paraId="56CED8A1">
      <w:pPr>
        <w:pStyle w:val="4"/>
        <w:numPr>
          <w:ilvl w:val="0"/>
          <w:numId w:val="0"/>
        </w:numPr>
        <w:rPr>
          <w:rFonts w:hint="eastAsia" w:ascii="宋体" w:hAnsi="宋体" w:eastAsia="宋体" w:cs="宋体"/>
          <w:i w:val="0"/>
          <w:iCs w:val="0"/>
          <w:caps w:val="0"/>
          <w:color w:val="000000"/>
          <w:spacing w:val="0"/>
          <w:sz w:val="21"/>
          <w:szCs w:val="21"/>
          <w:lang w:eastAsia="zh-CN"/>
        </w:rPr>
      </w:pPr>
    </w:p>
    <w:p w14:paraId="53AEA628">
      <w:pPr>
        <w:pStyle w:val="4"/>
        <w:numPr>
          <w:ilvl w:val="0"/>
          <w:numId w:val="0"/>
        </w:numPr>
        <w:rPr>
          <w:rFonts w:hint="eastAsia" w:ascii="宋体" w:hAnsi="宋体" w:eastAsia="宋体" w:cs="宋体"/>
          <w:i w:val="0"/>
          <w:iCs w:val="0"/>
          <w:caps w:val="0"/>
          <w:color w:val="000000"/>
          <w:spacing w:val="0"/>
          <w:sz w:val="21"/>
          <w:szCs w:val="21"/>
          <w:lang w:eastAsia="zh-CN"/>
        </w:rPr>
      </w:pPr>
    </w:p>
    <w:p w14:paraId="2950631E">
      <w:pPr>
        <w:pStyle w:val="4"/>
        <w:numPr>
          <w:ilvl w:val="0"/>
          <w:numId w:val="0"/>
        </w:numPr>
        <w:rPr>
          <w:rFonts w:hint="eastAsia" w:ascii="宋体" w:hAnsi="宋体" w:eastAsia="宋体" w:cs="宋体"/>
          <w:i w:val="0"/>
          <w:iCs w:val="0"/>
          <w:caps w:val="0"/>
          <w:color w:val="000000"/>
          <w:spacing w:val="0"/>
          <w:sz w:val="21"/>
          <w:szCs w:val="21"/>
          <w:lang w:eastAsia="zh-CN"/>
        </w:rPr>
      </w:pPr>
    </w:p>
    <w:p w14:paraId="2408C041">
      <w:pPr>
        <w:pStyle w:val="4"/>
        <w:numPr>
          <w:ilvl w:val="0"/>
          <w:numId w:val="0"/>
        </w:numPr>
        <w:rPr>
          <w:rFonts w:hint="eastAsia" w:ascii="宋体" w:hAnsi="宋体" w:eastAsia="宋体" w:cs="宋体"/>
          <w:i w:val="0"/>
          <w:iCs w:val="0"/>
          <w:caps w:val="0"/>
          <w:color w:val="000000"/>
          <w:spacing w:val="0"/>
          <w:sz w:val="21"/>
          <w:szCs w:val="21"/>
          <w:lang w:eastAsia="zh-CN"/>
        </w:rPr>
      </w:pPr>
    </w:p>
    <w:p w14:paraId="049FDFB6">
      <w:pPr>
        <w:pStyle w:val="4"/>
        <w:numPr>
          <w:ilvl w:val="0"/>
          <w:numId w:val="0"/>
        </w:numPr>
        <w:rPr>
          <w:rFonts w:hint="eastAsia" w:ascii="宋体" w:hAnsi="宋体" w:eastAsia="宋体" w:cs="宋体"/>
          <w:i w:val="0"/>
          <w:iCs w:val="0"/>
          <w:caps w:val="0"/>
          <w:color w:val="000000"/>
          <w:spacing w:val="0"/>
          <w:sz w:val="21"/>
          <w:szCs w:val="21"/>
          <w:lang w:eastAsia="zh-CN"/>
        </w:rPr>
      </w:pPr>
    </w:p>
    <w:p w14:paraId="657C975B">
      <w:pPr>
        <w:pStyle w:val="4"/>
        <w:numPr>
          <w:ilvl w:val="0"/>
          <w:numId w:val="0"/>
        </w:numPr>
        <w:rPr>
          <w:rFonts w:hint="eastAsia" w:ascii="宋体" w:hAnsi="宋体" w:eastAsia="宋体" w:cs="宋体"/>
          <w:i w:val="0"/>
          <w:iCs w:val="0"/>
          <w:caps w:val="0"/>
          <w:color w:val="000000"/>
          <w:spacing w:val="0"/>
          <w:sz w:val="21"/>
          <w:szCs w:val="21"/>
          <w:lang w:eastAsia="zh-CN"/>
        </w:rPr>
      </w:pPr>
    </w:p>
    <w:p w14:paraId="28735747">
      <w:pPr>
        <w:pStyle w:val="4"/>
        <w:numPr>
          <w:ilvl w:val="0"/>
          <w:numId w:val="0"/>
        </w:numPr>
        <w:rPr>
          <w:rFonts w:hint="eastAsia" w:ascii="宋体" w:hAnsi="宋体" w:eastAsia="宋体" w:cs="宋体"/>
          <w:i w:val="0"/>
          <w:iCs w:val="0"/>
          <w:caps w:val="0"/>
          <w:color w:val="000000"/>
          <w:spacing w:val="0"/>
          <w:sz w:val="21"/>
          <w:szCs w:val="21"/>
          <w:lang w:eastAsia="zh-CN"/>
        </w:rPr>
      </w:pPr>
    </w:p>
    <w:p w14:paraId="177DAC7F">
      <w:pPr>
        <w:pStyle w:val="4"/>
        <w:numPr>
          <w:ilvl w:val="0"/>
          <w:numId w:val="0"/>
        </w:numPr>
        <w:rPr>
          <w:rFonts w:hint="eastAsia" w:ascii="宋体" w:hAnsi="宋体" w:eastAsia="宋体" w:cs="宋体"/>
          <w:i w:val="0"/>
          <w:iCs w:val="0"/>
          <w:caps w:val="0"/>
          <w:color w:val="000000"/>
          <w:spacing w:val="0"/>
          <w:sz w:val="21"/>
          <w:szCs w:val="21"/>
          <w:lang w:eastAsia="zh-CN"/>
        </w:rPr>
      </w:pPr>
    </w:p>
    <w:p w14:paraId="20A04EBA">
      <w:pPr>
        <w:pStyle w:val="4"/>
        <w:numPr>
          <w:ilvl w:val="0"/>
          <w:numId w:val="0"/>
        </w:numPr>
        <w:rPr>
          <w:rFonts w:hint="eastAsia" w:ascii="宋体" w:hAnsi="宋体" w:eastAsia="宋体" w:cs="宋体"/>
          <w:i w:val="0"/>
          <w:iCs w:val="0"/>
          <w:caps w:val="0"/>
          <w:color w:val="000000"/>
          <w:spacing w:val="0"/>
          <w:sz w:val="21"/>
          <w:szCs w:val="21"/>
          <w:lang w:eastAsia="zh-CN"/>
        </w:rPr>
      </w:pPr>
    </w:p>
    <w:p w14:paraId="44C39534">
      <w:pPr>
        <w:pStyle w:val="4"/>
        <w:numPr>
          <w:ilvl w:val="0"/>
          <w:numId w:val="0"/>
        </w:numPr>
        <w:rPr>
          <w:rFonts w:hint="eastAsia" w:ascii="宋体" w:hAnsi="宋体" w:eastAsia="宋体" w:cs="宋体"/>
          <w:i w:val="0"/>
          <w:iCs w:val="0"/>
          <w:caps w:val="0"/>
          <w:color w:val="000000"/>
          <w:spacing w:val="0"/>
          <w:sz w:val="21"/>
          <w:szCs w:val="21"/>
          <w:lang w:eastAsia="zh-CN"/>
        </w:rPr>
      </w:pPr>
    </w:p>
    <w:p w14:paraId="0874B334">
      <w:pPr>
        <w:pStyle w:val="4"/>
        <w:numPr>
          <w:ilvl w:val="0"/>
          <w:numId w:val="0"/>
        </w:numPr>
        <w:rPr>
          <w:rFonts w:hint="eastAsia" w:ascii="宋体" w:hAnsi="宋体" w:eastAsia="宋体" w:cs="宋体"/>
          <w:i w:val="0"/>
          <w:iCs w:val="0"/>
          <w:caps w:val="0"/>
          <w:color w:val="000000"/>
          <w:spacing w:val="0"/>
          <w:sz w:val="21"/>
          <w:szCs w:val="21"/>
          <w:lang w:eastAsia="zh-CN"/>
        </w:rPr>
      </w:pPr>
    </w:p>
    <w:p w14:paraId="63B9068E">
      <w:pPr>
        <w:pStyle w:val="4"/>
        <w:numPr>
          <w:ilvl w:val="0"/>
          <w:numId w:val="0"/>
        </w:numPr>
        <w:rPr>
          <w:rFonts w:hint="eastAsia" w:ascii="宋体" w:hAnsi="宋体" w:eastAsia="宋体" w:cs="宋体"/>
          <w:i w:val="0"/>
          <w:iCs w:val="0"/>
          <w:caps w:val="0"/>
          <w:color w:val="000000"/>
          <w:spacing w:val="0"/>
          <w:sz w:val="21"/>
          <w:szCs w:val="21"/>
          <w:lang w:eastAsia="zh-CN"/>
        </w:rPr>
      </w:pPr>
    </w:p>
    <w:p w14:paraId="37E49EAF">
      <w:pPr>
        <w:pStyle w:val="4"/>
        <w:numPr>
          <w:ilvl w:val="0"/>
          <w:numId w:val="0"/>
        </w:numPr>
        <w:rPr>
          <w:rFonts w:hint="eastAsia" w:ascii="宋体" w:hAnsi="宋体" w:eastAsia="宋体" w:cs="宋体"/>
          <w:i w:val="0"/>
          <w:iCs w:val="0"/>
          <w:caps w:val="0"/>
          <w:color w:val="000000"/>
          <w:spacing w:val="0"/>
          <w:sz w:val="21"/>
          <w:szCs w:val="21"/>
          <w:lang w:eastAsia="zh-CN"/>
        </w:rPr>
      </w:pPr>
    </w:p>
    <w:p w14:paraId="5894FC31">
      <w:pPr>
        <w:pStyle w:val="4"/>
        <w:numPr>
          <w:ilvl w:val="0"/>
          <w:numId w:val="0"/>
        </w:numPr>
        <w:rPr>
          <w:rFonts w:hint="eastAsia" w:ascii="宋体" w:hAnsi="宋体" w:eastAsia="宋体" w:cs="宋体"/>
          <w:i w:val="0"/>
          <w:iCs w:val="0"/>
          <w:caps w:val="0"/>
          <w:color w:val="000000"/>
          <w:spacing w:val="0"/>
          <w:sz w:val="21"/>
          <w:szCs w:val="21"/>
          <w:lang w:eastAsia="zh-CN"/>
        </w:rPr>
      </w:pPr>
    </w:p>
    <w:p w14:paraId="607538F0">
      <w:pPr>
        <w:pStyle w:val="4"/>
        <w:numPr>
          <w:ilvl w:val="0"/>
          <w:numId w:val="0"/>
        </w:numPr>
        <w:rPr>
          <w:rFonts w:hint="eastAsia" w:ascii="宋体" w:hAnsi="宋体" w:eastAsia="宋体" w:cs="宋体"/>
          <w:i w:val="0"/>
          <w:iCs w:val="0"/>
          <w:caps w:val="0"/>
          <w:color w:val="000000"/>
          <w:spacing w:val="0"/>
          <w:sz w:val="21"/>
          <w:szCs w:val="21"/>
          <w:lang w:eastAsia="zh-CN"/>
        </w:rPr>
      </w:pPr>
    </w:p>
    <w:p w14:paraId="64786195">
      <w:pPr>
        <w:pStyle w:val="4"/>
        <w:numPr>
          <w:ilvl w:val="0"/>
          <w:numId w:val="0"/>
        </w:numPr>
        <w:rPr>
          <w:rFonts w:hint="eastAsia" w:ascii="宋体" w:hAnsi="宋体" w:eastAsia="宋体" w:cs="宋体"/>
          <w:i w:val="0"/>
          <w:iCs w:val="0"/>
          <w:caps w:val="0"/>
          <w:color w:val="000000"/>
          <w:spacing w:val="0"/>
          <w:sz w:val="21"/>
          <w:szCs w:val="21"/>
          <w:lang w:eastAsia="zh-CN"/>
        </w:rPr>
      </w:pPr>
    </w:p>
    <w:p w14:paraId="60ABE57C">
      <w:pPr>
        <w:pStyle w:val="4"/>
        <w:numPr>
          <w:ilvl w:val="0"/>
          <w:numId w:val="0"/>
        </w:numPr>
        <w:rPr>
          <w:rFonts w:hint="eastAsia" w:ascii="宋体" w:hAnsi="宋体" w:eastAsia="宋体" w:cs="宋体"/>
          <w:i w:val="0"/>
          <w:iCs w:val="0"/>
          <w:caps w:val="0"/>
          <w:color w:val="000000"/>
          <w:spacing w:val="0"/>
          <w:sz w:val="21"/>
          <w:szCs w:val="21"/>
          <w:lang w:eastAsia="zh-CN"/>
        </w:rPr>
      </w:pPr>
    </w:p>
    <w:p w14:paraId="0B4AE893">
      <w:pPr>
        <w:pStyle w:val="4"/>
        <w:numPr>
          <w:ilvl w:val="0"/>
          <w:numId w:val="0"/>
        </w:numPr>
        <w:rPr>
          <w:rFonts w:hint="eastAsia" w:ascii="宋体" w:hAnsi="宋体" w:eastAsia="宋体" w:cs="宋体"/>
          <w:i w:val="0"/>
          <w:iCs w:val="0"/>
          <w:caps w:val="0"/>
          <w:color w:val="000000"/>
          <w:spacing w:val="0"/>
          <w:sz w:val="21"/>
          <w:szCs w:val="21"/>
          <w:lang w:eastAsia="zh-CN"/>
        </w:rPr>
      </w:pPr>
    </w:p>
    <w:p w14:paraId="58F6E2F3">
      <w:pPr>
        <w:pStyle w:val="4"/>
        <w:numPr>
          <w:ilvl w:val="0"/>
          <w:numId w:val="0"/>
        </w:numPr>
        <w:rPr>
          <w:rFonts w:hint="eastAsia" w:ascii="宋体" w:hAnsi="宋体" w:eastAsia="宋体" w:cs="宋体"/>
          <w:i w:val="0"/>
          <w:iCs w:val="0"/>
          <w:caps w:val="0"/>
          <w:color w:val="000000"/>
          <w:spacing w:val="0"/>
          <w:sz w:val="21"/>
          <w:szCs w:val="21"/>
          <w:lang w:eastAsia="zh-CN"/>
        </w:rPr>
      </w:pPr>
    </w:p>
    <w:p w14:paraId="0CEA2E27">
      <w:pPr>
        <w:pStyle w:val="4"/>
        <w:numPr>
          <w:ilvl w:val="0"/>
          <w:numId w:val="0"/>
        </w:numPr>
        <w:rPr>
          <w:rFonts w:hint="eastAsia" w:ascii="宋体" w:hAnsi="宋体" w:eastAsia="宋体" w:cs="宋体"/>
          <w:i w:val="0"/>
          <w:iCs w:val="0"/>
          <w:caps w:val="0"/>
          <w:color w:val="000000"/>
          <w:spacing w:val="0"/>
          <w:sz w:val="21"/>
          <w:szCs w:val="21"/>
          <w:lang w:eastAsia="zh-CN"/>
        </w:rPr>
      </w:pPr>
    </w:p>
    <w:p w14:paraId="7710C97F">
      <w:pPr>
        <w:pStyle w:val="4"/>
        <w:numPr>
          <w:ilvl w:val="0"/>
          <w:numId w:val="0"/>
        </w:numPr>
        <w:rPr>
          <w:rFonts w:hint="eastAsia" w:ascii="宋体" w:hAnsi="宋体" w:eastAsia="宋体" w:cs="宋体"/>
          <w:i w:val="0"/>
          <w:iCs w:val="0"/>
          <w:caps w:val="0"/>
          <w:color w:val="000000"/>
          <w:spacing w:val="0"/>
          <w:sz w:val="21"/>
          <w:szCs w:val="21"/>
          <w:lang w:eastAsia="zh-CN"/>
        </w:rPr>
      </w:pPr>
    </w:p>
    <w:p w14:paraId="6336626D">
      <w:pPr>
        <w:pStyle w:val="4"/>
        <w:numPr>
          <w:ilvl w:val="0"/>
          <w:numId w:val="0"/>
        </w:numPr>
        <w:rPr>
          <w:rFonts w:hint="eastAsia" w:ascii="宋体" w:hAnsi="宋体" w:eastAsia="宋体" w:cs="宋体"/>
          <w:i w:val="0"/>
          <w:iCs w:val="0"/>
          <w:caps w:val="0"/>
          <w:color w:val="000000"/>
          <w:spacing w:val="0"/>
          <w:sz w:val="21"/>
          <w:szCs w:val="21"/>
          <w:lang w:eastAsia="zh-CN"/>
        </w:rPr>
      </w:pPr>
    </w:p>
    <w:p w14:paraId="2FCC1B3C">
      <w:pPr>
        <w:pStyle w:val="4"/>
        <w:numPr>
          <w:ilvl w:val="0"/>
          <w:numId w:val="0"/>
        </w:numPr>
        <w:rPr>
          <w:rFonts w:hint="eastAsia" w:ascii="宋体" w:hAnsi="宋体" w:eastAsia="宋体" w:cs="宋体"/>
          <w:i w:val="0"/>
          <w:iCs w:val="0"/>
          <w:caps w:val="0"/>
          <w:color w:val="000000"/>
          <w:spacing w:val="0"/>
          <w:sz w:val="21"/>
          <w:szCs w:val="21"/>
          <w:lang w:eastAsia="zh-CN"/>
        </w:rPr>
      </w:pPr>
    </w:p>
    <w:p w14:paraId="5C91CCD4">
      <w:pPr>
        <w:pStyle w:val="4"/>
        <w:numPr>
          <w:ilvl w:val="0"/>
          <w:numId w:val="0"/>
        </w:numPr>
        <w:rPr>
          <w:rFonts w:hint="eastAsia" w:ascii="宋体" w:hAnsi="宋体" w:eastAsia="宋体" w:cs="宋体"/>
          <w:i w:val="0"/>
          <w:iCs w:val="0"/>
          <w:caps w:val="0"/>
          <w:color w:val="000000"/>
          <w:spacing w:val="0"/>
          <w:sz w:val="21"/>
          <w:szCs w:val="21"/>
          <w:lang w:eastAsia="zh-CN"/>
        </w:rPr>
      </w:pPr>
    </w:p>
    <w:p w14:paraId="730DDA31">
      <w:pPr>
        <w:pStyle w:val="4"/>
        <w:numPr>
          <w:ilvl w:val="0"/>
          <w:numId w:val="0"/>
        </w:numPr>
        <w:rPr>
          <w:rFonts w:hint="eastAsia" w:ascii="宋体" w:hAnsi="宋体" w:eastAsia="宋体" w:cs="宋体"/>
          <w:i w:val="0"/>
          <w:iCs w:val="0"/>
          <w:caps w:val="0"/>
          <w:color w:val="000000"/>
          <w:spacing w:val="0"/>
          <w:sz w:val="21"/>
          <w:szCs w:val="21"/>
          <w:lang w:eastAsia="zh-CN"/>
        </w:rPr>
      </w:pPr>
    </w:p>
    <w:p w14:paraId="47922F60">
      <w:pPr>
        <w:pStyle w:val="4"/>
        <w:numPr>
          <w:ilvl w:val="0"/>
          <w:numId w:val="0"/>
        </w:numPr>
        <w:rPr>
          <w:rFonts w:hint="eastAsia" w:ascii="宋体" w:hAnsi="宋体" w:eastAsia="宋体" w:cs="宋体"/>
          <w:i w:val="0"/>
          <w:iCs w:val="0"/>
          <w:caps w:val="0"/>
          <w:color w:val="000000"/>
          <w:spacing w:val="0"/>
          <w:sz w:val="21"/>
          <w:szCs w:val="21"/>
          <w:lang w:eastAsia="zh-CN"/>
        </w:rPr>
      </w:pPr>
    </w:p>
    <w:p w14:paraId="51A9FD55">
      <w:pPr>
        <w:pStyle w:val="4"/>
        <w:numPr>
          <w:ilvl w:val="0"/>
          <w:numId w:val="0"/>
        </w:numPr>
        <w:rPr>
          <w:rFonts w:hint="eastAsia" w:ascii="宋体" w:hAnsi="宋体" w:eastAsia="宋体" w:cs="宋体"/>
          <w:i w:val="0"/>
          <w:iCs w:val="0"/>
          <w:caps w:val="0"/>
          <w:color w:val="000000"/>
          <w:spacing w:val="0"/>
          <w:sz w:val="21"/>
          <w:szCs w:val="21"/>
          <w:lang w:eastAsia="zh-CN"/>
        </w:rPr>
      </w:pPr>
    </w:p>
    <w:p w14:paraId="0B682161">
      <w:pPr>
        <w:pStyle w:val="4"/>
        <w:numPr>
          <w:ilvl w:val="0"/>
          <w:numId w:val="0"/>
        </w:numPr>
        <w:rPr>
          <w:rFonts w:hint="eastAsia" w:ascii="宋体" w:hAnsi="宋体" w:eastAsia="宋体" w:cs="宋体"/>
          <w:i w:val="0"/>
          <w:iCs w:val="0"/>
          <w:caps w:val="0"/>
          <w:color w:val="000000"/>
          <w:spacing w:val="0"/>
          <w:sz w:val="21"/>
          <w:szCs w:val="21"/>
          <w:lang w:eastAsia="zh-CN"/>
        </w:rPr>
      </w:pPr>
    </w:p>
    <w:p w14:paraId="04B8E6B2">
      <w:pPr>
        <w:pStyle w:val="4"/>
        <w:numPr>
          <w:ilvl w:val="0"/>
          <w:numId w:val="0"/>
        </w:numPr>
        <w:rPr>
          <w:rFonts w:hint="eastAsia" w:ascii="宋体" w:hAnsi="宋体" w:eastAsia="宋体" w:cs="宋体"/>
          <w:i w:val="0"/>
          <w:iCs w:val="0"/>
          <w:caps w:val="0"/>
          <w:color w:val="000000"/>
          <w:spacing w:val="0"/>
          <w:sz w:val="21"/>
          <w:szCs w:val="21"/>
          <w:lang w:eastAsia="zh-CN"/>
        </w:rPr>
      </w:pPr>
    </w:p>
    <w:p w14:paraId="37770D48">
      <w:pPr>
        <w:pStyle w:val="4"/>
        <w:numPr>
          <w:ilvl w:val="0"/>
          <w:numId w:val="0"/>
        </w:numPr>
        <w:rPr>
          <w:rFonts w:hint="eastAsia" w:ascii="宋体" w:hAnsi="宋体" w:eastAsia="宋体" w:cs="宋体"/>
          <w:i w:val="0"/>
          <w:iCs w:val="0"/>
          <w:caps w:val="0"/>
          <w:color w:val="000000"/>
          <w:spacing w:val="0"/>
          <w:sz w:val="21"/>
          <w:szCs w:val="21"/>
          <w:lang w:eastAsia="zh-CN"/>
        </w:rPr>
      </w:pPr>
    </w:p>
    <w:p w14:paraId="38A8FB91">
      <w:pPr>
        <w:pStyle w:val="4"/>
        <w:numPr>
          <w:ilvl w:val="0"/>
          <w:numId w:val="0"/>
        </w:numPr>
        <w:rPr>
          <w:rFonts w:hint="eastAsia" w:ascii="宋体" w:hAnsi="宋体" w:eastAsia="宋体" w:cs="宋体"/>
          <w:i w:val="0"/>
          <w:iCs w:val="0"/>
          <w:caps w:val="0"/>
          <w:color w:val="000000"/>
          <w:spacing w:val="0"/>
          <w:sz w:val="21"/>
          <w:szCs w:val="21"/>
          <w:lang w:eastAsia="zh-CN"/>
        </w:rPr>
      </w:pPr>
    </w:p>
    <w:p w14:paraId="777FC1EC">
      <w:pPr>
        <w:pStyle w:val="4"/>
        <w:numPr>
          <w:ilvl w:val="0"/>
          <w:numId w:val="0"/>
        </w:numPr>
        <w:rPr>
          <w:rFonts w:hint="eastAsia" w:ascii="宋体" w:hAnsi="宋体" w:eastAsia="宋体" w:cs="宋体"/>
          <w:i w:val="0"/>
          <w:iCs w:val="0"/>
          <w:caps w:val="0"/>
          <w:color w:val="000000"/>
          <w:spacing w:val="0"/>
          <w:sz w:val="21"/>
          <w:szCs w:val="21"/>
          <w:lang w:eastAsia="zh-CN"/>
        </w:rPr>
      </w:pPr>
    </w:p>
    <w:p w14:paraId="54F6AA07">
      <w:pPr>
        <w:pStyle w:val="4"/>
        <w:numPr>
          <w:ilvl w:val="0"/>
          <w:numId w:val="0"/>
        </w:numPr>
        <w:rPr>
          <w:rFonts w:hint="eastAsia" w:ascii="宋体" w:hAnsi="宋体" w:eastAsia="宋体" w:cs="宋体"/>
          <w:i w:val="0"/>
          <w:iCs w:val="0"/>
          <w:caps w:val="0"/>
          <w:color w:val="000000"/>
          <w:spacing w:val="0"/>
          <w:sz w:val="21"/>
          <w:szCs w:val="21"/>
          <w:lang w:eastAsia="zh-CN"/>
        </w:rPr>
      </w:pPr>
    </w:p>
    <w:p w14:paraId="5966DC4E">
      <w:pPr>
        <w:spacing w:before="257" w:line="219" w:lineRule="auto"/>
      </w:pPr>
      <w:r>
        <w:rPr>
          <w:rFonts w:hint="eastAsia" w:ascii="宋体" w:hAnsi="宋体" w:eastAsia="宋体" w:cs="宋体"/>
          <w:b/>
          <w:bCs/>
          <w:spacing w:val="-7"/>
          <w:sz w:val="30"/>
          <w:szCs w:val="30"/>
          <w:lang w:eastAsia="zh-CN"/>
        </w:rPr>
        <w:t>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77A9D5A4">
      <w:pPr>
        <w:keepNext w:val="0"/>
        <w:keepLines w:val="0"/>
        <w:pageBreakBefore w:val="0"/>
        <w:kinsoku/>
        <w:wordWrap/>
        <w:overflowPunct/>
        <w:topLinePunct w:val="0"/>
        <w:bidi w:val="0"/>
        <w:snapToGrid/>
        <w:spacing w:before="221" w:line="240" w:lineRule="exact"/>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p w14:paraId="20722D9B">
      <w:pPr>
        <w:keepNext w:val="0"/>
        <w:keepLines w:val="0"/>
        <w:pageBreakBefore w:val="0"/>
        <w:kinsoku/>
        <w:wordWrap/>
        <w:overflowPunct/>
        <w:topLinePunct w:val="0"/>
        <w:bidi w:val="0"/>
        <w:snapToGrid/>
        <w:spacing w:before="221" w:line="240" w:lineRule="exact"/>
        <w:ind w:left="426"/>
        <w:rPr>
          <w:rFonts w:ascii="宋体" w:hAnsi="宋体" w:eastAsia="宋体" w:cs="宋体"/>
          <w:spacing w:val="7"/>
          <w:sz w:val="20"/>
          <w:szCs w:val="20"/>
        </w:rPr>
      </w:pPr>
    </w:p>
    <w:tbl>
      <w:tblPr>
        <w:tblStyle w:val="13"/>
        <w:tblW w:w="500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93"/>
        <w:gridCol w:w="6066"/>
        <w:gridCol w:w="1737"/>
        <w:gridCol w:w="1705"/>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14F28E84">
            <w:pPr>
              <w:keepNext w:val="0"/>
              <w:keepLines w:val="0"/>
              <w:pageBreakBefore w:val="0"/>
              <w:kinsoku/>
              <w:wordWrap/>
              <w:overflowPunct/>
              <w:topLinePunct w:val="0"/>
              <w:bidi w:val="0"/>
              <w:snapToGrid/>
              <w:spacing w:before="65" w:line="240" w:lineRule="exact"/>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2943" w:type="pct"/>
            <w:vAlign w:val="center"/>
          </w:tcPr>
          <w:p w14:paraId="491D25F4">
            <w:pPr>
              <w:keepNext w:val="0"/>
              <w:keepLines w:val="0"/>
              <w:pageBreakBefore w:val="0"/>
              <w:kinsoku/>
              <w:wordWrap/>
              <w:overflowPunct/>
              <w:topLinePunct w:val="0"/>
              <w:bidi w:val="0"/>
              <w:snapToGrid/>
              <w:spacing w:before="65" w:line="240" w:lineRule="exact"/>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843" w:type="pct"/>
            <w:vAlign w:val="center"/>
          </w:tcPr>
          <w:p w14:paraId="3985CE07">
            <w:pPr>
              <w:keepNext w:val="0"/>
              <w:keepLines w:val="0"/>
              <w:pageBreakBefore w:val="0"/>
              <w:kinsoku/>
              <w:wordWrap/>
              <w:overflowPunct/>
              <w:topLinePunct w:val="0"/>
              <w:bidi w:val="0"/>
              <w:snapToGrid/>
              <w:spacing w:before="180" w:line="240" w:lineRule="exact"/>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827" w:type="pct"/>
            <w:vAlign w:val="center"/>
          </w:tcPr>
          <w:p w14:paraId="4E32AE5A">
            <w:pPr>
              <w:keepNext w:val="0"/>
              <w:keepLines w:val="0"/>
              <w:pageBreakBefore w:val="0"/>
              <w:kinsoku/>
              <w:wordWrap/>
              <w:overflowPunct/>
              <w:topLinePunct w:val="0"/>
              <w:bidi w:val="0"/>
              <w:snapToGrid/>
              <w:spacing w:before="65" w:line="240" w:lineRule="exact"/>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4BAAEB1A">
            <w:pPr>
              <w:keepNext w:val="0"/>
              <w:keepLines w:val="0"/>
              <w:pageBreakBefore w:val="0"/>
              <w:kinsoku/>
              <w:wordWrap/>
              <w:overflowPunct/>
              <w:topLinePunct w:val="0"/>
              <w:bidi w:val="0"/>
              <w:snapToGrid/>
              <w:spacing w:before="65" w:line="240" w:lineRule="exac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2943" w:type="pct"/>
            <w:vAlign w:val="center"/>
          </w:tcPr>
          <w:p w14:paraId="386ADC2A">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exact"/>
              <w:ind w:right="0"/>
              <w:jc w:val="left"/>
              <w:textAlignment w:val="baseline"/>
              <w:rPr>
                <w:rStyle w:val="11"/>
                <w:rFonts w:hint="eastAsia" w:ascii="宋体" w:hAnsi="宋体" w:eastAsia="宋体" w:cs="宋体"/>
                <w:i w:val="0"/>
                <w:iCs w:val="0"/>
                <w:caps w:val="0"/>
                <w:color w:val="000000"/>
                <w:spacing w:val="15"/>
                <w:sz w:val="21"/>
                <w:szCs w:val="21"/>
                <w:shd w:val="clear" w:fill="FFFFFF"/>
                <w:vertAlign w:val="baseline"/>
              </w:rPr>
            </w:pPr>
            <w:r>
              <w:rPr>
                <w:rStyle w:val="11"/>
                <w:rFonts w:hint="eastAsia" w:ascii="宋体" w:hAnsi="宋体" w:eastAsia="宋体" w:cs="宋体"/>
                <w:i w:val="0"/>
                <w:iCs w:val="0"/>
                <w:caps w:val="0"/>
                <w:color w:val="000000"/>
                <w:spacing w:val="15"/>
                <w:sz w:val="21"/>
                <w:szCs w:val="21"/>
                <w:shd w:val="clear" w:fill="FFFFFF"/>
                <w:vertAlign w:val="baseline"/>
              </w:rPr>
              <w:t>供应商的资格要求</w:t>
            </w:r>
          </w:p>
          <w:p w14:paraId="5CA889DF">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exact"/>
              <w:ind w:right="0"/>
              <w:jc w:val="left"/>
              <w:textAlignment w:val="baseline"/>
              <w:rPr>
                <w:rStyle w:val="11"/>
                <w:rFonts w:hint="eastAsia" w:ascii="宋体" w:hAnsi="宋体" w:eastAsia="宋体" w:cs="宋体"/>
                <w:b w:val="0"/>
                <w:bCs/>
                <w:i w:val="0"/>
                <w:iCs w:val="0"/>
                <w:caps w:val="0"/>
                <w:color w:val="000000"/>
                <w:spacing w:val="15"/>
                <w:sz w:val="21"/>
                <w:szCs w:val="21"/>
                <w:shd w:val="clear" w:fill="FFFFFF"/>
                <w:vertAlign w:val="baseline"/>
              </w:rPr>
            </w:pPr>
            <w:r>
              <w:rPr>
                <w:rStyle w:val="11"/>
                <w:rFonts w:hint="eastAsia" w:ascii="宋体" w:hAnsi="宋体" w:eastAsia="宋体" w:cs="宋体"/>
                <w:b w:val="0"/>
                <w:bCs/>
                <w:i w:val="0"/>
                <w:iCs w:val="0"/>
                <w:caps w:val="0"/>
                <w:color w:val="000000"/>
                <w:spacing w:val="15"/>
                <w:sz w:val="21"/>
                <w:szCs w:val="21"/>
                <w:shd w:val="clear" w:fill="FFFFFF"/>
                <w:vertAlign w:val="baseline"/>
              </w:rPr>
              <w:t>1.响应供应商必须是具有独立承担民事责任的能力：在中华人民共和国境内注册的法人或其他组织或自然人，投标（响应）时提交营业执照（或事业法人登记证或身份证等相关证明）复印件。如分支机构投标的，须提供总公司和分公司营业执照复印件，总公司出具给分支机构的授权书。</w:t>
            </w:r>
          </w:p>
          <w:p w14:paraId="0CFCE1EE">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exact"/>
              <w:ind w:right="0"/>
              <w:jc w:val="left"/>
              <w:textAlignment w:val="baseline"/>
              <w:rPr>
                <w:rStyle w:val="11"/>
                <w:rFonts w:hint="eastAsia" w:ascii="宋体" w:hAnsi="宋体" w:eastAsia="宋体" w:cs="宋体"/>
                <w:b w:val="0"/>
                <w:bCs/>
                <w:i w:val="0"/>
                <w:iCs w:val="0"/>
                <w:caps w:val="0"/>
                <w:color w:val="000000"/>
                <w:spacing w:val="15"/>
                <w:sz w:val="21"/>
                <w:szCs w:val="21"/>
                <w:shd w:val="clear" w:fill="FFFFFF"/>
                <w:vertAlign w:val="baseline"/>
              </w:rPr>
            </w:pPr>
            <w:r>
              <w:rPr>
                <w:rStyle w:val="11"/>
                <w:rFonts w:hint="eastAsia" w:ascii="宋体" w:hAnsi="宋体" w:eastAsia="宋体" w:cs="宋体"/>
                <w:b w:val="0"/>
                <w:bCs/>
                <w:i w:val="0"/>
                <w:iCs w:val="0"/>
                <w:caps w:val="0"/>
                <w:color w:val="000000"/>
                <w:spacing w:val="15"/>
                <w:sz w:val="21"/>
                <w:szCs w:val="21"/>
                <w:shd w:val="clear" w:fill="FFFFFF"/>
                <w:vertAlign w:val="baseline"/>
              </w:rPr>
              <w:t>2.响应供应商须具有效的且具备相关经营范围的营业执照及相关资质要求；</w:t>
            </w:r>
          </w:p>
          <w:p w14:paraId="5CCF0656">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exact"/>
              <w:ind w:right="0"/>
              <w:jc w:val="left"/>
              <w:textAlignment w:val="baseline"/>
              <w:rPr>
                <w:rStyle w:val="11"/>
                <w:rFonts w:hint="eastAsia" w:ascii="宋体" w:hAnsi="宋体" w:eastAsia="宋体" w:cs="宋体"/>
                <w:b w:val="0"/>
                <w:bCs/>
                <w:i w:val="0"/>
                <w:iCs w:val="0"/>
                <w:caps w:val="0"/>
                <w:color w:val="000000"/>
                <w:spacing w:val="15"/>
                <w:sz w:val="21"/>
                <w:szCs w:val="21"/>
                <w:shd w:val="clear" w:fill="FFFFFF"/>
                <w:vertAlign w:val="baseline"/>
              </w:rPr>
            </w:pPr>
            <w:r>
              <w:rPr>
                <w:rStyle w:val="11"/>
                <w:rFonts w:hint="eastAsia" w:ascii="宋体" w:hAnsi="宋体" w:eastAsia="宋体" w:cs="宋体"/>
                <w:b w:val="0"/>
                <w:bCs/>
                <w:i w:val="0"/>
                <w:iCs w:val="0"/>
                <w:caps w:val="0"/>
                <w:color w:val="000000"/>
                <w:spacing w:val="15"/>
                <w:sz w:val="21"/>
                <w:szCs w:val="21"/>
                <w:shd w:val="clear" w:fill="FFFFFF"/>
                <w:vertAlign w:val="baseline"/>
              </w:rPr>
              <w:t>3.响应供应商应具有项目的承接能力、合同的履约能力、售后供应能力和良好的信誉；</w:t>
            </w:r>
          </w:p>
          <w:p w14:paraId="11599AE0">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exact"/>
              <w:ind w:right="0"/>
              <w:jc w:val="left"/>
              <w:textAlignment w:val="baseline"/>
              <w:rPr>
                <w:rFonts w:hint="eastAsia" w:ascii="宋体" w:hAnsi="宋体" w:eastAsia="宋体" w:cs="宋体"/>
                <w:sz w:val="21"/>
                <w:szCs w:val="21"/>
              </w:rPr>
            </w:pPr>
            <w:r>
              <w:rPr>
                <w:rStyle w:val="11"/>
                <w:rFonts w:hint="eastAsia" w:ascii="宋体" w:hAnsi="宋体" w:eastAsia="宋体" w:cs="宋体"/>
                <w:b w:val="0"/>
                <w:bCs/>
                <w:i w:val="0"/>
                <w:iCs w:val="0"/>
                <w:caps w:val="0"/>
                <w:color w:val="000000"/>
                <w:spacing w:val="15"/>
                <w:sz w:val="21"/>
                <w:szCs w:val="21"/>
                <w:shd w:val="clear" w:fill="FFFFFF"/>
                <w:vertAlign w:val="baseline"/>
              </w:rPr>
              <w:t>4.响应供应商在参与公开招标活动中未有违法违纪行为并受过处罚，响应供应商无围标、串标行为。</w:t>
            </w:r>
          </w:p>
        </w:tc>
        <w:tc>
          <w:tcPr>
            <w:tcW w:w="843" w:type="pct"/>
            <w:vAlign w:val="center"/>
          </w:tcPr>
          <w:p w14:paraId="0D59DF74">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c>
          <w:tcPr>
            <w:tcW w:w="827" w:type="pct"/>
            <w:vAlign w:val="center"/>
          </w:tcPr>
          <w:p w14:paraId="414828D7">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4098D3DC">
            <w:pPr>
              <w:keepNext w:val="0"/>
              <w:keepLines w:val="0"/>
              <w:pageBreakBefore w:val="0"/>
              <w:kinsoku/>
              <w:wordWrap/>
              <w:overflowPunct/>
              <w:topLinePunct w:val="0"/>
              <w:bidi w:val="0"/>
              <w:snapToGrid/>
              <w:spacing w:before="65" w:line="24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2943" w:type="pct"/>
            <w:vAlign w:val="center"/>
          </w:tcPr>
          <w:p w14:paraId="61ED4D03">
            <w:pPr>
              <w:keepNext w:val="0"/>
              <w:keepLines w:val="0"/>
              <w:pageBreakBefore w:val="0"/>
              <w:widowControl w:val="0"/>
              <w:numPr>
                <w:ilvl w:val="0"/>
                <w:numId w:val="0"/>
              </w:numPr>
              <w:tabs>
                <w:tab w:val="left" w:pos="525"/>
                <w:tab w:val="left" w:pos="846"/>
                <w:tab w:val="left" w:pos="3398"/>
              </w:tabs>
              <w:kinsoku/>
              <w:wordWrap/>
              <w:overflowPunct/>
              <w:topLinePunct w:val="0"/>
              <w:autoSpaceDE w:val="0"/>
              <w:autoSpaceDN w:val="0"/>
              <w:bidi w:val="0"/>
              <w:adjustRightInd/>
              <w:snapToGrid/>
              <w:spacing w:before="156" w:line="240" w:lineRule="exact"/>
              <w:ind w:left="102" w:leftChars="0"/>
              <w:jc w:val="both"/>
              <w:textAlignment w:val="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服务要求</w:t>
            </w:r>
          </w:p>
          <w:p w14:paraId="1C7D8C89">
            <w:pPr>
              <w:pStyle w:val="5"/>
              <w:keepNext w:val="0"/>
              <w:keepLines w:val="0"/>
              <w:pageBreakBefore w:val="0"/>
              <w:widowControl w:val="0"/>
              <w:kinsoku/>
              <w:wordWrap/>
              <w:overflowPunct/>
              <w:topLinePunct w:val="0"/>
              <w:autoSpaceDE w:val="0"/>
              <w:autoSpaceDN w:val="0"/>
              <w:bidi w:val="0"/>
              <w:adjustRightInd w:val="0"/>
              <w:snapToGrid/>
              <w:spacing w:line="240" w:lineRule="exac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1.污水排放与处理设施概况：</w:t>
            </w:r>
          </w:p>
          <w:p w14:paraId="5B90E119">
            <w:pPr>
              <w:pStyle w:val="5"/>
              <w:keepNext w:val="0"/>
              <w:keepLines w:val="0"/>
              <w:pageBreakBefore w:val="0"/>
              <w:widowControl w:val="0"/>
              <w:kinsoku/>
              <w:wordWrap/>
              <w:overflowPunct/>
              <w:topLinePunct w:val="0"/>
              <w:autoSpaceDE w:val="0"/>
              <w:autoSpaceDN w:val="0"/>
              <w:bidi w:val="0"/>
              <w:adjustRightInd w:val="0"/>
              <w:snapToGrid/>
              <w:spacing w:line="240" w:lineRule="exac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（1）污水排放量最高120吨/日</w:t>
            </w:r>
          </w:p>
          <w:p w14:paraId="3DE7642A">
            <w:pPr>
              <w:pStyle w:val="5"/>
              <w:keepNext w:val="0"/>
              <w:keepLines w:val="0"/>
              <w:pageBreakBefore w:val="0"/>
              <w:widowControl w:val="0"/>
              <w:kinsoku/>
              <w:wordWrap/>
              <w:overflowPunct/>
              <w:topLinePunct w:val="0"/>
              <w:autoSpaceDE w:val="0"/>
              <w:autoSpaceDN w:val="0"/>
              <w:bidi w:val="0"/>
              <w:adjustRightInd w:val="0"/>
              <w:snapToGrid/>
              <w:spacing w:line="240" w:lineRule="exac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highlight w:val="none"/>
                <w:lang w:val="en-US" w:eastAsia="zh-CN" w:bidi="ar-SA"/>
              </w:rPr>
              <w:t>（2）</w:t>
            </w:r>
            <w:r>
              <w:rPr>
                <w:rFonts w:hint="eastAsia" w:ascii="宋体" w:hAnsi="宋体" w:eastAsia="宋体" w:cs="宋体"/>
                <w:color w:val="000000"/>
                <w:kern w:val="2"/>
                <w:sz w:val="21"/>
                <w:szCs w:val="21"/>
                <w:lang w:val="en-US" w:eastAsia="zh-CN" w:bidi="ar-SA"/>
              </w:rPr>
              <w:t>污水处理主要工艺：废水－格栅－调节沉淀池--消毒池－排入城市污水管网进入污水处理厂。</w:t>
            </w:r>
          </w:p>
          <w:p w14:paraId="65E2D3B6">
            <w:pPr>
              <w:pStyle w:val="5"/>
              <w:keepNext w:val="0"/>
              <w:keepLines w:val="0"/>
              <w:pageBreakBefore w:val="0"/>
              <w:widowControl w:val="0"/>
              <w:kinsoku/>
              <w:wordWrap/>
              <w:overflowPunct/>
              <w:topLinePunct w:val="0"/>
              <w:autoSpaceDE w:val="0"/>
              <w:autoSpaceDN w:val="0"/>
              <w:bidi w:val="0"/>
              <w:adjustRightInd w:val="0"/>
              <w:snapToGrid/>
              <w:spacing w:line="240" w:lineRule="exac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（3）污水排放执行标准：《医疗机构水污染物排放标准》(GB18466-2005)中表2预处理标准。</w:t>
            </w:r>
          </w:p>
          <w:p w14:paraId="08CE80D7">
            <w:pPr>
              <w:keepNext w:val="0"/>
              <w:keepLines w:val="0"/>
              <w:pageBreakBefore w:val="0"/>
              <w:widowControl w:val="0"/>
              <w:numPr>
                <w:ilvl w:val="0"/>
                <w:numId w:val="0"/>
              </w:numPr>
              <w:kinsoku/>
              <w:wordWrap/>
              <w:overflowPunct/>
              <w:topLinePunct w:val="0"/>
              <w:bidi w:val="0"/>
              <w:adjustRightInd/>
              <w:snapToGrid/>
              <w:spacing w:line="240" w:lineRule="exact"/>
              <w:jc w:val="both"/>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2.服务内容：</w:t>
            </w:r>
          </w:p>
          <w:p w14:paraId="70629B40">
            <w:pPr>
              <w:keepNext w:val="0"/>
              <w:keepLines w:val="0"/>
              <w:pageBreakBefore w:val="0"/>
              <w:widowControl w:val="0"/>
              <w:numPr>
                <w:ilvl w:val="0"/>
                <w:numId w:val="0"/>
              </w:numPr>
              <w:kinsoku/>
              <w:wordWrap/>
              <w:overflowPunct/>
              <w:topLinePunct w:val="0"/>
              <w:bidi w:val="0"/>
              <w:adjustRightInd/>
              <w:snapToGrid/>
              <w:spacing w:line="240" w:lineRule="exact"/>
              <w:jc w:val="both"/>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（1）人工格栅：每天清捞栅渣，并运送至采购人指定存放点。</w:t>
            </w:r>
          </w:p>
          <w:p w14:paraId="74A30CB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（2）污水提升泵：由液位计控制水泵起停；每2个小时检查运行情况一次，并做好巡检记录；每个月进行例行检查、发现故障及时上报采购人主管部门。</w:t>
            </w:r>
          </w:p>
          <w:p w14:paraId="280D6906">
            <w:pPr>
              <w:keepNext w:val="0"/>
              <w:keepLines w:val="0"/>
              <w:pageBreakBefore w:val="0"/>
              <w:widowControl w:val="0"/>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（3）液位控制器：经常检查水池液位情况，确保液位计运行正常，做好检查记录；每周检查一次液位控制器的灵活性，做好检查记录。</w:t>
            </w:r>
          </w:p>
          <w:p w14:paraId="79344AEA">
            <w:pPr>
              <w:keepNext w:val="0"/>
              <w:keepLines w:val="0"/>
              <w:pageBreakBefore w:val="0"/>
              <w:widowControl w:val="0"/>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控制电柜：每月检查各电气元件的完好性与可用性，做好检查记录；检查主接触器、热继电器、过电流继电器等联锁保护装置完整性、灵敏性和准确性，做好检查记录，如有发现故障及时上报采购人主管部门。</w:t>
            </w:r>
          </w:p>
          <w:p w14:paraId="1E97D902">
            <w:pPr>
              <w:keepNext w:val="0"/>
              <w:keepLines w:val="0"/>
              <w:pageBreakBefore w:val="0"/>
              <w:widowControl w:val="0"/>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5）做好投放药剂的安全管理工作，每2小时巡查一次（双人双锁），非管理人员不得进入污水处理站，操作期间禁止闲人进入；做好药剂使用用量登记及数据统计；每小时巡查投药设备运行是否正常，药剂是否满足要求，做好巡查记录；</w:t>
            </w:r>
          </w:p>
          <w:p w14:paraId="246614E5">
            <w:pPr>
              <w:keepNext w:val="0"/>
              <w:keepLines w:val="0"/>
              <w:pageBreakBefore w:val="0"/>
              <w:widowControl w:val="0"/>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每个月进行例行检查，发现故障及时上报采购人主管部门。</w:t>
            </w:r>
          </w:p>
          <w:p w14:paraId="1B558EB1">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（6）</w:t>
            </w:r>
            <w:r>
              <w:rPr>
                <w:rFonts w:hint="eastAsia" w:ascii="宋体" w:hAnsi="宋体" w:eastAsia="宋体" w:cs="宋体"/>
                <w:color w:val="000000"/>
                <w:sz w:val="21"/>
                <w:szCs w:val="21"/>
                <w:lang w:val="en-US" w:eastAsia="zh-CN"/>
              </w:rPr>
              <w:t>在线监测设备：流量计、数采仪设备的正常运行，不准时进行校准；数据上传平台出现故障，需配合采购人进行设备的维护，数据的补录补传。</w:t>
            </w:r>
          </w:p>
          <w:p w14:paraId="7130A7A6">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（7）</w:t>
            </w:r>
            <w:r>
              <w:rPr>
                <w:rFonts w:hint="eastAsia" w:ascii="宋体" w:hAnsi="宋体" w:eastAsia="宋体" w:cs="宋体"/>
                <w:color w:val="000000"/>
                <w:sz w:val="21"/>
                <w:szCs w:val="21"/>
                <w:lang w:val="en-US" w:eastAsia="zh-CN"/>
              </w:rPr>
              <w:t>水样监测：按照采购人行业的国家有关排污许可证执行报告规范，编写或修改自行监测方案，该方案需镇生态环境局审核通过自行监测平台备案，由成交供应商按照采购人自行监测方案定期抽取水样检测，成交供应商可自行检测或送检具有相关资质的检测机构进行检测要求。按时出具CMA或CNAS标识的检测报告电子版及纸质版检测报告，且检测结果不得超过国家排污许可证上的标准限值，检测或送检所产生费用由成交供应商承担，采购人不再另行支付费用。</w:t>
            </w:r>
          </w:p>
          <w:p w14:paraId="5FF5A390">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（8）</w:t>
            </w:r>
            <w:r>
              <w:rPr>
                <w:rFonts w:hint="eastAsia" w:ascii="宋体" w:hAnsi="宋体" w:eastAsia="宋体" w:cs="宋体"/>
                <w:color w:val="000000"/>
                <w:sz w:val="21"/>
                <w:szCs w:val="21"/>
                <w:lang w:val="en-US" w:eastAsia="zh-CN"/>
              </w:rPr>
              <w:t>全国排污许可证管理信息平台：排污证月度、季度、年度执行报告及台账、自行监测等各项数据上报。</w:t>
            </w:r>
          </w:p>
          <w:p w14:paraId="3589E9C4">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（9）</w:t>
            </w:r>
            <w:r>
              <w:rPr>
                <w:rFonts w:hint="eastAsia" w:ascii="宋体" w:hAnsi="宋体" w:eastAsia="宋体" w:cs="宋体"/>
                <w:color w:val="000000"/>
                <w:sz w:val="21"/>
                <w:szCs w:val="21"/>
                <w:lang w:val="en-US" w:eastAsia="zh-CN"/>
              </w:rPr>
              <w:t>其它：保持污水处理站区内卫生、整洁，定期打扫；定期检查和紧固各种设备连接件；负责对药剂仓库进行巡查、管理；每周对污水管理和处置进行自查、分析，形成自查报告；每月检查设备类型、编号、就位状况与记录情况一致；协助采购人参与上级相关部门的检查；负责污水处理突发应急事件的统筹处理；熟悉掌握医院污水排放要求政策，及时与采购人沟通调整；参与采购人会议及时跟踪处理污水站问题；制定内部应急预案；负责污水站人员的技术培训；负责建立健全规范的管理档案、设备运行档案、设备维保档案；配合采购人迎接相关环保部门的检查或工作内容。</w:t>
            </w:r>
          </w:p>
          <w:p w14:paraId="5A690EA4">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exact"/>
              <w:ind w:left="0" w:leftChars="0" w:right="0" w:rightChars="0"/>
              <w:jc w:val="left"/>
              <w:textAlignment w:val="baseline"/>
              <w:rPr>
                <w:rFonts w:hint="eastAsia" w:ascii="宋体" w:hAnsi="宋体" w:eastAsia="宋体" w:cs="宋体"/>
                <w:sz w:val="21"/>
                <w:szCs w:val="21"/>
              </w:rPr>
            </w:pPr>
          </w:p>
        </w:tc>
        <w:tc>
          <w:tcPr>
            <w:tcW w:w="843" w:type="pct"/>
            <w:vAlign w:val="center"/>
          </w:tcPr>
          <w:p w14:paraId="27900034">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c>
          <w:tcPr>
            <w:tcW w:w="827" w:type="pct"/>
            <w:vAlign w:val="center"/>
          </w:tcPr>
          <w:p w14:paraId="7326CAC2">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r>
      <w:tr w14:paraId="3A015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329017F4">
            <w:pPr>
              <w:keepNext w:val="0"/>
              <w:keepLines w:val="0"/>
              <w:pageBreakBefore w:val="0"/>
              <w:kinsoku/>
              <w:wordWrap/>
              <w:overflowPunct/>
              <w:topLinePunct w:val="0"/>
              <w:bidi w:val="0"/>
              <w:snapToGrid/>
              <w:spacing w:before="65" w:line="24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2943" w:type="pct"/>
            <w:vAlign w:val="center"/>
          </w:tcPr>
          <w:p w14:paraId="2EB85256">
            <w:pPr>
              <w:keepNext w:val="0"/>
              <w:keepLines w:val="0"/>
              <w:pageBreakBefore w:val="0"/>
              <w:widowControl w:val="0"/>
              <w:numPr>
                <w:ilvl w:val="0"/>
                <w:numId w:val="1"/>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服务质量要求：</w:t>
            </w:r>
          </w:p>
          <w:p w14:paraId="22E515AD">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（1）</w:t>
            </w:r>
            <w:r>
              <w:rPr>
                <w:rFonts w:hint="eastAsia" w:ascii="宋体" w:hAnsi="宋体" w:eastAsia="宋体" w:cs="宋体"/>
                <w:color w:val="000000"/>
                <w:sz w:val="21"/>
                <w:szCs w:val="21"/>
                <w:lang w:val="en-US" w:eastAsia="zh-CN"/>
              </w:rPr>
              <w:t>成交供应商对服务时间内经污水站处理后排放的水质必须达标，排放水质要求达到《医疗机构水污染物排放标准》表2[综合医疗机构和其他医疗机构水污染物排放限值(日均值)]预处理标准。保证出水排放符合国家标准和环保要求，污水处理合格率 100%。</w:t>
            </w:r>
          </w:p>
          <w:p w14:paraId="056A2FFA">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（2）</w:t>
            </w:r>
            <w:r>
              <w:rPr>
                <w:rFonts w:hint="eastAsia" w:ascii="宋体" w:hAnsi="宋体" w:eastAsia="宋体" w:cs="宋体"/>
                <w:color w:val="000000"/>
                <w:sz w:val="21"/>
                <w:szCs w:val="21"/>
                <w:lang w:val="en-US" w:eastAsia="zh-CN"/>
              </w:rPr>
              <w:t>运营服务的时间为：全年365天（包含周六、日及国家规定节假日），每天8小时（8:00—12:00，14:00—18:00），污水处理驻场人数不少于1人。</w:t>
            </w:r>
          </w:p>
          <w:p w14:paraId="36C55044">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（3）</w:t>
            </w:r>
            <w:r>
              <w:rPr>
                <w:rFonts w:hint="eastAsia" w:ascii="宋体" w:hAnsi="宋体" w:eastAsia="宋体" w:cs="宋体"/>
                <w:color w:val="000000"/>
                <w:sz w:val="21"/>
                <w:szCs w:val="21"/>
                <w:lang w:val="en-US" w:eastAsia="zh-CN"/>
              </w:rPr>
              <w:t>成交供应商须次月上旬提交上一个月设备的运行、安全状况报告和检查记录，如有突发事故发生，自发生之日起两天内提供事件处理报告。</w:t>
            </w:r>
          </w:p>
          <w:p w14:paraId="23FB264D">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（4）</w:t>
            </w:r>
            <w:r>
              <w:rPr>
                <w:rFonts w:hint="eastAsia" w:ascii="宋体" w:hAnsi="宋体" w:eastAsia="宋体" w:cs="宋体"/>
                <w:color w:val="000000"/>
                <w:sz w:val="21"/>
                <w:szCs w:val="21"/>
                <w:lang w:val="en-US" w:eastAsia="zh-CN"/>
              </w:rPr>
              <w:t>在系统运作期间污水处理设施出现故障的，成交供应商应及时向采购人汇报，成交供应商需协助采购人检修，在24小时内恢复污水处理设施的正常运行。</w:t>
            </w:r>
          </w:p>
          <w:p w14:paraId="7FD5F79B">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（5）</w:t>
            </w:r>
            <w:r>
              <w:rPr>
                <w:rFonts w:hint="eastAsia" w:ascii="宋体" w:hAnsi="宋体" w:eastAsia="宋体" w:cs="宋体"/>
                <w:color w:val="000000"/>
                <w:sz w:val="21"/>
                <w:szCs w:val="21"/>
                <w:lang w:val="en-US" w:eastAsia="zh-CN"/>
              </w:rPr>
              <w:t>成交供应商需建立设备运行记录、用料记录、检验检测记录，定期严格按照闭环管理处理故障，并把处理情况反馈给采购人。</w:t>
            </w:r>
          </w:p>
          <w:p w14:paraId="10AAA2F4">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（6）</w:t>
            </w:r>
            <w:r>
              <w:rPr>
                <w:rFonts w:hint="eastAsia" w:ascii="宋体" w:hAnsi="宋体" w:eastAsia="宋体" w:cs="宋体"/>
                <w:color w:val="000000"/>
                <w:sz w:val="21"/>
                <w:szCs w:val="21"/>
                <w:lang w:val="en-US" w:eastAsia="zh-CN"/>
              </w:rPr>
              <w:t>在处理特殊事件和紧急、突发事故时，采购人有直接指挥权；对安全事故及重大故障，成交供应商必须按照重大故障上报机制执行，要把最新处理情况即时反馈给采购人，禁止隐瞒的行为。</w:t>
            </w:r>
          </w:p>
          <w:p w14:paraId="18D794DC">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（7）</w:t>
            </w:r>
            <w:r>
              <w:rPr>
                <w:rFonts w:hint="eastAsia" w:ascii="宋体" w:hAnsi="宋体" w:eastAsia="宋体" w:cs="宋体"/>
                <w:color w:val="000000"/>
                <w:sz w:val="21"/>
                <w:szCs w:val="21"/>
                <w:lang w:val="en-US" w:eastAsia="zh-CN"/>
              </w:rPr>
              <w:t>成交供应商每月10日前向采购人提交上一个月的运行记录、值班记录及检验检测记录等相关记录文件，原始记录交采购人保存；年终提交全年工作总结报告。</w:t>
            </w:r>
          </w:p>
          <w:p w14:paraId="763CF38B">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（8）</w:t>
            </w:r>
            <w:r>
              <w:rPr>
                <w:rFonts w:hint="eastAsia" w:ascii="宋体" w:hAnsi="宋体" w:eastAsia="宋体" w:cs="宋体"/>
                <w:color w:val="000000"/>
                <w:sz w:val="21"/>
                <w:szCs w:val="21"/>
                <w:lang w:val="en-US" w:eastAsia="zh-CN"/>
              </w:rPr>
              <w:t>成交供应商于月度结算时向采购人提交相关票据、资料等进行结算，如因成交供应商原因未及时提供相关票据资料造成结算延误，采购人不承担逾期付款责任。</w:t>
            </w:r>
          </w:p>
          <w:p w14:paraId="410391B7">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（9）</w:t>
            </w:r>
            <w:r>
              <w:rPr>
                <w:rFonts w:hint="eastAsia" w:ascii="宋体" w:hAnsi="宋体" w:eastAsia="宋体" w:cs="宋体"/>
                <w:color w:val="000000"/>
                <w:sz w:val="21"/>
                <w:szCs w:val="21"/>
                <w:lang w:val="en-US" w:eastAsia="zh-CN"/>
              </w:rPr>
              <w:t>成交供应商员工所需的防护用品如橡胶手套、口罩、眼罩、隔离帽、隔离服、检测仪器、检测试剂等由成交供应商自行负责。</w:t>
            </w:r>
          </w:p>
          <w:p w14:paraId="744DBCB7">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（10）</w:t>
            </w:r>
            <w:r>
              <w:rPr>
                <w:rFonts w:hint="eastAsia" w:ascii="宋体" w:hAnsi="宋体" w:eastAsia="宋体" w:cs="宋体"/>
                <w:color w:val="000000"/>
                <w:sz w:val="21"/>
                <w:szCs w:val="21"/>
                <w:lang w:val="en-US" w:eastAsia="zh-CN"/>
              </w:rPr>
              <w:t>成交供应商不得擅自闲置或人为损坏污水处理设施，并应做好设施围蔽、标识等工作。否则，采购人有权解除合同，由此造成的所有损失由成交供应商承担。</w:t>
            </w:r>
          </w:p>
          <w:p w14:paraId="6BFFED36">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（11）</w:t>
            </w:r>
            <w:r>
              <w:rPr>
                <w:rFonts w:hint="eastAsia" w:ascii="宋体" w:hAnsi="宋体" w:eastAsia="宋体" w:cs="宋体"/>
                <w:color w:val="000000"/>
                <w:sz w:val="21"/>
                <w:szCs w:val="21"/>
                <w:lang w:val="en-US" w:eastAsia="zh-CN"/>
              </w:rPr>
              <w:t>成交供应商驻守的工作人员应遵守采购人的各项规章制度及疫情防控要求，服从指挥，配合现有污水运营公司的管理及采购人的工作要求对污水处理站进行统一运作，积极响应采购人的疫情防控措施，接受采购人的质量监督和检查。</w:t>
            </w:r>
          </w:p>
          <w:p w14:paraId="279F9B3A">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（12）</w:t>
            </w:r>
            <w:r>
              <w:rPr>
                <w:rFonts w:hint="eastAsia" w:ascii="宋体" w:hAnsi="宋体" w:eastAsia="宋体" w:cs="宋体"/>
                <w:color w:val="000000"/>
                <w:sz w:val="21"/>
                <w:szCs w:val="21"/>
                <w:lang w:val="en-US" w:eastAsia="zh-CN"/>
              </w:rPr>
              <w:t>提供24小时响应服务。如非正常上班时间遇临时性或突发性的工作，应在接到采购人通知1小时内到达现场处理，到场后2小时内处理完毕。如无法处理完毕的，应向采购人及时说明原因。</w:t>
            </w:r>
          </w:p>
          <w:p w14:paraId="6B2B5537">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（13）</w:t>
            </w:r>
            <w:r>
              <w:rPr>
                <w:rFonts w:hint="eastAsia" w:ascii="宋体" w:hAnsi="宋体" w:eastAsia="宋体" w:cs="宋体"/>
                <w:color w:val="000000"/>
                <w:sz w:val="21"/>
                <w:szCs w:val="21"/>
                <w:lang w:val="en-US" w:eastAsia="zh-CN"/>
              </w:rPr>
              <w:t>因成交供应商责任造成工作人员、采购人及第三方的设备设施、财产损坏或人身损害的，由成交供应商负责对损坏的设备恢复原状并承担所造成的所有责任及赔偿。</w:t>
            </w:r>
          </w:p>
          <w:p w14:paraId="557C8112">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（14）</w:t>
            </w:r>
            <w:r>
              <w:rPr>
                <w:rFonts w:hint="eastAsia" w:ascii="宋体" w:hAnsi="宋体" w:eastAsia="宋体" w:cs="宋体"/>
                <w:color w:val="000000"/>
                <w:sz w:val="21"/>
                <w:szCs w:val="21"/>
                <w:lang w:val="en-US" w:eastAsia="zh-CN"/>
              </w:rPr>
              <w:t>成交供应商员工发生的投诉、纠纷和法律事件，由成交供应商承担。若因成交供应商管理不善、控制不力而发生罢工等重大事件且造成严重影响的，采购人则有权扣罚该月总服务费的10～30%，及采购人有权根据具体情况单方终止合同。</w:t>
            </w:r>
          </w:p>
          <w:p w14:paraId="0017E8FF">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kern w:val="2"/>
                <w:sz w:val="21"/>
                <w:szCs w:val="21"/>
                <w:lang w:val="en-US" w:eastAsia="zh-CN" w:bidi="ar-SA"/>
              </w:rPr>
              <w:t>（15）</w:t>
            </w:r>
            <w:r>
              <w:rPr>
                <w:rFonts w:hint="eastAsia" w:ascii="宋体" w:hAnsi="宋体" w:eastAsia="宋体" w:cs="宋体"/>
                <w:color w:val="000000"/>
                <w:sz w:val="21"/>
                <w:szCs w:val="21"/>
                <w:lang w:val="en-US" w:eastAsia="zh-CN"/>
              </w:rPr>
              <w:t>服务到期时，成交供应商应将运营管理的所有原始资料交给采购人保管，不得私自损毁。</w:t>
            </w:r>
          </w:p>
          <w:p w14:paraId="22BBD4A9">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exact"/>
              <w:ind w:left="0" w:leftChars="0" w:right="0" w:rightChars="0"/>
              <w:jc w:val="left"/>
              <w:textAlignment w:val="baseline"/>
              <w:rPr>
                <w:rFonts w:hint="eastAsia" w:ascii="宋体" w:hAnsi="宋体" w:eastAsia="宋体" w:cs="宋体"/>
                <w:b w:val="0"/>
                <w:bCs w:val="0"/>
                <w:sz w:val="21"/>
                <w:szCs w:val="21"/>
                <w:lang w:val="en-US" w:eastAsia="zh-CN"/>
              </w:rPr>
            </w:pPr>
            <w:r>
              <w:rPr>
                <w:rFonts w:hint="eastAsia" w:ascii="宋体" w:hAnsi="宋体" w:eastAsia="宋体" w:cs="宋体"/>
                <w:color w:val="000000"/>
                <w:kern w:val="2"/>
                <w:sz w:val="21"/>
                <w:szCs w:val="21"/>
                <w:lang w:val="en-US" w:eastAsia="zh-CN" w:bidi="ar-SA"/>
              </w:rPr>
              <w:t>（16）</w:t>
            </w:r>
            <w:r>
              <w:rPr>
                <w:rFonts w:hint="eastAsia" w:ascii="宋体" w:hAnsi="宋体" w:eastAsia="宋体" w:cs="宋体"/>
                <w:color w:val="000000"/>
                <w:sz w:val="21"/>
                <w:szCs w:val="21"/>
                <w:lang w:val="en-US" w:eastAsia="zh-CN"/>
              </w:rPr>
              <w:t>污水处理站内设备、管道存在维修，成交供应商提供500元以下的维修配件由成交供应商提供（合同签订时由成交供应商提供配件清单），超过500元以上的配件由采购人自行采购。</w:t>
            </w:r>
          </w:p>
        </w:tc>
        <w:tc>
          <w:tcPr>
            <w:tcW w:w="843" w:type="pct"/>
            <w:vAlign w:val="center"/>
          </w:tcPr>
          <w:p w14:paraId="41626F82">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c>
          <w:tcPr>
            <w:tcW w:w="827" w:type="pct"/>
            <w:vAlign w:val="center"/>
          </w:tcPr>
          <w:p w14:paraId="03D77C60">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r>
      <w:tr w14:paraId="59AC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5F60DF14">
            <w:pPr>
              <w:keepNext w:val="0"/>
              <w:keepLines w:val="0"/>
              <w:pageBreakBefore w:val="0"/>
              <w:kinsoku/>
              <w:wordWrap/>
              <w:overflowPunct/>
              <w:topLinePunct w:val="0"/>
              <w:bidi w:val="0"/>
              <w:snapToGrid/>
              <w:spacing w:before="65" w:line="24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2943" w:type="pct"/>
            <w:vAlign w:val="center"/>
          </w:tcPr>
          <w:p w14:paraId="4EB8CC5B">
            <w:pPr>
              <w:keepNext w:val="0"/>
              <w:keepLines w:val="0"/>
              <w:pageBreakBefore w:val="0"/>
              <w:widowControl w:val="0"/>
              <w:numPr>
                <w:ilvl w:val="0"/>
                <w:numId w:val="1"/>
              </w:numPr>
              <w:kinsoku/>
              <w:wordWrap/>
              <w:overflowPunct/>
              <w:topLinePunct w:val="0"/>
              <w:bidi w:val="0"/>
              <w:adjustRightInd/>
              <w:snapToGrid/>
              <w:spacing w:line="240" w:lineRule="exact"/>
              <w:ind w:left="0" w:leftChars="0" w:firstLine="0" w:firstLine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人员配置要求：</w:t>
            </w:r>
          </w:p>
          <w:p w14:paraId="5E1CEF7C">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（1）运营人员要求：项目负责人1人；驻场人员要求污水处理工1人。</w:t>
            </w:r>
          </w:p>
          <w:p w14:paraId="70F611F2">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成交供应商应委派固定的驻场人员并持《污水处理工职业资格证书》或《工业废水处理工职业资格证书》上岗驻场负责采购人的污水处理站运营管理工作，委派的工作人员应具有初中及以上文化，年龄≤45岁。服务合同签订后7个工作日内成交供应商必须将公司的资质证书复印件、运营人员和驻场人员上岗证复印件交给采购人存档备案；如果遇到驻场人员无法解决的问题时，成交供应商应尽一切能力为本项目提供技术和设备支持。</w:t>
            </w:r>
          </w:p>
          <w:p w14:paraId="1E408B3F">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成交供应商委派的运营人员和驻场人员应服务态度好，品行良好，身体健康并能胜任岗位的工作，无传染性疾病、无违法犯罪记录。（员工入职前成交供应商应将人员名单提交给当地派出所核查，核查无犯罪记录后方可入职，否则所造成的一切后果及责任由成交供应商承担）。</w:t>
            </w:r>
          </w:p>
          <w:p w14:paraId="3794E9F5">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成交供应商应确保人员的稳定性，经采购人认可的工作人员不得随意频繁更换，如因成交供应商原因需更换的，需提前7个工作日向采购人提出书面更换申请并经采购人同意后方可进行更换，且不得影响维保服务工作的正常开展。</w:t>
            </w:r>
          </w:p>
          <w:p w14:paraId="3D0E77F5">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不能胜任的工作人员应及时更换。如果成交供应商委派的运营人员和驻场人员不符合要求（有事实依据证明不能胜任该岗位）的，采购人有权要求成交供应商更换人员至合格为止。成交供应商接到采购人书面换人通知后，应在1周内更换合格的人员到位且更换人员资格不低于投标时所投入人员要求，逾期不更换或更换的人员仍不符合要求的，成交供应商有权扣减该月的服务费，直至合格人员到位为止。</w:t>
            </w:r>
          </w:p>
          <w:p w14:paraId="3386C501">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（6）因成交供应商的工作人员不稳定导致运营管理服务质量不达标时，采购人有权根据质量考评结果对当月服务费进行扣罚。</w:t>
            </w:r>
          </w:p>
          <w:p w14:paraId="2739FCBC">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（7）成交供应商需按国家法律、法规的相关规定，为指派在采购人处工作的员工办理劳动用工手续，并承担保险、工资、劳保福利及其它一切费用，因违法用工造成的法律后果全部由成交供应商承担。</w:t>
            </w:r>
          </w:p>
          <w:p w14:paraId="34B1E8EB">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8）成交供应商应切实加强现场管理，并接受采购人的监督管理，确保服务到位。成交供应商确保在采购人单位内的作业符合国家和地方的安全作业规范，并负责工作人员的人身意外险及其它意外风险。由于成交供应商原因造成安全事故的发生，一切责任及损失由成交供应商负责。</w:t>
            </w:r>
          </w:p>
          <w:p w14:paraId="3F43FF2A">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（9）成交供应商按规定进行有序的运营管理工作，并保证所有指派到采购人处工作的人员均经过至少2天岗前培训。成交供应商应定期委派总公司运营人员到采购人运营场所进行驻场人员的指导及培训。</w:t>
            </w:r>
          </w:p>
          <w:p w14:paraId="0040FBEC">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5.专业能力要求：</w:t>
            </w:r>
          </w:p>
          <w:p w14:paraId="454FB0EE">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响应供应商在响应报价文件中需提供近三年内同类项目业绩相关证明文件。</w:t>
            </w:r>
          </w:p>
          <w:p w14:paraId="7F0C1C91">
            <w:pPr>
              <w:keepNext w:val="0"/>
              <w:keepLines w:val="0"/>
              <w:pageBreakBefore w:val="0"/>
              <w:widowControl w:val="0"/>
              <w:numPr>
                <w:ilvl w:val="0"/>
                <w:numId w:val="0"/>
              </w:numPr>
              <w:kinsoku/>
              <w:wordWrap/>
              <w:overflowPunct/>
              <w:topLinePunct w:val="0"/>
              <w:bidi w:val="0"/>
              <w:adjustRightInd/>
              <w:snapToGrid/>
              <w:spacing w:line="240" w:lineRule="exact"/>
              <w:ind w:leftChars="0"/>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6.保密要求:</w:t>
            </w:r>
          </w:p>
          <w:p w14:paraId="6C6E623A">
            <w:pPr>
              <w:keepNext w:val="0"/>
              <w:keepLines w:val="0"/>
              <w:pageBreakBefore w:val="0"/>
              <w:numPr>
                <w:ilvl w:val="0"/>
                <w:numId w:val="0"/>
              </w:numPr>
              <w:kinsoku/>
              <w:wordWrap/>
              <w:overflowPunct/>
              <w:topLinePunct w:val="0"/>
              <w:bidi w:val="0"/>
              <w:snapToGrid/>
              <w:spacing w:line="240" w:lineRule="exact"/>
              <w:ind w:left="0" w:leftChars="0" w:firstLine="0" w:firstLineChars="0"/>
              <w:jc w:val="left"/>
              <w:rPr>
                <w:rFonts w:hint="eastAsia" w:ascii="宋体" w:hAnsi="宋体" w:eastAsia="宋体" w:cs="宋体"/>
                <w:sz w:val="21"/>
                <w:szCs w:val="21"/>
                <w:lang w:val="en-US" w:eastAsia="zh-CN"/>
              </w:rPr>
            </w:pPr>
            <w:r>
              <w:rPr>
                <w:rFonts w:hint="eastAsia" w:ascii="宋体" w:hAnsi="宋体" w:eastAsia="宋体" w:cs="宋体"/>
                <w:color w:val="000000"/>
                <w:kern w:val="2"/>
                <w:sz w:val="21"/>
                <w:szCs w:val="21"/>
                <w:lang w:val="en-US" w:eastAsia="zh-CN" w:bidi="ar-SA"/>
              </w:rPr>
              <w:t>本次服务的所有需求资料、过程资料成果资料所有权均属于采购人。中选单位应对所有资料进行保密，不可用于除本项目之外的其他项目。若发现中选单位未经过采购人允许，将成果用于除本项目之外的其他项目,则采购人可追究中选单位相关法律责任。</w:t>
            </w:r>
          </w:p>
        </w:tc>
        <w:tc>
          <w:tcPr>
            <w:tcW w:w="843" w:type="pct"/>
            <w:vAlign w:val="center"/>
          </w:tcPr>
          <w:p w14:paraId="0A74B89D">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c>
          <w:tcPr>
            <w:tcW w:w="827" w:type="pct"/>
            <w:vAlign w:val="center"/>
          </w:tcPr>
          <w:p w14:paraId="521DB8CF">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r>
      <w:tr w14:paraId="2CDBE6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1A460662">
            <w:pPr>
              <w:keepNext w:val="0"/>
              <w:keepLines w:val="0"/>
              <w:pageBreakBefore w:val="0"/>
              <w:kinsoku/>
              <w:wordWrap/>
              <w:overflowPunct/>
              <w:topLinePunct w:val="0"/>
              <w:bidi w:val="0"/>
              <w:snapToGrid/>
              <w:spacing w:before="65" w:line="24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2943" w:type="pct"/>
            <w:vAlign w:val="center"/>
          </w:tcPr>
          <w:p w14:paraId="751DDA02">
            <w:pPr>
              <w:pStyle w:val="4"/>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服务质量监管</w:t>
            </w:r>
          </w:p>
          <w:p w14:paraId="1D9A5125">
            <w:pPr>
              <w:pStyle w:val="4"/>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1.由采购人每个月对成交供应商的服务质量进行监督考核（详见附表一《污水处理站运营管理服务质量考评表》），考核结果与当月的服务费挂钩，成交供应商应积极配合采购人的监督和考评，不得以任何理由拒绝或阻挠采购人的考核。</w:t>
            </w:r>
          </w:p>
          <w:p w14:paraId="2835BB8D">
            <w:pPr>
              <w:pStyle w:val="4"/>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2.考评要求：考评总分为100分，考评分按实际考评得分计算。考核结果≥90分的为合格；考核结果为80-89分的，成交供应商应对存在的问题限时整改，同一问题连续出现两次的，采购人有权对成交供应商按100元/分进行扣罚；考核结果为70-79分的，采购人有权对成交供应商按200元/分进行扣罚，如果成交供应商连续2个季度服务质量低于75分或因成交供应商的责任发生安全事件且造成严重后果的，采购人有权拒绝支付服务费且单方提前终止合同，并继续追究成交供应商相关责任。</w:t>
            </w:r>
          </w:p>
          <w:p w14:paraId="044061F4">
            <w:pPr>
              <w:pStyle w:val="4"/>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3.如果成交供应商未按要求落实运营管理服务工作，存在弄虚作假行为的，采购人有权进行相应的扣罚：第一次发现扣罚100元，第二次发现2倍扣罚（扣罚金额200元），第三次发现3倍扣罚（扣罚金额300元），以此类推。</w:t>
            </w:r>
          </w:p>
          <w:p w14:paraId="3EE21848">
            <w:pPr>
              <w:pStyle w:val="4"/>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4.成交供应商拟投入的人员变更未通知、人员上岗时间与实际不相符等情况，未书面提前通知采购人的，采购人有权进行相应的扣罚：第一次发现扣罚100元，第二次发现2倍扣罚（扣罚金额200元），第三次发现3倍扣罚（扣罚金额300元），以此类推。</w:t>
            </w:r>
          </w:p>
          <w:p w14:paraId="0F25E158">
            <w:pPr>
              <w:pStyle w:val="4"/>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val="0"/>
                <w:bCs w:val="0"/>
                <w:color w:val="000000"/>
                <w:kern w:val="2"/>
                <w:sz w:val="21"/>
                <w:szCs w:val="21"/>
                <w:lang w:val="en-US" w:eastAsia="zh-CN" w:bidi="ar-SA"/>
              </w:rPr>
            </w:pPr>
            <w:r>
              <w:rPr>
                <w:rFonts w:hint="eastAsia" w:ascii="宋体" w:hAnsi="宋体" w:eastAsia="宋体" w:cs="宋体"/>
                <w:b w:val="0"/>
                <w:bCs w:val="0"/>
                <w:color w:val="000000"/>
                <w:kern w:val="2"/>
                <w:sz w:val="21"/>
                <w:szCs w:val="21"/>
                <w:lang w:val="en-US" w:eastAsia="zh-CN" w:bidi="ar-SA"/>
              </w:rPr>
              <w:t>5.因成交供应商责任导致的环保罚款、滞纳金、整改费用，由成交供应商自行承担。</w:t>
            </w:r>
          </w:p>
          <w:p w14:paraId="0BA7B145">
            <w:pPr>
              <w:keepNext w:val="0"/>
              <w:keepLines w:val="0"/>
              <w:pageBreakBefore w:val="0"/>
              <w:numPr>
                <w:ilvl w:val="0"/>
                <w:numId w:val="0"/>
              </w:numPr>
              <w:kinsoku/>
              <w:wordWrap/>
              <w:overflowPunct/>
              <w:topLinePunct w:val="0"/>
              <w:bidi w:val="0"/>
              <w:snapToGrid/>
              <w:spacing w:line="240" w:lineRule="exact"/>
              <w:ind w:left="0" w:leftChars="0" w:firstLine="0" w:firstLineChars="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6.如因成交供应商原因所导致的一切安全事故、责任和后果由成交供应商自行承担，采购人保留追究成交供应商责任的权利。</w:t>
            </w:r>
          </w:p>
        </w:tc>
        <w:tc>
          <w:tcPr>
            <w:tcW w:w="843" w:type="pct"/>
            <w:vAlign w:val="center"/>
          </w:tcPr>
          <w:p w14:paraId="7577AFC4">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c>
          <w:tcPr>
            <w:tcW w:w="827" w:type="pct"/>
            <w:vAlign w:val="center"/>
          </w:tcPr>
          <w:p w14:paraId="120F6887">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r>
      <w:tr w14:paraId="772B2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466302CC">
            <w:pPr>
              <w:keepNext w:val="0"/>
              <w:keepLines w:val="0"/>
              <w:pageBreakBefore w:val="0"/>
              <w:kinsoku/>
              <w:wordWrap/>
              <w:overflowPunct/>
              <w:topLinePunct w:val="0"/>
              <w:bidi w:val="0"/>
              <w:snapToGrid/>
              <w:spacing w:before="65" w:line="24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2943" w:type="pct"/>
            <w:vAlign w:val="center"/>
          </w:tcPr>
          <w:p w14:paraId="1AC6EC3A">
            <w:pPr>
              <w:keepNext w:val="0"/>
              <w:keepLines w:val="0"/>
              <w:pageBreakBefore w:val="0"/>
              <w:widowControl w:val="0"/>
              <w:kinsoku/>
              <w:wordWrap/>
              <w:overflowPunct/>
              <w:topLinePunct w:val="0"/>
              <w:bidi w:val="0"/>
              <w:snapToGrid/>
              <w:spacing w:line="240" w:lineRule="exact"/>
              <w:textAlignment w:val="auto"/>
              <w:outlineLvl w:val="1"/>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投标</w:t>
            </w:r>
            <w:r>
              <w:rPr>
                <w:rFonts w:hint="eastAsia" w:ascii="宋体" w:hAnsi="宋体" w:eastAsia="宋体" w:cs="宋体"/>
                <w:b/>
                <w:sz w:val="21"/>
                <w:szCs w:val="21"/>
                <w:highlight w:val="none"/>
              </w:rPr>
              <w:t>报价要求</w:t>
            </w:r>
          </w:p>
          <w:p w14:paraId="02BF4BEA">
            <w:pPr>
              <w:keepNext w:val="0"/>
              <w:keepLines w:val="0"/>
              <w:pageBreakBefore w:val="0"/>
              <w:widowControl w:val="0"/>
              <w:kinsoku/>
              <w:wordWrap/>
              <w:overflowPunct/>
              <w:topLinePunct w:val="0"/>
              <w:bidi w:val="0"/>
              <w:adjustRightInd/>
              <w:snapToGrid/>
              <w:spacing w:line="240" w:lineRule="exact"/>
              <w:textAlignment w:val="auto"/>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 xml:space="preserve">1.报价为含税费报价，该报价包括：污水处理站排放水质监测试剂试纸费用；派驻人员工资、福利、服装、通信工具、交通工具、 社保、医疗、待业保障、工伤保险、各节假日和特殊工作任务加班费用、劳保费、应急演练费；完成该项目所需工具、设备、管理费、税费；不可预见费等费用。 </w:t>
            </w:r>
          </w:p>
          <w:p w14:paraId="2415D9DA">
            <w:pPr>
              <w:keepNext w:val="0"/>
              <w:keepLines w:val="0"/>
              <w:pageBreakBefore w:val="0"/>
              <w:numPr>
                <w:ilvl w:val="0"/>
                <w:numId w:val="0"/>
              </w:numPr>
              <w:kinsoku/>
              <w:wordWrap/>
              <w:overflowPunct/>
              <w:topLinePunct w:val="0"/>
              <w:bidi w:val="0"/>
              <w:snapToGrid/>
              <w:spacing w:line="240" w:lineRule="exact"/>
              <w:ind w:left="0" w:leftChars="0" w:firstLine="0" w:firstLineChars="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供应商报价应包括标的服务内容、配套设施、税费、运费、保险费、仓储费、安装调试、培训、质保等的全部费用，在项目实施过程中出现报价内容的任何遗漏，均由成交供应商负责相关费用，采购人将不再支付任何费用。</w:t>
            </w:r>
          </w:p>
        </w:tc>
        <w:tc>
          <w:tcPr>
            <w:tcW w:w="843" w:type="pct"/>
            <w:vAlign w:val="center"/>
          </w:tcPr>
          <w:p w14:paraId="0DD43F04">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c>
          <w:tcPr>
            <w:tcW w:w="827" w:type="pct"/>
            <w:vAlign w:val="center"/>
          </w:tcPr>
          <w:p w14:paraId="3AB7FC68">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r>
      <w:tr w14:paraId="1B812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385" w:type="pct"/>
            <w:vAlign w:val="center"/>
          </w:tcPr>
          <w:p w14:paraId="4AEEE388">
            <w:pPr>
              <w:keepNext w:val="0"/>
              <w:keepLines w:val="0"/>
              <w:pageBreakBefore w:val="0"/>
              <w:kinsoku/>
              <w:wordWrap/>
              <w:overflowPunct/>
              <w:topLinePunct w:val="0"/>
              <w:bidi w:val="0"/>
              <w:snapToGrid/>
              <w:spacing w:before="65" w:line="24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7</w:t>
            </w:r>
          </w:p>
        </w:tc>
        <w:tc>
          <w:tcPr>
            <w:tcW w:w="2943" w:type="pct"/>
            <w:vAlign w:val="center"/>
          </w:tcPr>
          <w:p w14:paraId="798E6A38">
            <w:pPr>
              <w:keepNext w:val="0"/>
              <w:keepLines w:val="0"/>
              <w:pageBreakBefore w:val="0"/>
              <w:widowControl w:val="0"/>
              <w:kinsoku/>
              <w:wordWrap/>
              <w:overflowPunct/>
              <w:topLinePunct w:val="0"/>
              <w:bidi w:val="0"/>
              <w:adjustRightInd/>
              <w:snapToGrid/>
              <w:spacing w:line="240" w:lineRule="exact"/>
              <w:textAlignment w:val="auto"/>
              <w:rPr>
                <w:rFonts w:hint="eastAsia" w:ascii="宋体" w:hAnsi="宋体" w:eastAsia="宋体" w:cs="宋体"/>
                <w:b/>
                <w:color w:val="000000"/>
                <w:sz w:val="21"/>
                <w:szCs w:val="21"/>
              </w:rPr>
            </w:pPr>
            <w:r>
              <w:rPr>
                <w:rFonts w:hint="eastAsia" w:ascii="宋体" w:hAnsi="宋体" w:eastAsia="宋体" w:cs="宋体"/>
                <w:b/>
                <w:color w:val="000000"/>
                <w:sz w:val="21"/>
                <w:szCs w:val="21"/>
              </w:rPr>
              <w:t>付款方式</w:t>
            </w:r>
          </w:p>
          <w:p w14:paraId="5476F432">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highlight w:val="none"/>
                <w:lang w:val="en-US" w:eastAsia="zh-CN"/>
              </w:rPr>
              <w:t>1.成交供应商每季度结算，</w:t>
            </w:r>
            <w:r>
              <w:rPr>
                <w:rFonts w:hint="eastAsia" w:ascii="宋体" w:hAnsi="宋体" w:eastAsia="宋体" w:cs="宋体"/>
                <w:color w:val="000000"/>
                <w:sz w:val="21"/>
                <w:szCs w:val="21"/>
                <w:lang w:val="en-US" w:eastAsia="zh-CN"/>
              </w:rPr>
              <w:t>成交供应商交付巡检记录、检测报告、季度考核合格证明、有效全额增值税普通发票（含税），采购人在收到发票并审核无误后60个工作日内付款给成交供应商。</w:t>
            </w:r>
          </w:p>
          <w:p w14:paraId="5762CCC2">
            <w:pPr>
              <w:keepNext w:val="0"/>
              <w:keepLines w:val="0"/>
              <w:pageBreakBefore w:val="0"/>
              <w:widowControl w:val="0"/>
              <w:numPr>
                <w:ilvl w:val="0"/>
                <w:numId w:val="0"/>
              </w:numPr>
              <w:kinsoku/>
              <w:wordWrap/>
              <w:overflowPunct/>
              <w:topLinePunct w:val="0"/>
              <w:bidi w:val="0"/>
              <w:adjustRightInd/>
              <w:snapToGrid/>
              <w:spacing w:line="240" w:lineRule="exac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2.特别说明：合同约定的付款期限，遵守《保障中小企业款项支付条例》的规定。如成交供应商为中小企业，付款期限最长不超过60日。</w:t>
            </w:r>
          </w:p>
          <w:p w14:paraId="4BB7D92D">
            <w:pPr>
              <w:keepNext w:val="0"/>
              <w:keepLines w:val="0"/>
              <w:pageBreakBefore w:val="0"/>
              <w:numPr>
                <w:ilvl w:val="0"/>
                <w:numId w:val="0"/>
              </w:numPr>
              <w:kinsoku/>
              <w:wordWrap/>
              <w:overflowPunct/>
              <w:topLinePunct w:val="0"/>
              <w:bidi w:val="0"/>
              <w:snapToGrid/>
              <w:spacing w:line="240" w:lineRule="exact"/>
              <w:ind w:left="0" w:leftChars="0" w:firstLine="0" w:firstLineChars="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sz w:val="21"/>
                <w:szCs w:val="21"/>
                <w:lang w:val="en-US" w:eastAsia="zh-CN"/>
              </w:rPr>
              <w:t>3.成交供应商须开具与响应文件中报价人名称、响应报价一致的有效全额增值税普通发票。</w:t>
            </w:r>
          </w:p>
        </w:tc>
        <w:tc>
          <w:tcPr>
            <w:tcW w:w="843" w:type="pct"/>
            <w:vAlign w:val="center"/>
          </w:tcPr>
          <w:p w14:paraId="52C3A5F7">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c>
          <w:tcPr>
            <w:tcW w:w="827" w:type="pct"/>
            <w:vAlign w:val="center"/>
          </w:tcPr>
          <w:p w14:paraId="4A0CC38D">
            <w:pPr>
              <w:pStyle w:val="14"/>
              <w:keepNext w:val="0"/>
              <w:keepLines w:val="0"/>
              <w:pageBreakBefore w:val="0"/>
              <w:kinsoku/>
              <w:wordWrap/>
              <w:overflowPunct/>
              <w:topLinePunct w:val="0"/>
              <w:bidi w:val="0"/>
              <w:snapToGrid/>
              <w:spacing w:line="240" w:lineRule="exact"/>
              <w:jc w:val="center"/>
              <w:rPr>
                <w:rFonts w:hint="eastAsia" w:ascii="宋体" w:hAnsi="宋体" w:eastAsia="宋体" w:cs="宋体"/>
                <w:sz w:val="21"/>
                <w:szCs w:val="21"/>
              </w:rPr>
            </w:pPr>
          </w:p>
        </w:tc>
      </w:tr>
    </w:tbl>
    <w:p w14:paraId="58157D27">
      <w:pPr>
        <w:pStyle w:val="4"/>
        <w:numPr>
          <w:ilvl w:val="0"/>
          <w:numId w:val="0"/>
        </w:numPr>
        <w:rPr>
          <w:rFonts w:hint="eastAsia" w:cs="宋体"/>
          <w:i w:val="0"/>
          <w:iCs w:val="0"/>
          <w:caps w:val="0"/>
          <w:color w:val="000000"/>
          <w:spacing w:val="0"/>
          <w:sz w:val="21"/>
          <w:szCs w:val="21"/>
          <w:lang w:eastAsia="zh-CN"/>
        </w:rPr>
      </w:pPr>
    </w:p>
    <w:p w14:paraId="347074B6">
      <w:pPr>
        <w:numPr>
          <w:ilvl w:val="0"/>
          <w:numId w:val="0"/>
        </w:numPr>
        <w:jc w:val="left"/>
        <w:rPr>
          <w:rFonts w:hint="eastAsia" w:ascii="宋体" w:hAnsi="宋体" w:eastAsia="宋体" w:cs="宋体"/>
          <w:b/>
          <w:bCs/>
          <w:snapToGrid w:val="0"/>
          <w:color w:val="000000"/>
          <w:spacing w:val="-2"/>
          <w:kern w:val="2"/>
          <w:sz w:val="32"/>
          <w:szCs w:val="32"/>
          <w:highlight w:val="none"/>
          <w:lang w:val="en-US" w:eastAsia="zh-CN" w:bidi="ar"/>
        </w:rPr>
      </w:pPr>
      <w:r>
        <w:rPr>
          <w:rFonts w:hint="eastAsia" w:ascii="宋体" w:hAnsi="宋体" w:eastAsia="宋体" w:cs="宋体"/>
          <w:b/>
          <w:bCs/>
          <w:snapToGrid w:val="0"/>
          <w:color w:val="000000"/>
          <w:spacing w:val="-2"/>
          <w:kern w:val="2"/>
          <w:sz w:val="32"/>
          <w:szCs w:val="32"/>
          <w:highlight w:val="none"/>
          <w:lang w:val="en-US" w:eastAsia="zh-CN" w:bidi="ar"/>
        </w:rPr>
        <w:t>如有项目需求补充请下面提出建议</w:t>
      </w:r>
    </w:p>
    <w:p w14:paraId="4C7E5F88">
      <w:pPr>
        <w:numPr>
          <w:ilvl w:val="0"/>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1...</w:t>
      </w:r>
    </w:p>
    <w:p w14:paraId="3DF1D185">
      <w:pPr>
        <w:numPr>
          <w:ilvl w:val="0"/>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2...</w:t>
      </w:r>
    </w:p>
    <w:p w14:paraId="0C5D9847">
      <w:pPr>
        <w:numPr>
          <w:ilvl w:val="0"/>
          <w:numId w:val="0"/>
        </w:numPr>
        <w:jc w:val="left"/>
        <w:rPr>
          <w:rFonts w:hint="default"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3...</w:t>
      </w:r>
    </w:p>
    <w:p w14:paraId="2313DEFE">
      <w:pPr>
        <w:pStyle w:val="4"/>
        <w:numPr>
          <w:ilvl w:val="0"/>
          <w:numId w:val="0"/>
        </w:numPr>
        <w:rPr>
          <w:rFonts w:hint="eastAsia" w:cs="宋体"/>
          <w:i w:val="0"/>
          <w:iCs w:val="0"/>
          <w:caps w:val="0"/>
          <w:color w:val="000000"/>
          <w:spacing w:val="0"/>
          <w:sz w:val="21"/>
          <w:szCs w:val="21"/>
          <w:lang w:eastAsia="zh-CN"/>
        </w:rPr>
      </w:pPr>
    </w:p>
    <w:p w14:paraId="746C3739">
      <w:pPr>
        <w:pStyle w:val="4"/>
        <w:numPr>
          <w:ilvl w:val="0"/>
          <w:numId w:val="0"/>
        </w:numPr>
        <w:rPr>
          <w:rFonts w:hint="eastAsia" w:cs="宋体"/>
          <w:i w:val="0"/>
          <w:iCs w:val="0"/>
          <w:caps w:val="0"/>
          <w:color w:val="000000"/>
          <w:spacing w:val="0"/>
          <w:sz w:val="21"/>
          <w:szCs w:val="21"/>
          <w:lang w:eastAsia="zh-CN"/>
        </w:rPr>
      </w:pPr>
    </w:p>
    <w:p w14:paraId="438AC2D3">
      <w:pPr>
        <w:pStyle w:val="4"/>
        <w:numPr>
          <w:ilvl w:val="0"/>
          <w:numId w:val="0"/>
        </w:numPr>
        <w:rPr>
          <w:rFonts w:hint="eastAsia" w:cs="宋体"/>
          <w:i w:val="0"/>
          <w:iCs w:val="0"/>
          <w:caps w:val="0"/>
          <w:color w:val="000000"/>
          <w:spacing w:val="0"/>
          <w:sz w:val="21"/>
          <w:szCs w:val="21"/>
          <w:lang w:eastAsia="zh-CN"/>
        </w:rPr>
      </w:pPr>
    </w:p>
    <w:p w14:paraId="1A25E886">
      <w:pPr>
        <w:pStyle w:val="4"/>
        <w:numPr>
          <w:ilvl w:val="0"/>
          <w:numId w:val="0"/>
        </w:numPr>
        <w:rPr>
          <w:rFonts w:hint="eastAsia" w:cs="宋体"/>
          <w:i w:val="0"/>
          <w:iCs w:val="0"/>
          <w:caps w:val="0"/>
          <w:color w:val="000000"/>
          <w:spacing w:val="0"/>
          <w:sz w:val="21"/>
          <w:szCs w:val="21"/>
          <w:lang w:eastAsia="zh-CN"/>
        </w:rPr>
      </w:pPr>
    </w:p>
    <w:p w14:paraId="17254CA5">
      <w:pPr>
        <w:pStyle w:val="4"/>
        <w:numPr>
          <w:ilvl w:val="0"/>
          <w:numId w:val="0"/>
        </w:numPr>
        <w:rPr>
          <w:rFonts w:hint="eastAsia" w:cs="宋体"/>
          <w:i w:val="0"/>
          <w:iCs w:val="0"/>
          <w:caps w:val="0"/>
          <w:color w:val="000000"/>
          <w:spacing w:val="0"/>
          <w:sz w:val="21"/>
          <w:szCs w:val="21"/>
          <w:lang w:eastAsia="zh-CN"/>
        </w:rPr>
      </w:pPr>
    </w:p>
    <w:p w14:paraId="7DB9B1E3">
      <w:pPr>
        <w:pStyle w:val="4"/>
        <w:numPr>
          <w:ilvl w:val="0"/>
          <w:numId w:val="0"/>
        </w:numPr>
        <w:rPr>
          <w:rFonts w:hint="eastAsia" w:cs="宋体"/>
          <w:i w:val="0"/>
          <w:iCs w:val="0"/>
          <w:caps w:val="0"/>
          <w:color w:val="000000"/>
          <w:spacing w:val="0"/>
          <w:sz w:val="21"/>
          <w:szCs w:val="21"/>
          <w:lang w:eastAsia="zh-CN"/>
        </w:rPr>
      </w:pPr>
    </w:p>
    <w:p w14:paraId="1929E088">
      <w:pPr>
        <w:pStyle w:val="4"/>
        <w:numPr>
          <w:ilvl w:val="0"/>
          <w:numId w:val="0"/>
        </w:numPr>
        <w:rPr>
          <w:rFonts w:hint="eastAsia" w:cs="宋体"/>
          <w:i w:val="0"/>
          <w:iCs w:val="0"/>
          <w:caps w:val="0"/>
          <w:color w:val="000000"/>
          <w:spacing w:val="0"/>
          <w:sz w:val="21"/>
          <w:szCs w:val="21"/>
          <w:lang w:eastAsia="zh-CN"/>
        </w:rPr>
      </w:pPr>
    </w:p>
    <w:p w14:paraId="2387FAC9">
      <w:pPr>
        <w:pStyle w:val="4"/>
        <w:numPr>
          <w:ilvl w:val="0"/>
          <w:numId w:val="0"/>
        </w:numPr>
        <w:rPr>
          <w:rFonts w:hint="eastAsia" w:cs="宋体"/>
          <w:i w:val="0"/>
          <w:iCs w:val="0"/>
          <w:caps w:val="0"/>
          <w:color w:val="000000"/>
          <w:spacing w:val="0"/>
          <w:sz w:val="21"/>
          <w:szCs w:val="21"/>
          <w:lang w:eastAsia="zh-CN"/>
        </w:rPr>
      </w:pPr>
    </w:p>
    <w:p w14:paraId="79275097">
      <w:pPr>
        <w:pStyle w:val="4"/>
        <w:numPr>
          <w:ilvl w:val="0"/>
          <w:numId w:val="0"/>
        </w:numPr>
        <w:rPr>
          <w:rFonts w:hint="eastAsia" w:cs="宋体"/>
          <w:i w:val="0"/>
          <w:iCs w:val="0"/>
          <w:caps w:val="0"/>
          <w:color w:val="000000"/>
          <w:spacing w:val="0"/>
          <w:sz w:val="21"/>
          <w:szCs w:val="21"/>
          <w:lang w:eastAsia="zh-CN"/>
        </w:rPr>
      </w:pPr>
    </w:p>
    <w:p w14:paraId="3F7A9D16">
      <w:pPr>
        <w:pStyle w:val="4"/>
        <w:numPr>
          <w:ilvl w:val="0"/>
          <w:numId w:val="0"/>
        </w:numPr>
        <w:rPr>
          <w:rFonts w:hint="eastAsia" w:cs="宋体"/>
          <w:i w:val="0"/>
          <w:iCs w:val="0"/>
          <w:caps w:val="0"/>
          <w:color w:val="000000"/>
          <w:spacing w:val="0"/>
          <w:sz w:val="21"/>
          <w:szCs w:val="21"/>
          <w:lang w:eastAsia="zh-CN"/>
        </w:rPr>
      </w:pPr>
    </w:p>
    <w:p w14:paraId="2D1EF751">
      <w:pPr>
        <w:pStyle w:val="4"/>
        <w:numPr>
          <w:ilvl w:val="0"/>
          <w:numId w:val="0"/>
        </w:numPr>
        <w:rPr>
          <w:rFonts w:hint="eastAsia" w:cs="宋体"/>
          <w:i w:val="0"/>
          <w:iCs w:val="0"/>
          <w:caps w:val="0"/>
          <w:color w:val="000000"/>
          <w:spacing w:val="0"/>
          <w:sz w:val="21"/>
          <w:szCs w:val="21"/>
          <w:lang w:eastAsia="zh-CN"/>
        </w:rPr>
      </w:pPr>
    </w:p>
    <w:p w14:paraId="580303DD">
      <w:pPr>
        <w:pStyle w:val="4"/>
        <w:numPr>
          <w:ilvl w:val="0"/>
          <w:numId w:val="0"/>
        </w:numPr>
        <w:rPr>
          <w:rFonts w:hint="eastAsia" w:cs="宋体"/>
          <w:i w:val="0"/>
          <w:iCs w:val="0"/>
          <w:caps w:val="0"/>
          <w:color w:val="000000"/>
          <w:spacing w:val="0"/>
          <w:sz w:val="21"/>
          <w:szCs w:val="21"/>
          <w:lang w:eastAsia="zh-CN"/>
        </w:rPr>
      </w:pPr>
    </w:p>
    <w:p w14:paraId="3B3BDE55">
      <w:pPr>
        <w:pStyle w:val="4"/>
        <w:numPr>
          <w:ilvl w:val="0"/>
          <w:numId w:val="0"/>
        </w:numPr>
        <w:rPr>
          <w:rFonts w:hint="eastAsia" w:cs="宋体"/>
          <w:i w:val="0"/>
          <w:iCs w:val="0"/>
          <w:caps w:val="0"/>
          <w:color w:val="000000"/>
          <w:spacing w:val="0"/>
          <w:sz w:val="21"/>
          <w:szCs w:val="21"/>
          <w:lang w:eastAsia="zh-CN"/>
        </w:rPr>
      </w:pPr>
    </w:p>
    <w:p w14:paraId="769A3DE6">
      <w:pPr>
        <w:pStyle w:val="4"/>
        <w:numPr>
          <w:ilvl w:val="0"/>
          <w:numId w:val="0"/>
        </w:numPr>
        <w:rPr>
          <w:rFonts w:hint="eastAsia" w:cs="宋体"/>
          <w:i w:val="0"/>
          <w:iCs w:val="0"/>
          <w:caps w:val="0"/>
          <w:color w:val="000000"/>
          <w:spacing w:val="0"/>
          <w:sz w:val="21"/>
          <w:szCs w:val="21"/>
          <w:lang w:eastAsia="zh-CN"/>
        </w:rPr>
      </w:pPr>
    </w:p>
    <w:p w14:paraId="44E66400">
      <w:pPr>
        <w:pStyle w:val="4"/>
        <w:numPr>
          <w:ilvl w:val="0"/>
          <w:numId w:val="0"/>
        </w:numPr>
        <w:rPr>
          <w:rFonts w:hint="eastAsia" w:cs="宋体"/>
          <w:i w:val="0"/>
          <w:iCs w:val="0"/>
          <w:caps w:val="0"/>
          <w:color w:val="000000"/>
          <w:spacing w:val="0"/>
          <w:sz w:val="21"/>
          <w:szCs w:val="21"/>
          <w:lang w:eastAsia="zh-CN"/>
        </w:rPr>
      </w:pPr>
    </w:p>
    <w:p w14:paraId="4189DCCD">
      <w:pPr>
        <w:pStyle w:val="4"/>
        <w:numPr>
          <w:ilvl w:val="0"/>
          <w:numId w:val="0"/>
        </w:numPr>
        <w:rPr>
          <w:rFonts w:hint="eastAsia" w:cs="宋体"/>
          <w:i w:val="0"/>
          <w:iCs w:val="0"/>
          <w:caps w:val="0"/>
          <w:color w:val="000000"/>
          <w:spacing w:val="0"/>
          <w:sz w:val="21"/>
          <w:szCs w:val="21"/>
          <w:lang w:eastAsia="zh-CN"/>
        </w:rPr>
      </w:pPr>
    </w:p>
    <w:p w14:paraId="2298EF67">
      <w:pPr>
        <w:pStyle w:val="4"/>
        <w:numPr>
          <w:ilvl w:val="0"/>
          <w:numId w:val="0"/>
        </w:numPr>
        <w:rPr>
          <w:rFonts w:hint="eastAsia" w:cs="宋体"/>
          <w:i w:val="0"/>
          <w:iCs w:val="0"/>
          <w:caps w:val="0"/>
          <w:color w:val="000000"/>
          <w:spacing w:val="0"/>
          <w:sz w:val="21"/>
          <w:szCs w:val="21"/>
          <w:lang w:eastAsia="zh-CN"/>
        </w:rPr>
      </w:pPr>
    </w:p>
    <w:p w14:paraId="72256DC6">
      <w:pPr>
        <w:pStyle w:val="4"/>
        <w:numPr>
          <w:ilvl w:val="0"/>
          <w:numId w:val="0"/>
        </w:numPr>
        <w:rPr>
          <w:rFonts w:hint="eastAsia" w:cs="宋体"/>
          <w:i w:val="0"/>
          <w:iCs w:val="0"/>
          <w:caps w:val="0"/>
          <w:color w:val="000000"/>
          <w:spacing w:val="0"/>
          <w:sz w:val="21"/>
          <w:szCs w:val="21"/>
          <w:lang w:eastAsia="zh-CN"/>
        </w:rPr>
      </w:pPr>
    </w:p>
    <w:p w14:paraId="1D4BB11B">
      <w:pPr>
        <w:pStyle w:val="4"/>
        <w:numPr>
          <w:ilvl w:val="0"/>
          <w:numId w:val="0"/>
        </w:numPr>
        <w:rPr>
          <w:rFonts w:hint="eastAsia" w:cs="宋体"/>
          <w:i w:val="0"/>
          <w:iCs w:val="0"/>
          <w:caps w:val="0"/>
          <w:color w:val="000000"/>
          <w:spacing w:val="0"/>
          <w:sz w:val="21"/>
          <w:szCs w:val="21"/>
          <w:lang w:eastAsia="zh-CN"/>
        </w:rPr>
      </w:pPr>
    </w:p>
    <w:p w14:paraId="4605A7F1">
      <w:pPr>
        <w:pStyle w:val="4"/>
        <w:numPr>
          <w:ilvl w:val="0"/>
          <w:numId w:val="0"/>
        </w:numPr>
        <w:rPr>
          <w:rFonts w:hint="eastAsia" w:cs="宋体"/>
          <w:i w:val="0"/>
          <w:iCs w:val="0"/>
          <w:caps w:val="0"/>
          <w:color w:val="000000"/>
          <w:spacing w:val="0"/>
          <w:sz w:val="21"/>
          <w:szCs w:val="21"/>
          <w:lang w:eastAsia="zh-CN"/>
        </w:rPr>
      </w:pPr>
    </w:p>
    <w:p w14:paraId="3E949119">
      <w:pPr>
        <w:pStyle w:val="4"/>
        <w:numPr>
          <w:ilvl w:val="0"/>
          <w:numId w:val="0"/>
        </w:numPr>
        <w:rPr>
          <w:rFonts w:hint="eastAsia" w:cs="宋体"/>
          <w:i w:val="0"/>
          <w:iCs w:val="0"/>
          <w:caps w:val="0"/>
          <w:color w:val="000000"/>
          <w:spacing w:val="0"/>
          <w:sz w:val="21"/>
          <w:szCs w:val="21"/>
          <w:lang w:eastAsia="zh-CN"/>
        </w:rPr>
      </w:pPr>
      <w:r>
        <w:rPr>
          <w:rFonts w:hint="eastAsia" w:cs="宋体"/>
          <w:i w:val="0"/>
          <w:iCs w:val="0"/>
          <w:caps w:val="0"/>
          <w:color w:val="000000"/>
          <w:spacing w:val="0"/>
          <w:sz w:val="21"/>
          <w:szCs w:val="21"/>
          <w:lang w:eastAsia="zh-CN"/>
        </w:rPr>
        <w:t>项目服务方案（自拟）：</w:t>
      </w:r>
    </w:p>
    <w:p w14:paraId="0D5FE06C">
      <w:pPr>
        <w:pStyle w:val="4"/>
        <w:numPr>
          <w:ilvl w:val="0"/>
          <w:numId w:val="0"/>
        </w:numPr>
        <w:rPr>
          <w:rFonts w:hint="eastAsia" w:cs="宋体"/>
          <w:i w:val="0"/>
          <w:iCs w:val="0"/>
          <w:caps w:val="0"/>
          <w:color w:val="000000"/>
          <w:spacing w:val="0"/>
          <w:sz w:val="21"/>
          <w:szCs w:val="21"/>
          <w:lang w:eastAsia="zh-CN"/>
        </w:rPr>
      </w:pPr>
    </w:p>
    <w:p w14:paraId="1D1F339A">
      <w:pPr>
        <w:pStyle w:val="4"/>
        <w:numPr>
          <w:ilvl w:val="0"/>
          <w:numId w:val="0"/>
        </w:numPr>
        <w:rPr>
          <w:rFonts w:hint="eastAsia" w:cs="宋体"/>
          <w:i w:val="0"/>
          <w:iCs w:val="0"/>
          <w:caps w:val="0"/>
          <w:color w:val="000000"/>
          <w:spacing w:val="0"/>
          <w:sz w:val="21"/>
          <w:szCs w:val="21"/>
          <w:lang w:eastAsia="zh-CN"/>
        </w:rPr>
      </w:pPr>
    </w:p>
    <w:p w14:paraId="7814F690">
      <w:pPr>
        <w:pStyle w:val="4"/>
        <w:numPr>
          <w:ilvl w:val="0"/>
          <w:numId w:val="0"/>
        </w:numPr>
        <w:rPr>
          <w:rFonts w:hint="eastAsia" w:cs="宋体"/>
          <w:i w:val="0"/>
          <w:iCs w:val="0"/>
          <w:caps w:val="0"/>
          <w:color w:val="000000"/>
          <w:spacing w:val="0"/>
          <w:sz w:val="21"/>
          <w:szCs w:val="21"/>
          <w:lang w:eastAsia="zh-CN"/>
        </w:rPr>
      </w:pPr>
    </w:p>
    <w:p w14:paraId="7620775C">
      <w:pPr>
        <w:pStyle w:val="4"/>
        <w:numPr>
          <w:ilvl w:val="0"/>
          <w:numId w:val="0"/>
        </w:numPr>
        <w:rPr>
          <w:rFonts w:hint="eastAsia" w:cs="宋体"/>
          <w:i w:val="0"/>
          <w:iCs w:val="0"/>
          <w:caps w:val="0"/>
          <w:color w:val="000000"/>
          <w:spacing w:val="0"/>
          <w:sz w:val="21"/>
          <w:szCs w:val="21"/>
          <w:lang w:eastAsia="zh-CN"/>
        </w:rPr>
      </w:pPr>
    </w:p>
    <w:p w14:paraId="55E1EFAA">
      <w:pPr>
        <w:pStyle w:val="4"/>
        <w:numPr>
          <w:ilvl w:val="0"/>
          <w:numId w:val="0"/>
        </w:numPr>
        <w:rPr>
          <w:rFonts w:hint="eastAsia" w:cs="宋体"/>
          <w:i w:val="0"/>
          <w:iCs w:val="0"/>
          <w:caps w:val="0"/>
          <w:color w:val="000000"/>
          <w:spacing w:val="0"/>
          <w:sz w:val="21"/>
          <w:szCs w:val="21"/>
          <w:lang w:eastAsia="zh-CN"/>
        </w:rPr>
      </w:pPr>
    </w:p>
    <w:p w14:paraId="2C56BC60">
      <w:pPr>
        <w:pStyle w:val="4"/>
        <w:numPr>
          <w:ilvl w:val="0"/>
          <w:numId w:val="0"/>
        </w:numPr>
        <w:rPr>
          <w:rFonts w:hint="eastAsia" w:cs="宋体"/>
          <w:i w:val="0"/>
          <w:iCs w:val="0"/>
          <w:caps w:val="0"/>
          <w:color w:val="000000"/>
          <w:spacing w:val="0"/>
          <w:sz w:val="21"/>
          <w:szCs w:val="21"/>
          <w:lang w:eastAsia="zh-CN"/>
        </w:rPr>
      </w:pPr>
    </w:p>
    <w:p w14:paraId="2797CE63">
      <w:pPr>
        <w:pStyle w:val="4"/>
        <w:numPr>
          <w:ilvl w:val="0"/>
          <w:numId w:val="0"/>
        </w:numPr>
        <w:rPr>
          <w:rFonts w:hint="eastAsia" w:cs="宋体"/>
          <w:i w:val="0"/>
          <w:iCs w:val="0"/>
          <w:caps w:val="0"/>
          <w:color w:val="000000"/>
          <w:spacing w:val="0"/>
          <w:sz w:val="21"/>
          <w:szCs w:val="21"/>
          <w:lang w:eastAsia="zh-CN"/>
        </w:rPr>
      </w:pPr>
    </w:p>
    <w:p w14:paraId="15095FDB">
      <w:pPr>
        <w:pStyle w:val="4"/>
        <w:numPr>
          <w:ilvl w:val="0"/>
          <w:numId w:val="0"/>
        </w:numPr>
        <w:rPr>
          <w:rFonts w:hint="eastAsia" w:cs="宋体"/>
          <w:i w:val="0"/>
          <w:iCs w:val="0"/>
          <w:caps w:val="0"/>
          <w:color w:val="000000"/>
          <w:spacing w:val="0"/>
          <w:sz w:val="21"/>
          <w:szCs w:val="21"/>
          <w:lang w:eastAsia="zh-CN"/>
        </w:rPr>
      </w:pPr>
    </w:p>
    <w:p w14:paraId="6FD53D2C">
      <w:pPr>
        <w:pStyle w:val="4"/>
        <w:numPr>
          <w:ilvl w:val="0"/>
          <w:numId w:val="0"/>
        </w:numPr>
        <w:rPr>
          <w:rFonts w:hint="eastAsia" w:cs="宋体"/>
          <w:i w:val="0"/>
          <w:iCs w:val="0"/>
          <w:caps w:val="0"/>
          <w:color w:val="000000"/>
          <w:spacing w:val="0"/>
          <w:sz w:val="21"/>
          <w:szCs w:val="21"/>
          <w:lang w:eastAsia="zh-CN"/>
        </w:rPr>
      </w:pPr>
    </w:p>
    <w:p w14:paraId="3B9FC8BB">
      <w:pPr>
        <w:pStyle w:val="4"/>
        <w:numPr>
          <w:ilvl w:val="0"/>
          <w:numId w:val="0"/>
        </w:numPr>
        <w:rPr>
          <w:rFonts w:hint="eastAsia" w:cs="宋体"/>
          <w:i w:val="0"/>
          <w:iCs w:val="0"/>
          <w:caps w:val="0"/>
          <w:color w:val="000000"/>
          <w:spacing w:val="0"/>
          <w:sz w:val="21"/>
          <w:szCs w:val="21"/>
          <w:lang w:eastAsia="zh-CN"/>
        </w:rPr>
      </w:pPr>
    </w:p>
    <w:p w14:paraId="3FC45371">
      <w:pPr>
        <w:pStyle w:val="4"/>
        <w:numPr>
          <w:ilvl w:val="0"/>
          <w:numId w:val="0"/>
        </w:numPr>
        <w:rPr>
          <w:rFonts w:hint="eastAsia" w:cs="宋体"/>
          <w:i w:val="0"/>
          <w:iCs w:val="0"/>
          <w:caps w:val="0"/>
          <w:color w:val="000000"/>
          <w:spacing w:val="0"/>
          <w:sz w:val="21"/>
          <w:szCs w:val="21"/>
          <w:lang w:eastAsia="zh-CN"/>
        </w:rPr>
      </w:pPr>
    </w:p>
    <w:p w14:paraId="66F4688A">
      <w:pPr>
        <w:pStyle w:val="4"/>
        <w:numPr>
          <w:ilvl w:val="0"/>
          <w:numId w:val="0"/>
        </w:numPr>
        <w:rPr>
          <w:rFonts w:hint="eastAsia" w:cs="宋体"/>
          <w:i w:val="0"/>
          <w:iCs w:val="0"/>
          <w:caps w:val="0"/>
          <w:color w:val="000000"/>
          <w:spacing w:val="0"/>
          <w:sz w:val="21"/>
          <w:szCs w:val="21"/>
          <w:lang w:eastAsia="zh-CN"/>
        </w:rPr>
      </w:pPr>
    </w:p>
    <w:p w14:paraId="198CD264">
      <w:pPr>
        <w:pStyle w:val="4"/>
        <w:numPr>
          <w:ilvl w:val="0"/>
          <w:numId w:val="0"/>
        </w:numPr>
        <w:rPr>
          <w:rFonts w:hint="eastAsia" w:cs="宋体"/>
          <w:i w:val="0"/>
          <w:iCs w:val="0"/>
          <w:caps w:val="0"/>
          <w:color w:val="000000"/>
          <w:spacing w:val="0"/>
          <w:sz w:val="21"/>
          <w:szCs w:val="21"/>
          <w:lang w:eastAsia="zh-CN"/>
        </w:rPr>
      </w:pPr>
    </w:p>
    <w:p w14:paraId="1045E6E7">
      <w:pPr>
        <w:pStyle w:val="4"/>
        <w:numPr>
          <w:ilvl w:val="0"/>
          <w:numId w:val="0"/>
        </w:numPr>
        <w:rPr>
          <w:rFonts w:hint="eastAsia" w:cs="宋体"/>
          <w:i w:val="0"/>
          <w:iCs w:val="0"/>
          <w:caps w:val="0"/>
          <w:color w:val="000000"/>
          <w:spacing w:val="0"/>
          <w:sz w:val="21"/>
          <w:szCs w:val="21"/>
          <w:lang w:eastAsia="zh-CN"/>
        </w:rPr>
      </w:pPr>
    </w:p>
    <w:p w14:paraId="49823212">
      <w:pPr>
        <w:pStyle w:val="4"/>
        <w:numPr>
          <w:ilvl w:val="0"/>
          <w:numId w:val="0"/>
        </w:numPr>
        <w:rPr>
          <w:rFonts w:hint="eastAsia" w:cs="宋体"/>
          <w:i w:val="0"/>
          <w:iCs w:val="0"/>
          <w:caps w:val="0"/>
          <w:color w:val="000000"/>
          <w:spacing w:val="0"/>
          <w:sz w:val="21"/>
          <w:szCs w:val="21"/>
          <w:lang w:eastAsia="zh-CN"/>
        </w:rPr>
      </w:pPr>
    </w:p>
    <w:p w14:paraId="21EA8EF9">
      <w:pPr>
        <w:pStyle w:val="4"/>
        <w:numPr>
          <w:ilvl w:val="0"/>
          <w:numId w:val="0"/>
        </w:numPr>
        <w:rPr>
          <w:rFonts w:hint="eastAsia" w:cs="宋体"/>
          <w:i w:val="0"/>
          <w:iCs w:val="0"/>
          <w:caps w:val="0"/>
          <w:color w:val="000000"/>
          <w:spacing w:val="0"/>
          <w:sz w:val="21"/>
          <w:szCs w:val="21"/>
          <w:lang w:eastAsia="zh-CN"/>
        </w:rPr>
      </w:pPr>
    </w:p>
    <w:p w14:paraId="517ACB89">
      <w:pPr>
        <w:pStyle w:val="4"/>
        <w:numPr>
          <w:ilvl w:val="0"/>
          <w:numId w:val="0"/>
        </w:numPr>
        <w:rPr>
          <w:rFonts w:hint="eastAsia" w:cs="宋体"/>
          <w:i w:val="0"/>
          <w:iCs w:val="0"/>
          <w:caps w:val="0"/>
          <w:color w:val="000000"/>
          <w:spacing w:val="0"/>
          <w:sz w:val="21"/>
          <w:szCs w:val="21"/>
          <w:lang w:eastAsia="zh-CN"/>
        </w:rPr>
      </w:pPr>
    </w:p>
    <w:p w14:paraId="5CF659A3">
      <w:pPr>
        <w:pStyle w:val="4"/>
        <w:numPr>
          <w:ilvl w:val="0"/>
          <w:numId w:val="0"/>
        </w:numPr>
        <w:rPr>
          <w:rFonts w:hint="eastAsia" w:cs="宋体"/>
          <w:i w:val="0"/>
          <w:iCs w:val="0"/>
          <w:caps w:val="0"/>
          <w:color w:val="000000"/>
          <w:spacing w:val="0"/>
          <w:sz w:val="21"/>
          <w:szCs w:val="21"/>
          <w:lang w:eastAsia="zh-CN"/>
        </w:rPr>
      </w:pPr>
    </w:p>
    <w:p w14:paraId="5833C3D3">
      <w:pPr>
        <w:pStyle w:val="4"/>
        <w:numPr>
          <w:ilvl w:val="0"/>
          <w:numId w:val="0"/>
        </w:numPr>
        <w:rPr>
          <w:rFonts w:hint="eastAsia" w:cs="宋体"/>
          <w:i w:val="0"/>
          <w:iCs w:val="0"/>
          <w:caps w:val="0"/>
          <w:color w:val="000000"/>
          <w:spacing w:val="0"/>
          <w:sz w:val="21"/>
          <w:szCs w:val="21"/>
          <w:lang w:eastAsia="zh-CN"/>
        </w:rPr>
      </w:pPr>
    </w:p>
    <w:p w14:paraId="0AB214B4">
      <w:pPr>
        <w:pStyle w:val="4"/>
        <w:numPr>
          <w:ilvl w:val="0"/>
          <w:numId w:val="0"/>
        </w:numPr>
        <w:rPr>
          <w:rFonts w:hint="eastAsia" w:cs="宋体"/>
          <w:i w:val="0"/>
          <w:iCs w:val="0"/>
          <w:caps w:val="0"/>
          <w:color w:val="000000"/>
          <w:spacing w:val="0"/>
          <w:sz w:val="21"/>
          <w:szCs w:val="21"/>
          <w:lang w:eastAsia="zh-CN"/>
        </w:rPr>
      </w:pPr>
    </w:p>
    <w:p w14:paraId="611234C0">
      <w:pPr>
        <w:pStyle w:val="4"/>
        <w:numPr>
          <w:ilvl w:val="0"/>
          <w:numId w:val="0"/>
        </w:numPr>
        <w:rPr>
          <w:rFonts w:hint="eastAsia" w:cs="宋体"/>
          <w:i w:val="0"/>
          <w:iCs w:val="0"/>
          <w:caps w:val="0"/>
          <w:color w:val="000000"/>
          <w:spacing w:val="0"/>
          <w:sz w:val="21"/>
          <w:szCs w:val="21"/>
          <w:lang w:eastAsia="zh-CN"/>
        </w:rPr>
      </w:pPr>
    </w:p>
    <w:p w14:paraId="53C00563">
      <w:pPr>
        <w:pStyle w:val="4"/>
        <w:numPr>
          <w:ilvl w:val="0"/>
          <w:numId w:val="0"/>
        </w:numPr>
        <w:rPr>
          <w:rFonts w:hint="eastAsia" w:cs="宋体"/>
          <w:i w:val="0"/>
          <w:iCs w:val="0"/>
          <w:caps w:val="0"/>
          <w:color w:val="000000"/>
          <w:spacing w:val="0"/>
          <w:sz w:val="21"/>
          <w:szCs w:val="21"/>
          <w:lang w:eastAsia="zh-CN"/>
        </w:rPr>
      </w:pPr>
    </w:p>
    <w:p w14:paraId="475ACA5C">
      <w:pPr>
        <w:pStyle w:val="4"/>
        <w:numPr>
          <w:ilvl w:val="0"/>
          <w:numId w:val="0"/>
        </w:numPr>
        <w:rPr>
          <w:rFonts w:hint="eastAsia" w:cs="宋体"/>
          <w:i w:val="0"/>
          <w:iCs w:val="0"/>
          <w:caps w:val="0"/>
          <w:color w:val="000000"/>
          <w:spacing w:val="0"/>
          <w:sz w:val="21"/>
          <w:szCs w:val="21"/>
          <w:lang w:eastAsia="zh-CN"/>
        </w:rPr>
      </w:pPr>
    </w:p>
    <w:p w14:paraId="293CB1B8">
      <w:pPr>
        <w:pStyle w:val="4"/>
        <w:numPr>
          <w:ilvl w:val="0"/>
          <w:numId w:val="0"/>
        </w:numPr>
        <w:rPr>
          <w:rFonts w:hint="eastAsia" w:cs="宋体"/>
          <w:i w:val="0"/>
          <w:iCs w:val="0"/>
          <w:caps w:val="0"/>
          <w:color w:val="000000"/>
          <w:spacing w:val="0"/>
          <w:sz w:val="21"/>
          <w:szCs w:val="21"/>
          <w:lang w:eastAsia="zh-CN"/>
        </w:rPr>
      </w:pPr>
    </w:p>
    <w:p w14:paraId="1FEC15CD">
      <w:pPr>
        <w:pStyle w:val="4"/>
        <w:numPr>
          <w:ilvl w:val="0"/>
          <w:numId w:val="0"/>
        </w:numPr>
        <w:rPr>
          <w:rFonts w:hint="eastAsia" w:cs="宋体"/>
          <w:i w:val="0"/>
          <w:iCs w:val="0"/>
          <w:caps w:val="0"/>
          <w:color w:val="000000"/>
          <w:spacing w:val="0"/>
          <w:sz w:val="21"/>
          <w:szCs w:val="21"/>
          <w:lang w:eastAsia="zh-CN"/>
        </w:rPr>
      </w:pPr>
    </w:p>
    <w:p w14:paraId="62A2768D">
      <w:pPr>
        <w:pStyle w:val="4"/>
        <w:numPr>
          <w:ilvl w:val="0"/>
          <w:numId w:val="0"/>
        </w:numPr>
        <w:rPr>
          <w:rFonts w:hint="eastAsia" w:cs="宋体"/>
          <w:i w:val="0"/>
          <w:iCs w:val="0"/>
          <w:caps w:val="0"/>
          <w:color w:val="000000"/>
          <w:spacing w:val="0"/>
          <w:sz w:val="21"/>
          <w:szCs w:val="21"/>
          <w:lang w:eastAsia="zh-CN"/>
        </w:rPr>
      </w:pPr>
    </w:p>
    <w:p w14:paraId="4B57F01A">
      <w:pPr>
        <w:pStyle w:val="4"/>
        <w:numPr>
          <w:ilvl w:val="0"/>
          <w:numId w:val="0"/>
        </w:numPr>
        <w:rPr>
          <w:rFonts w:hint="eastAsia" w:cs="宋体"/>
          <w:i w:val="0"/>
          <w:iCs w:val="0"/>
          <w:caps w:val="0"/>
          <w:color w:val="000000"/>
          <w:spacing w:val="0"/>
          <w:sz w:val="21"/>
          <w:szCs w:val="21"/>
          <w:lang w:eastAsia="zh-CN"/>
        </w:rPr>
      </w:pPr>
    </w:p>
    <w:p w14:paraId="0C255441">
      <w:pPr>
        <w:pStyle w:val="4"/>
        <w:numPr>
          <w:ilvl w:val="0"/>
          <w:numId w:val="0"/>
        </w:numPr>
        <w:rPr>
          <w:rFonts w:hint="eastAsia" w:cs="宋体"/>
          <w:i w:val="0"/>
          <w:iCs w:val="0"/>
          <w:caps w:val="0"/>
          <w:color w:val="000000"/>
          <w:spacing w:val="0"/>
          <w:sz w:val="21"/>
          <w:szCs w:val="21"/>
          <w:lang w:eastAsia="zh-CN"/>
        </w:rPr>
      </w:pPr>
    </w:p>
    <w:p w14:paraId="6DAC9395">
      <w:pPr>
        <w:pStyle w:val="4"/>
        <w:numPr>
          <w:ilvl w:val="0"/>
          <w:numId w:val="0"/>
        </w:numPr>
        <w:rPr>
          <w:rFonts w:hint="eastAsia" w:cs="宋体"/>
          <w:i w:val="0"/>
          <w:iCs w:val="0"/>
          <w:caps w:val="0"/>
          <w:color w:val="000000"/>
          <w:spacing w:val="0"/>
          <w:sz w:val="21"/>
          <w:szCs w:val="21"/>
          <w:lang w:eastAsia="zh-CN"/>
        </w:rPr>
      </w:pPr>
    </w:p>
    <w:p w14:paraId="4D0BD441">
      <w:pPr>
        <w:pStyle w:val="4"/>
        <w:numPr>
          <w:ilvl w:val="0"/>
          <w:numId w:val="0"/>
        </w:numPr>
        <w:rPr>
          <w:rFonts w:hint="eastAsia" w:cs="宋体"/>
          <w:i w:val="0"/>
          <w:iCs w:val="0"/>
          <w:caps w:val="0"/>
          <w:color w:val="000000"/>
          <w:spacing w:val="0"/>
          <w:sz w:val="21"/>
          <w:szCs w:val="21"/>
          <w:lang w:eastAsia="zh-CN"/>
        </w:rPr>
      </w:pPr>
    </w:p>
    <w:p w14:paraId="53DBCCCC">
      <w:pPr>
        <w:pStyle w:val="4"/>
        <w:numPr>
          <w:ilvl w:val="0"/>
          <w:numId w:val="0"/>
        </w:numPr>
        <w:rPr>
          <w:rFonts w:hint="eastAsia" w:cs="宋体"/>
          <w:i w:val="0"/>
          <w:iCs w:val="0"/>
          <w:caps w:val="0"/>
          <w:color w:val="000000"/>
          <w:spacing w:val="0"/>
          <w:sz w:val="21"/>
          <w:szCs w:val="21"/>
          <w:lang w:eastAsia="zh-CN"/>
        </w:rPr>
      </w:pPr>
    </w:p>
    <w:p w14:paraId="4D4ABC89">
      <w:pPr>
        <w:pStyle w:val="4"/>
        <w:numPr>
          <w:ilvl w:val="0"/>
          <w:numId w:val="0"/>
        </w:numPr>
        <w:rPr>
          <w:rFonts w:hint="eastAsia" w:cs="宋体"/>
          <w:i w:val="0"/>
          <w:iCs w:val="0"/>
          <w:caps w:val="0"/>
          <w:color w:val="000000"/>
          <w:spacing w:val="0"/>
          <w:sz w:val="21"/>
          <w:szCs w:val="21"/>
          <w:lang w:eastAsia="zh-CN"/>
        </w:rPr>
      </w:pPr>
    </w:p>
    <w:p w14:paraId="56093C10">
      <w:pPr>
        <w:pStyle w:val="4"/>
        <w:numPr>
          <w:ilvl w:val="0"/>
          <w:numId w:val="0"/>
        </w:numPr>
        <w:rPr>
          <w:rFonts w:hint="eastAsia" w:cs="宋体"/>
          <w:i w:val="0"/>
          <w:iCs w:val="0"/>
          <w:caps w:val="0"/>
          <w:color w:val="000000"/>
          <w:spacing w:val="0"/>
          <w:sz w:val="21"/>
          <w:szCs w:val="21"/>
          <w:lang w:eastAsia="zh-CN"/>
        </w:rPr>
      </w:pPr>
    </w:p>
    <w:p w14:paraId="34ADCE5F">
      <w:pPr>
        <w:pStyle w:val="4"/>
        <w:numPr>
          <w:ilvl w:val="0"/>
          <w:numId w:val="0"/>
        </w:numPr>
        <w:rPr>
          <w:rFonts w:hint="eastAsia" w:cs="宋体"/>
          <w:i w:val="0"/>
          <w:iCs w:val="0"/>
          <w:caps w:val="0"/>
          <w:color w:val="000000"/>
          <w:spacing w:val="0"/>
          <w:sz w:val="21"/>
          <w:szCs w:val="21"/>
          <w:lang w:eastAsia="zh-CN"/>
        </w:rPr>
      </w:pPr>
    </w:p>
    <w:p w14:paraId="749F8937">
      <w:pPr>
        <w:pStyle w:val="4"/>
        <w:numPr>
          <w:ilvl w:val="0"/>
          <w:numId w:val="0"/>
        </w:numPr>
        <w:rPr>
          <w:rFonts w:hint="eastAsia" w:cs="宋体"/>
          <w:i w:val="0"/>
          <w:iCs w:val="0"/>
          <w:caps w:val="0"/>
          <w:color w:val="000000"/>
          <w:spacing w:val="0"/>
          <w:sz w:val="21"/>
          <w:szCs w:val="21"/>
          <w:lang w:eastAsia="zh-CN"/>
        </w:rPr>
      </w:pPr>
    </w:p>
    <w:p w14:paraId="0DFB74F6">
      <w:pPr>
        <w:pStyle w:val="4"/>
        <w:numPr>
          <w:ilvl w:val="0"/>
          <w:numId w:val="0"/>
        </w:numPr>
        <w:rPr>
          <w:rFonts w:hint="eastAsia" w:cs="宋体"/>
          <w:i w:val="0"/>
          <w:iCs w:val="0"/>
          <w:caps w:val="0"/>
          <w:color w:val="000000"/>
          <w:spacing w:val="0"/>
          <w:sz w:val="21"/>
          <w:szCs w:val="21"/>
          <w:lang w:eastAsia="zh-CN"/>
        </w:rPr>
      </w:pPr>
    </w:p>
    <w:p w14:paraId="28E11C8F">
      <w:pPr>
        <w:pStyle w:val="4"/>
        <w:numPr>
          <w:ilvl w:val="0"/>
          <w:numId w:val="0"/>
        </w:numPr>
        <w:rPr>
          <w:rFonts w:hint="eastAsia" w:cs="宋体"/>
          <w:i w:val="0"/>
          <w:iCs w:val="0"/>
          <w:caps w:val="0"/>
          <w:color w:val="000000"/>
          <w:spacing w:val="0"/>
          <w:sz w:val="21"/>
          <w:szCs w:val="21"/>
          <w:lang w:eastAsia="zh-CN"/>
        </w:rPr>
      </w:pPr>
    </w:p>
    <w:p w14:paraId="14470090">
      <w:pPr>
        <w:pStyle w:val="4"/>
        <w:numPr>
          <w:ilvl w:val="0"/>
          <w:numId w:val="0"/>
        </w:numPr>
        <w:rPr>
          <w:rFonts w:hint="eastAsia" w:cs="宋体"/>
          <w:i w:val="0"/>
          <w:iCs w:val="0"/>
          <w:caps w:val="0"/>
          <w:color w:val="000000"/>
          <w:spacing w:val="0"/>
          <w:sz w:val="21"/>
          <w:szCs w:val="21"/>
          <w:lang w:eastAsia="zh-CN"/>
        </w:rPr>
      </w:pPr>
    </w:p>
    <w:p w14:paraId="61ED317A">
      <w:pPr>
        <w:pStyle w:val="4"/>
        <w:numPr>
          <w:ilvl w:val="0"/>
          <w:numId w:val="0"/>
        </w:numPr>
        <w:rPr>
          <w:rFonts w:hint="eastAsia" w:cs="宋体"/>
          <w:i w:val="0"/>
          <w:iCs w:val="0"/>
          <w:caps w:val="0"/>
          <w:color w:val="000000"/>
          <w:spacing w:val="0"/>
          <w:sz w:val="21"/>
          <w:szCs w:val="21"/>
          <w:lang w:eastAsia="zh-CN"/>
        </w:rPr>
      </w:pPr>
    </w:p>
    <w:p w14:paraId="1EF10B2A">
      <w:pPr>
        <w:pStyle w:val="4"/>
        <w:numPr>
          <w:ilvl w:val="0"/>
          <w:numId w:val="0"/>
        </w:numPr>
        <w:rPr>
          <w:rFonts w:hint="eastAsia" w:cs="宋体"/>
          <w:i w:val="0"/>
          <w:iCs w:val="0"/>
          <w:caps w:val="0"/>
          <w:color w:val="000000"/>
          <w:spacing w:val="0"/>
          <w:sz w:val="21"/>
          <w:szCs w:val="21"/>
          <w:lang w:eastAsia="zh-CN"/>
        </w:rPr>
      </w:pPr>
    </w:p>
    <w:p w14:paraId="0CB87A94">
      <w:pPr>
        <w:pStyle w:val="4"/>
        <w:numPr>
          <w:ilvl w:val="0"/>
          <w:numId w:val="0"/>
        </w:numPr>
        <w:rPr>
          <w:rFonts w:hint="eastAsia" w:cs="宋体"/>
          <w:i w:val="0"/>
          <w:iCs w:val="0"/>
          <w:caps w:val="0"/>
          <w:color w:val="000000"/>
          <w:spacing w:val="0"/>
          <w:sz w:val="21"/>
          <w:szCs w:val="21"/>
          <w:lang w:eastAsia="zh-CN"/>
        </w:rPr>
      </w:pPr>
    </w:p>
    <w:p w14:paraId="02E3BB3A">
      <w:pPr>
        <w:pStyle w:val="4"/>
        <w:numPr>
          <w:ilvl w:val="0"/>
          <w:numId w:val="0"/>
        </w:numPr>
        <w:rPr>
          <w:rFonts w:hint="eastAsia" w:cs="宋体"/>
          <w:i w:val="0"/>
          <w:iCs w:val="0"/>
          <w:caps w:val="0"/>
          <w:color w:val="000000"/>
          <w:spacing w:val="0"/>
          <w:sz w:val="21"/>
          <w:szCs w:val="21"/>
          <w:lang w:eastAsia="zh-CN"/>
        </w:rPr>
      </w:pPr>
    </w:p>
    <w:p w14:paraId="354352D7">
      <w:pPr>
        <w:pStyle w:val="4"/>
        <w:numPr>
          <w:ilvl w:val="0"/>
          <w:numId w:val="0"/>
        </w:numPr>
        <w:rPr>
          <w:rFonts w:hint="eastAsia" w:cs="宋体"/>
          <w:i w:val="0"/>
          <w:iCs w:val="0"/>
          <w:caps w:val="0"/>
          <w:color w:val="000000"/>
          <w:spacing w:val="0"/>
          <w:sz w:val="21"/>
          <w:szCs w:val="21"/>
          <w:lang w:eastAsia="zh-CN"/>
        </w:rPr>
      </w:pPr>
    </w:p>
    <w:p w14:paraId="3E9752F5">
      <w:pPr>
        <w:pStyle w:val="4"/>
        <w:numPr>
          <w:ilvl w:val="0"/>
          <w:numId w:val="0"/>
        </w:numPr>
        <w:rPr>
          <w:rFonts w:hint="eastAsia" w:cs="宋体"/>
          <w:i w:val="0"/>
          <w:iCs w:val="0"/>
          <w:caps w:val="0"/>
          <w:color w:val="000000"/>
          <w:spacing w:val="0"/>
          <w:sz w:val="21"/>
          <w:szCs w:val="21"/>
          <w:lang w:eastAsia="zh-CN"/>
        </w:rPr>
      </w:pPr>
    </w:p>
    <w:p w14:paraId="7563E5A4">
      <w:pPr>
        <w:pStyle w:val="4"/>
        <w:numPr>
          <w:ilvl w:val="0"/>
          <w:numId w:val="0"/>
        </w:numPr>
        <w:rPr>
          <w:rFonts w:hint="eastAsia" w:cs="宋体"/>
          <w:i w:val="0"/>
          <w:iCs w:val="0"/>
          <w:caps w:val="0"/>
          <w:color w:val="000000"/>
          <w:spacing w:val="0"/>
          <w:sz w:val="21"/>
          <w:szCs w:val="21"/>
          <w:lang w:eastAsia="zh-CN"/>
        </w:rPr>
      </w:pPr>
    </w:p>
    <w:p w14:paraId="31AB55E1">
      <w:pPr>
        <w:pStyle w:val="4"/>
        <w:numPr>
          <w:ilvl w:val="0"/>
          <w:numId w:val="0"/>
        </w:numPr>
        <w:rPr>
          <w:rFonts w:hint="eastAsia" w:cs="宋体"/>
          <w:i w:val="0"/>
          <w:iCs w:val="0"/>
          <w:caps w:val="0"/>
          <w:color w:val="000000"/>
          <w:spacing w:val="0"/>
          <w:sz w:val="21"/>
          <w:szCs w:val="21"/>
          <w:lang w:eastAsia="zh-CN"/>
        </w:rPr>
      </w:pPr>
    </w:p>
    <w:p w14:paraId="6BEF0302">
      <w:pPr>
        <w:pStyle w:val="4"/>
        <w:numPr>
          <w:ilvl w:val="0"/>
          <w:numId w:val="0"/>
        </w:numPr>
        <w:rPr>
          <w:rFonts w:hint="default" w:cs="宋体"/>
          <w:i w:val="0"/>
          <w:iCs w:val="0"/>
          <w:caps w:val="0"/>
          <w:color w:val="000000"/>
          <w:spacing w:val="0"/>
          <w:sz w:val="21"/>
          <w:szCs w:val="21"/>
          <w:lang w:val="en-US" w:eastAsia="zh-CN"/>
        </w:rPr>
      </w:pPr>
    </w:p>
    <w:sectPr>
      <w:pgSz w:w="11906" w:h="16838"/>
      <w:pgMar w:top="816" w:right="839" w:bottom="816" w:left="78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4FF0BD"/>
    <w:multiLevelType w:val="singleLevel"/>
    <w:tmpl w:val="734FF0BD"/>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0B544B"/>
    <w:rsid w:val="02202C1B"/>
    <w:rsid w:val="098456AC"/>
    <w:rsid w:val="0EFE2757"/>
    <w:rsid w:val="103C4234"/>
    <w:rsid w:val="1E0B544B"/>
    <w:rsid w:val="1E186E26"/>
    <w:rsid w:val="39F91876"/>
    <w:rsid w:val="3BE81A94"/>
    <w:rsid w:val="4AB31F56"/>
    <w:rsid w:val="672744B9"/>
    <w:rsid w:val="6B81115A"/>
    <w:rsid w:val="6C994FF8"/>
    <w:rsid w:val="6D5E30F4"/>
    <w:rsid w:val="6E427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pPr>
    <w:rPr>
      <w:szCs w:val="20"/>
    </w:rPr>
  </w:style>
  <w:style w:type="paragraph" w:styleId="4">
    <w:name w:val="Body Text"/>
    <w:basedOn w:val="1"/>
    <w:next w:val="5"/>
    <w:unhideWhenUsed/>
    <w:qFormat/>
    <w:uiPriority w:val="0"/>
    <w:rPr>
      <w:rFonts w:ascii="宋体" w:hAnsi="宋体" w:eastAsia="宋体" w:cs="宋体"/>
      <w:b/>
      <w:bCs/>
      <w:sz w:val="24"/>
      <w:szCs w:val="24"/>
      <w:lang w:val="zh-CN" w:eastAsia="zh-CN" w:bidi="zh-CN"/>
    </w:rPr>
  </w:style>
  <w:style w:type="paragraph" w:customStyle="1" w:styleId="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6">
    <w:name w:val="toc 5"/>
    <w:basedOn w:val="1"/>
    <w:next w:val="1"/>
    <w:unhideWhenUsed/>
    <w:qFormat/>
    <w:uiPriority w:val="0"/>
    <w:pPr>
      <w:ind w:left="840"/>
      <w:jc w:val="left"/>
    </w:pPr>
    <w:rPr>
      <w:rFonts w:ascii="Calibri" w:hAnsi="Calibri" w:cs="Calibri"/>
      <w:sz w:val="18"/>
      <w:szCs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paragraph" w:styleId="12">
    <w:name w:val="List Paragraph"/>
    <w:basedOn w:val="1"/>
    <w:unhideWhenUsed/>
    <w:qFormat/>
    <w:uiPriority w:val="99"/>
    <w:pPr>
      <w:ind w:firstLine="420" w:firstLineChars="200"/>
    </w:p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665</Words>
  <Characters>671</Characters>
  <Lines>0</Lines>
  <Paragraphs>0</Paragraphs>
  <TotalTime>0</TotalTime>
  <ScaleCrop>false</ScaleCrop>
  <LinksUpToDate>false</LinksUpToDate>
  <CharactersWithSpaces>673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2026-04-27T02:18:00Z</dcterms:created>
  <dc:creator>18924981193</dc:creator>
  <cp:lastModifiedBy>18924981193</cp:lastModifiedBy>
  <dcterms:modified xsi:type="dcterms:W3CDTF">2026-05-26T04:06:57Z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B7F61C1B638940F188D0BD1408FDF37A_11</vt:lpwstr>
  </property>
  <property fmtid="{D5CDD505-2E9C-101B-9397-08002B2CF9AE}" pid="4" name="KSOTemplateDocerSaveRecord">
    <vt:lpwstr>eyJoZGlkIjoiMDI1YTQ0MGQ2NDc4NmQ3MjU4NTFkMzZmNDA5NDM5ODgiLCJ1c2VySWQiOiI3MDcxOTEyNjEifQ==</vt:lpwstr>
  </property>
</Properties>
</file>