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center"/>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化州市妇幼保健院医疗电子票据管理系统运维服务采购项目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HZFY-202601</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采购</w:t>
      </w:r>
      <w:r>
        <w:rPr>
          <w:rFonts w:hint="eastAsia" w:ascii="黑体" w:hAnsi="黑体" w:eastAsia="黑体" w:cs="黑体"/>
          <w:b/>
          <w:sz w:val="72"/>
          <w:szCs w:val="72"/>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5"/>
        <w:rPr>
          <w:rFonts w:hint="eastAsia" w:ascii="新宋体" w:hAnsi="新宋体" w:eastAsia="新宋体"/>
          <w:b/>
          <w:bCs/>
          <w:szCs w:val="21"/>
        </w:rPr>
      </w:pPr>
    </w:p>
    <w:p w14:paraId="4AC691F6">
      <w:pPr>
        <w:pStyle w:val="5"/>
        <w:rPr>
          <w:rFonts w:hint="eastAsia" w:ascii="新宋体" w:hAnsi="新宋体" w:eastAsia="新宋体"/>
          <w:b/>
          <w:bCs/>
          <w:szCs w:val="21"/>
        </w:rPr>
      </w:pPr>
    </w:p>
    <w:p w14:paraId="081BE28C">
      <w:pPr>
        <w:pStyle w:val="5"/>
        <w:rPr>
          <w:rFonts w:hint="eastAsia" w:ascii="新宋体" w:hAnsi="新宋体" w:eastAsia="新宋体"/>
          <w:b/>
          <w:bCs/>
          <w:szCs w:val="21"/>
        </w:rPr>
      </w:pPr>
    </w:p>
    <w:p w14:paraId="46E67AC5">
      <w:pPr>
        <w:pStyle w:val="5"/>
        <w:rPr>
          <w:rFonts w:hint="eastAsia" w:ascii="新宋体" w:hAnsi="新宋体" w:eastAsia="新宋体"/>
          <w:b/>
          <w:bCs/>
          <w:szCs w:val="21"/>
        </w:rPr>
      </w:pPr>
    </w:p>
    <w:p w14:paraId="096D715A">
      <w:pPr>
        <w:pStyle w:val="5"/>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1</w:t>
      </w:r>
      <w:r>
        <w:rPr>
          <w:rFonts w:hint="eastAsia" w:ascii="新宋体" w:hAnsi="新宋体" w:eastAsia="新宋体"/>
          <w:b/>
          <w:bCs/>
          <w:sz w:val="32"/>
          <w:szCs w:val="32"/>
        </w:rPr>
        <w:t>月</w:t>
      </w:r>
    </w:p>
    <w:p w14:paraId="75C4EE02">
      <w:pPr>
        <w:snapToGrid w:val="0"/>
        <w:spacing w:line="360" w:lineRule="auto"/>
        <w:jc w:val="both"/>
        <w:textAlignment w:val="baseline"/>
        <w:rPr>
          <w:rStyle w:val="16"/>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0C45693E">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Fonts w:hint="eastAsia" w:ascii="宋体" w:hAnsi="宋体"/>
          <w:b/>
          <w:color w:val="auto"/>
          <w:sz w:val="36"/>
          <w:szCs w:val="36"/>
          <w:u w:val="none"/>
          <w:lang w:val="en-US" w:eastAsia="zh-CN"/>
        </w:rPr>
      </w:pPr>
      <w:bookmarkStart w:id="16" w:name="_GoBack"/>
      <w:r>
        <w:rPr>
          <w:rFonts w:hint="eastAsia" w:ascii="宋体" w:hAnsi="宋体"/>
          <w:b/>
          <w:color w:val="auto"/>
          <w:sz w:val="36"/>
          <w:szCs w:val="36"/>
          <w:u w:val="none"/>
          <w:lang w:val="en-US" w:eastAsia="zh-CN"/>
        </w:rPr>
        <w:t>化州市妇幼保健院医疗电子票据管理系统运维服务</w:t>
      </w: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6"/>
          <w:rFonts w:ascii="Arial" w:hAnsi="Arial" w:eastAsia="宋体"/>
          <w:color w:val="auto"/>
          <w:sz w:val="21"/>
          <w:szCs w:val="21"/>
          <w:lang w:val="en-US" w:eastAsia="zh-CN" w:bidi="ar-SA"/>
        </w:rPr>
      </w:pPr>
      <w:r>
        <w:rPr>
          <w:rFonts w:hint="eastAsia" w:ascii="宋体" w:hAnsi="宋体"/>
          <w:b/>
          <w:color w:val="auto"/>
          <w:sz w:val="36"/>
          <w:szCs w:val="36"/>
          <w:u w:val="none"/>
          <w:lang w:val="en-US" w:eastAsia="zh-CN"/>
        </w:rPr>
        <w:t>采购项目</w:t>
      </w:r>
      <w:r>
        <w:rPr>
          <w:rStyle w:val="16"/>
          <w:rFonts w:hint="eastAsia" w:cs="Times New Roman"/>
          <w:b/>
          <w:bCs/>
          <w:color w:val="auto"/>
          <w:sz w:val="36"/>
          <w:szCs w:val="36"/>
          <w:lang w:val="en-US" w:eastAsia="zh-CN" w:bidi="ar-SA"/>
        </w:rPr>
        <w:t>采购</w:t>
      </w:r>
      <w:r>
        <w:rPr>
          <w:rStyle w:val="16"/>
          <w:rFonts w:ascii="Calibri" w:hAnsi="Calibri" w:cs="Times New Roman"/>
          <w:b/>
          <w:bCs/>
          <w:color w:val="auto"/>
          <w:sz w:val="36"/>
          <w:szCs w:val="36"/>
          <w:lang w:val="en-US" w:eastAsia="zh-CN" w:bidi="ar-SA"/>
        </w:rPr>
        <w:t>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6"/>
          <w:rFonts w:hint="eastAsia" w:ascii="宋体" w:hAnsi="宋体"/>
          <w:color w:val="auto"/>
          <w:sz w:val="22"/>
          <w:szCs w:val="22"/>
          <w:lang w:val="en-US" w:eastAsia="zh-CN" w:bidi="ar-SA"/>
        </w:rPr>
      </w:pPr>
      <w:r>
        <w:rPr>
          <w:rStyle w:val="16"/>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6"/>
          <w:rFonts w:hint="default" w:ascii="宋体" w:hAnsi="宋体" w:eastAsia="宋体" w:cs="宋体"/>
          <w:b w:val="0"/>
          <w:bCs/>
          <w:color w:val="auto"/>
          <w:sz w:val="22"/>
          <w:szCs w:val="22"/>
          <w:lang w:val="en-US" w:eastAsia="zh-CN" w:bidi="ar-SA"/>
        </w:rPr>
      </w:pPr>
      <w:r>
        <w:rPr>
          <w:rStyle w:val="16"/>
          <w:rFonts w:hint="eastAsia" w:ascii="宋体" w:hAnsi="宋体"/>
          <w:color w:val="auto"/>
          <w:sz w:val="22"/>
          <w:szCs w:val="22"/>
          <w:lang w:val="en-US" w:eastAsia="zh-CN" w:bidi="ar-SA"/>
        </w:rPr>
        <w:t>化州市</w:t>
      </w:r>
      <w:r>
        <w:rPr>
          <w:rStyle w:val="16"/>
          <w:rFonts w:ascii="宋体" w:hAnsi="宋体" w:eastAsia="宋体"/>
          <w:color w:val="auto"/>
          <w:sz w:val="22"/>
          <w:szCs w:val="22"/>
          <w:lang w:val="en-US" w:eastAsia="zh-CN" w:bidi="ar-SA"/>
        </w:rPr>
        <w:t>妇幼保健院</w:t>
      </w:r>
      <w:r>
        <w:rPr>
          <w:rStyle w:val="16"/>
          <w:rFonts w:ascii="宋体" w:hAnsi="宋体" w:eastAsia="宋体" w:cs="宋体"/>
          <w:bCs/>
          <w:color w:val="auto"/>
          <w:sz w:val="22"/>
          <w:szCs w:val="22"/>
          <w:lang w:val="en-US" w:eastAsia="zh-CN" w:bidi="ar-SA"/>
        </w:rPr>
        <w:t>（以下简称“</w:t>
      </w:r>
      <w:r>
        <w:rPr>
          <w:rStyle w:val="16"/>
          <w:rFonts w:hint="eastAsia" w:ascii="宋体" w:hAnsi="宋体" w:cs="宋体"/>
          <w:bCs/>
          <w:color w:val="auto"/>
          <w:sz w:val="22"/>
          <w:szCs w:val="22"/>
          <w:lang w:val="en-US" w:eastAsia="zh-CN" w:bidi="ar-SA"/>
        </w:rPr>
        <w:t>采购人</w:t>
      </w:r>
      <w:r>
        <w:rPr>
          <w:rStyle w:val="16"/>
          <w:rFonts w:ascii="宋体" w:hAnsi="宋体" w:eastAsia="宋体" w:cs="宋体"/>
          <w:bCs/>
          <w:color w:val="auto"/>
          <w:sz w:val="22"/>
          <w:szCs w:val="22"/>
          <w:lang w:val="en-US" w:eastAsia="zh-CN" w:bidi="ar-SA"/>
        </w:rPr>
        <w:t>”）</w:t>
      </w:r>
      <w:r>
        <w:rPr>
          <w:rStyle w:val="16"/>
          <w:rFonts w:ascii="宋体" w:hAnsi="宋体" w:eastAsia="宋体" w:cs="宋体"/>
          <w:bCs/>
          <w:color w:val="auto"/>
          <w:sz w:val="22"/>
          <w:szCs w:val="22"/>
          <w:lang w:val="zh-CN" w:eastAsia="zh-CN" w:bidi="ar-SA"/>
        </w:rPr>
        <w:t>拟</w:t>
      </w:r>
      <w:r>
        <w:rPr>
          <w:rStyle w:val="16"/>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化州市妇幼保健院医疗电子票据管理系统运维服务采购项目</w:t>
      </w:r>
      <w:r>
        <w:rPr>
          <w:rStyle w:val="16"/>
          <w:rFonts w:ascii="宋体" w:hAnsi="宋体" w:eastAsia="宋体" w:cs="宋体"/>
          <w:b/>
          <w:bCs w:val="0"/>
          <w:color w:val="auto"/>
          <w:sz w:val="22"/>
          <w:szCs w:val="22"/>
          <w:u w:val="single"/>
          <w:lang w:val="en-US" w:eastAsia="zh-CN" w:bidi="ar-SA"/>
        </w:rPr>
        <w:t>（项目编号：</w:t>
      </w:r>
      <w:r>
        <w:rPr>
          <w:rStyle w:val="16"/>
          <w:rFonts w:hint="eastAsia" w:ascii="宋体" w:hAnsi="宋体" w:cs="宋体"/>
          <w:b/>
          <w:bCs w:val="0"/>
          <w:color w:val="auto"/>
          <w:sz w:val="22"/>
          <w:szCs w:val="22"/>
          <w:u w:val="single"/>
          <w:lang w:val="en-US" w:eastAsia="zh-CN" w:bidi="ar-SA"/>
        </w:rPr>
        <w:t>HZFY-202601）</w:t>
      </w:r>
      <w:r>
        <w:rPr>
          <w:rStyle w:val="16"/>
          <w:rFonts w:ascii="宋体" w:hAnsi="宋体" w:eastAsia="宋体" w:cs="宋体"/>
          <w:b w:val="0"/>
          <w:bCs/>
          <w:color w:val="auto"/>
          <w:sz w:val="22"/>
          <w:szCs w:val="22"/>
          <w:lang w:val="en-US" w:eastAsia="zh-CN" w:bidi="ar-SA"/>
        </w:rPr>
        <w:t>）进行</w:t>
      </w:r>
      <w:r>
        <w:rPr>
          <w:rStyle w:val="16"/>
          <w:rFonts w:hint="eastAsia" w:ascii="宋体" w:hAnsi="宋体" w:cs="宋体"/>
          <w:b w:val="0"/>
          <w:bCs/>
          <w:color w:val="auto"/>
          <w:sz w:val="22"/>
          <w:szCs w:val="22"/>
          <w:lang w:val="en-US" w:eastAsia="zh-CN" w:bidi="ar-SA"/>
        </w:rPr>
        <w:t>议价</w:t>
      </w:r>
      <w:r>
        <w:rPr>
          <w:rStyle w:val="16"/>
          <w:rFonts w:ascii="宋体" w:hAnsi="宋体" w:eastAsia="宋体" w:cs="宋体"/>
          <w:b w:val="0"/>
          <w:bCs/>
          <w:color w:val="auto"/>
          <w:sz w:val="22"/>
          <w:szCs w:val="22"/>
          <w:lang w:val="en-US" w:eastAsia="zh-CN" w:bidi="ar-SA"/>
        </w:rPr>
        <w:t>采购，欢迎符合资格条件的供应商按本公告的有关内容进行报价</w:t>
      </w:r>
      <w:r>
        <w:rPr>
          <w:rStyle w:val="16"/>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6"/>
          <w:rFonts w:hint="eastAsia" w:ascii="宋体" w:hAnsi="宋体" w:eastAsia="宋体" w:cs="宋体"/>
          <w:b/>
          <w:color w:val="auto"/>
          <w:sz w:val="22"/>
          <w:szCs w:val="22"/>
          <w:lang w:val="en-US" w:eastAsia="zh-CN" w:bidi="ar-SA"/>
        </w:rPr>
      </w:pPr>
      <w:r>
        <w:rPr>
          <w:rStyle w:val="16"/>
          <w:rFonts w:hint="eastAsia" w:ascii="宋体" w:hAnsi="宋体" w:cs="宋体"/>
          <w:b/>
          <w:bCs/>
          <w:sz w:val="22"/>
          <w:szCs w:val="22"/>
          <w:lang w:val="en-US" w:eastAsia="zh-CN" w:bidi="ar-SA"/>
        </w:rPr>
        <w:t>一、</w:t>
      </w:r>
      <w:r>
        <w:rPr>
          <w:rStyle w:val="16"/>
          <w:rFonts w:hint="eastAsia" w:ascii="宋体" w:hAnsi="宋体" w:eastAsia="宋体" w:cs="宋体"/>
          <w:b/>
          <w:sz w:val="22"/>
          <w:szCs w:val="22"/>
          <w:lang w:val="en-US" w:eastAsia="zh-CN" w:bidi="ar-SA"/>
        </w:rPr>
        <w:t>响应供应商资格要求</w:t>
      </w:r>
    </w:p>
    <w:p w14:paraId="3A52CA2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b w:val="0"/>
          <w:bCs/>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w:t>
      </w:r>
      <w:r>
        <w:rPr>
          <w:rStyle w:val="16"/>
          <w:rFonts w:hint="eastAsia" w:ascii="宋体" w:hAnsi="宋体" w:cs="宋体"/>
          <w:color w:val="auto"/>
          <w:kern w:val="0"/>
          <w:sz w:val="22"/>
          <w:szCs w:val="22"/>
          <w:lang w:val="en-US" w:eastAsia="zh-CN" w:bidi="ar-SA"/>
        </w:rPr>
        <w:t>、</w:t>
      </w:r>
      <w:r>
        <w:rPr>
          <w:rStyle w:val="16"/>
          <w:rFonts w:hint="eastAsia" w:ascii="宋体" w:hAnsi="宋体" w:eastAsia="宋体" w:cs="宋体"/>
          <w:b w:val="0"/>
          <w:bCs/>
          <w:sz w:val="22"/>
          <w:szCs w:val="22"/>
          <w:lang w:val="en-US" w:eastAsia="zh-CN" w:bidi="ar-SA"/>
        </w:rPr>
        <w:t>响应供应商</w:t>
      </w:r>
      <w:r>
        <w:rPr>
          <w:rStyle w:val="16"/>
          <w:rFonts w:hint="eastAsia" w:ascii="宋体" w:hAnsi="宋体" w:eastAsia="宋体" w:cs="宋体"/>
          <w:b w:val="0"/>
          <w:bCs/>
          <w:color w:val="auto"/>
          <w:kern w:val="0"/>
          <w:sz w:val="22"/>
          <w:szCs w:val="22"/>
          <w:lang w:val="en-US" w:eastAsia="zh-CN" w:bidi="ar-SA"/>
        </w:rPr>
        <w:t>须</w:t>
      </w:r>
      <w:r>
        <w:rPr>
          <w:rStyle w:val="16"/>
          <w:rFonts w:hint="eastAsia" w:ascii="宋体" w:hAnsi="宋体" w:eastAsia="宋体" w:cs="宋体"/>
          <w:b w:val="0"/>
          <w:bCs/>
          <w:color w:val="auto"/>
          <w:sz w:val="22"/>
          <w:szCs w:val="22"/>
          <w:lang w:val="zh-CN" w:eastAsia="zh-CN" w:bidi="ar-SA"/>
        </w:rPr>
        <w:t>具备</w:t>
      </w:r>
      <w:r>
        <w:rPr>
          <w:rStyle w:val="16"/>
          <w:rFonts w:hint="eastAsia" w:ascii="宋体" w:hAnsi="宋体" w:eastAsia="宋体" w:cs="宋体"/>
          <w:b w:val="0"/>
          <w:bCs/>
          <w:color w:val="auto"/>
          <w:kern w:val="0"/>
          <w:sz w:val="22"/>
          <w:szCs w:val="22"/>
          <w:lang w:val="en-US" w:eastAsia="zh-CN" w:bidi="ar-SA"/>
        </w:rPr>
        <w:t>《政府采购法》第二十二条规定的条件。</w:t>
      </w:r>
    </w:p>
    <w:p w14:paraId="4C3B9468">
      <w:pPr>
        <w:keepNext w:val="0"/>
        <w:keepLines w:val="0"/>
        <w:pageBreakBefore w:val="0"/>
        <w:widowControl/>
        <w:kinsoku/>
        <w:wordWrap/>
        <w:overflowPunct/>
        <w:topLinePunct w:val="0"/>
        <w:autoSpaceDE/>
        <w:autoSpaceDN/>
        <w:bidi w:val="0"/>
        <w:adjustRightInd/>
        <w:spacing w:line="360" w:lineRule="auto"/>
        <w:ind w:left="436" w:leftChars="208" w:right="0" w:firstLine="0" w:firstLineChars="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2、具有独立承担民事责任的能力，在中华人民共和国境内注册的法人或其他组织或自然人，响应时提交有效的营业执照（或事业法人登记证或身份证等相关证明）副本复印件。</w:t>
      </w:r>
    </w:p>
    <w:p w14:paraId="35D3D92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3.履行合同所必需的设备和专业技术能力（提供《响应供应商资格信用承诺函》）。</w:t>
      </w:r>
    </w:p>
    <w:p w14:paraId="20E2A50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4、单位负责人为同一人或者存在直接控股、管理关系的不同供应商，不得参加同一合同项下的采购活动。（提供《供应商资格声明函》）。</w:t>
      </w:r>
    </w:p>
    <w:p w14:paraId="00BAB0E7">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5、供应商于投标截止日前未被“信用中国”网站(www.creditchina.gov.cn)、中国政府采购网（www.ccgp.gov.cn）列入“失信被执行人、重大税收违法失信主体、政府采购严重违法失信行为”记录名单（提供截图证明）。</w:t>
      </w:r>
    </w:p>
    <w:p w14:paraId="3E0A34FE">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6、本项目不接受联合体投标。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left="420" w:leftChars="0" w:right="0" w:rightChars="0"/>
        <w:textAlignment w:val="auto"/>
        <w:outlineLvl w:val="9"/>
        <w:rPr>
          <w:rStyle w:val="16"/>
          <w:rFonts w:hint="eastAsia" w:ascii="宋体" w:hAnsi="宋体" w:cs="宋体"/>
          <w:b/>
          <w:color w:val="auto"/>
          <w:sz w:val="22"/>
          <w:szCs w:val="22"/>
          <w:lang w:val="en-US" w:eastAsia="zh-CN" w:bidi="ar-SA"/>
        </w:rPr>
      </w:pPr>
      <w:r>
        <w:rPr>
          <w:rStyle w:val="16"/>
          <w:rFonts w:hint="eastAsia" w:ascii="宋体" w:hAnsi="宋体" w:cs="宋体"/>
          <w:b/>
          <w:color w:val="auto"/>
          <w:sz w:val="22"/>
          <w:szCs w:val="22"/>
          <w:lang w:val="en-US" w:eastAsia="zh-CN" w:bidi="ar-SA"/>
        </w:rPr>
        <w:t>二、</w:t>
      </w:r>
      <w:r>
        <w:rPr>
          <w:rStyle w:val="16"/>
          <w:rFonts w:hint="eastAsia" w:ascii="宋体" w:hAnsi="宋体" w:eastAsia="宋体" w:cs="宋体"/>
          <w:b/>
          <w:color w:val="auto"/>
          <w:sz w:val="22"/>
          <w:szCs w:val="22"/>
          <w:lang w:val="en-US" w:eastAsia="zh-CN" w:bidi="ar-SA"/>
        </w:rPr>
        <w:t>项目</w:t>
      </w:r>
      <w:r>
        <w:rPr>
          <w:rStyle w:val="16"/>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1、项目编号：HZFY-202</w:t>
      </w:r>
      <w:r>
        <w:rPr>
          <w:rStyle w:val="16"/>
          <w:rFonts w:hint="eastAsia" w:ascii="宋体" w:hAnsi="宋体" w:cs="宋体"/>
          <w:color w:val="auto"/>
          <w:kern w:val="0"/>
          <w:sz w:val="22"/>
          <w:szCs w:val="22"/>
          <w:lang w:val="en-US" w:eastAsia="zh-CN" w:bidi="ar-SA"/>
        </w:rPr>
        <w:t>601</w:t>
      </w:r>
    </w:p>
    <w:p w14:paraId="425D1B3A">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2、项目名称：化州市妇幼保健院医疗电子票据管理系统运维服务采购项目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3、预算金额：</w:t>
      </w:r>
      <w:r>
        <w:rPr>
          <w:rStyle w:val="16"/>
          <w:rFonts w:hint="eastAsia" w:ascii="宋体" w:hAnsi="宋体" w:cs="宋体"/>
          <w:color w:val="auto"/>
          <w:kern w:val="0"/>
          <w:sz w:val="22"/>
          <w:szCs w:val="22"/>
          <w:lang w:val="en-US" w:eastAsia="zh-CN" w:bidi="ar-SA"/>
        </w:rPr>
        <w:t>2.2</w:t>
      </w:r>
      <w:r>
        <w:rPr>
          <w:rStyle w:val="16"/>
          <w:rFonts w:hint="eastAsia" w:ascii="宋体" w:hAnsi="宋体" w:eastAsia="宋体" w:cs="宋体"/>
          <w:color w:val="auto"/>
          <w:kern w:val="0"/>
          <w:sz w:val="22"/>
          <w:szCs w:val="22"/>
          <w:lang w:val="en-US" w:eastAsia="zh-CN" w:bidi="ar-SA"/>
        </w:rPr>
        <w:t xml:space="preserve"> 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4、最高限价：</w:t>
      </w:r>
      <w:r>
        <w:rPr>
          <w:rStyle w:val="16"/>
          <w:rFonts w:hint="eastAsia" w:ascii="宋体" w:hAnsi="宋体" w:cs="宋体"/>
          <w:color w:val="auto"/>
          <w:kern w:val="0"/>
          <w:sz w:val="22"/>
          <w:szCs w:val="22"/>
          <w:lang w:val="en-US" w:eastAsia="zh-CN" w:bidi="ar-SA"/>
        </w:rPr>
        <w:t>2.2</w:t>
      </w:r>
      <w:r>
        <w:rPr>
          <w:rStyle w:val="16"/>
          <w:rFonts w:hint="eastAsia" w:ascii="宋体" w:hAnsi="宋体" w:eastAsia="宋体" w:cs="宋体"/>
          <w:color w:val="auto"/>
          <w:kern w:val="0"/>
          <w:sz w:val="22"/>
          <w:szCs w:val="22"/>
          <w:lang w:val="en-US" w:eastAsia="zh-CN" w:bidi="ar-SA"/>
        </w:rPr>
        <w:t xml:space="preserve"> 万元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cs="宋体"/>
          <w:color w:val="auto"/>
          <w:kern w:val="0"/>
          <w:sz w:val="22"/>
          <w:szCs w:val="22"/>
          <w:lang w:val="en-US" w:eastAsia="zh-CN" w:bidi="ar-SA"/>
        </w:rPr>
        <w:t>5</w:t>
      </w:r>
      <w:r>
        <w:rPr>
          <w:rStyle w:val="16"/>
          <w:rFonts w:hint="eastAsia" w:ascii="宋体" w:hAnsi="宋体" w:eastAsia="宋体" w:cs="宋体"/>
          <w:color w:val="auto"/>
          <w:kern w:val="0"/>
          <w:sz w:val="22"/>
          <w:szCs w:val="22"/>
          <w:lang w:val="en-US" w:eastAsia="zh-CN" w:bidi="ar-SA"/>
        </w:rPr>
        <w:t>、服务地点：化州市妇幼保健院。</w:t>
      </w:r>
    </w:p>
    <w:p w14:paraId="3877F7E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eastAsia" w:ascii="宋体" w:hAnsi="宋体" w:cs="宋体"/>
          <w:color w:val="auto"/>
          <w:kern w:val="0"/>
          <w:sz w:val="22"/>
          <w:szCs w:val="22"/>
          <w:lang w:val="en-US" w:eastAsia="zh-CN" w:bidi="ar-SA"/>
        </w:rPr>
        <w:t>6</w:t>
      </w:r>
      <w:r>
        <w:rPr>
          <w:rStyle w:val="16"/>
          <w:rFonts w:hint="default" w:ascii="宋体" w:hAnsi="宋体" w:eastAsia="宋体" w:cs="宋体"/>
          <w:color w:val="auto"/>
          <w:kern w:val="0"/>
          <w:sz w:val="22"/>
          <w:szCs w:val="22"/>
          <w:lang w:val="en-US" w:eastAsia="zh-CN" w:bidi="ar-SA"/>
        </w:rPr>
        <w:t>、合同履行期限：合同服务期限为</w:t>
      </w:r>
      <w:r>
        <w:rPr>
          <w:rStyle w:val="16"/>
          <w:rFonts w:hint="eastAsia" w:ascii="宋体" w:hAnsi="宋体" w:cs="宋体"/>
          <w:color w:val="auto"/>
          <w:kern w:val="0"/>
          <w:sz w:val="22"/>
          <w:szCs w:val="22"/>
          <w:lang w:val="en-US" w:eastAsia="zh-CN" w:bidi="ar-SA"/>
        </w:rPr>
        <w:t>一</w:t>
      </w:r>
      <w:r>
        <w:rPr>
          <w:rStyle w:val="16"/>
          <w:rFonts w:hint="default" w:ascii="宋体" w:hAnsi="宋体" w:eastAsia="宋体" w:cs="宋体"/>
          <w:color w:val="auto"/>
          <w:kern w:val="0"/>
          <w:sz w:val="22"/>
          <w:szCs w:val="22"/>
          <w:lang w:val="en-US" w:eastAsia="zh-CN" w:bidi="ar-SA"/>
        </w:rPr>
        <w:t>年。</w:t>
      </w:r>
    </w:p>
    <w:p w14:paraId="05042D68">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2.递交报价文件时间:202</w:t>
      </w:r>
      <w:r>
        <w:rPr>
          <w:rStyle w:val="16"/>
          <w:rFonts w:hint="eastAsia" w:ascii="宋体" w:hAnsi="宋体" w:cs="宋体"/>
          <w:color w:val="auto"/>
          <w:kern w:val="0"/>
          <w:sz w:val="22"/>
          <w:szCs w:val="22"/>
          <w:lang w:val="en-US" w:eastAsia="zh-CN" w:bidi="ar-SA"/>
        </w:rPr>
        <w:t>6</w:t>
      </w:r>
      <w:r>
        <w:rPr>
          <w:rStyle w:val="16"/>
          <w:rFonts w:hint="eastAsia" w:ascii="宋体" w:hAnsi="宋体" w:eastAsia="宋体" w:cs="宋体"/>
          <w:color w:val="auto"/>
          <w:kern w:val="0"/>
          <w:sz w:val="22"/>
          <w:szCs w:val="22"/>
          <w:lang w:val="en-US" w:eastAsia="zh-CN" w:bidi="ar-SA"/>
        </w:rPr>
        <w:t>年1月</w:t>
      </w:r>
      <w:r>
        <w:rPr>
          <w:rStyle w:val="16"/>
          <w:rFonts w:hint="eastAsia" w:ascii="宋体" w:hAnsi="宋体" w:cs="宋体"/>
          <w:color w:val="auto"/>
          <w:kern w:val="0"/>
          <w:sz w:val="22"/>
          <w:szCs w:val="22"/>
          <w:lang w:val="en-US" w:eastAsia="zh-CN" w:bidi="ar-SA"/>
        </w:rPr>
        <w:t>7</w:t>
      </w:r>
      <w:r>
        <w:rPr>
          <w:rStyle w:val="16"/>
          <w:rFonts w:hint="eastAsia" w:ascii="宋体" w:hAnsi="宋体" w:eastAsia="宋体" w:cs="宋体"/>
          <w:color w:val="auto"/>
          <w:kern w:val="0"/>
          <w:sz w:val="22"/>
          <w:szCs w:val="22"/>
          <w:lang w:val="en-US" w:eastAsia="zh-CN" w:bidi="ar-SA"/>
        </w:rPr>
        <w:t>日至202</w:t>
      </w:r>
      <w:r>
        <w:rPr>
          <w:rStyle w:val="16"/>
          <w:rFonts w:hint="eastAsia" w:ascii="宋体" w:hAnsi="宋体" w:cs="宋体"/>
          <w:color w:val="auto"/>
          <w:kern w:val="0"/>
          <w:sz w:val="22"/>
          <w:szCs w:val="22"/>
          <w:lang w:val="en-US" w:eastAsia="zh-CN" w:bidi="ar-SA"/>
        </w:rPr>
        <w:t>6</w:t>
      </w:r>
      <w:r>
        <w:rPr>
          <w:rStyle w:val="16"/>
          <w:rFonts w:hint="eastAsia" w:ascii="宋体" w:hAnsi="宋体" w:eastAsia="宋体" w:cs="宋体"/>
          <w:color w:val="auto"/>
          <w:kern w:val="0"/>
          <w:sz w:val="22"/>
          <w:szCs w:val="22"/>
          <w:lang w:val="en-US" w:eastAsia="zh-CN" w:bidi="ar-SA"/>
        </w:rPr>
        <w:t>年1月</w:t>
      </w:r>
      <w:r>
        <w:rPr>
          <w:rStyle w:val="16"/>
          <w:rFonts w:hint="eastAsia" w:ascii="宋体" w:hAnsi="宋体" w:cs="宋体"/>
          <w:color w:val="auto"/>
          <w:kern w:val="0"/>
          <w:sz w:val="22"/>
          <w:szCs w:val="22"/>
          <w:lang w:val="en-US" w:eastAsia="zh-CN" w:bidi="ar-SA"/>
        </w:rPr>
        <w:t>9</w:t>
      </w:r>
      <w:r>
        <w:rPr>
          <w:rStyle w:val="16"/>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default"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6"/>
          <w:rFonts w:hint="eastAsia" w:ascii="宋体" w:hAnsi="宋体" w:eastAsia="宋体" w:cs="宋体"/>
          <w:color w:val="auto"/>
          <w:kern w:val="0"/>
          <w:sz w:val="22"/>
          <w:szCs w:val="22"/>
          <w:lang w:val="en-US" w:eastAsia="zh-CN" w:bidi="ar-SA"/>
        </w:rPr>
      </w:pPr>
      <w:r>
        <w:rPr>
          <w:rStyle w:val="16"/>
          <w:rFonts w:hint="eastAsia" w:ascii="宋体" w:hAnsi="宋体" w:eastAsia="宋体" w:cs="宋体"/>
          <w:color w:val="auto"/>
          <w:kern w:val="0"/>
          <w:sz w:val="22"/>
          <w:szCs w:val="22"/>
          <w:lang w:val="en-US" w:eastAsia="zh-CN" w:bidi="ar-SA"/>
        </w:rPr>
        <w:t>4.报名需提交资料：响应文件</w:t>
      </w:r>
    </w:p>
    <w:p w14:paraId="2F3EE7BB">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5.报名费用：免费</w:t>
      </w:r>
    </w:p>
    <w:p w14:paraId="7820F132">
      <w:pPr>
        <w:pStyle w:val="4"/>
        <w:keepNext w:val="0"/>
        <w:keepLines w:val="0"/>
        <w:pageBreakBefore w:val="0"/>
        <w:kinsoku/>
        <w:wordWrap/>
        <w:overflowPunct/>
        <w:topLinePunct w:val="0"/>
        <w:bidi w:val="0"/>
        <w:spacing w:line="360" w:lineRule="auto"/>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四、我院拒绝接受以下报价资料：</w:t>
      </w:r>
    </w:p>
    <w:p w14:paraId="21DB500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1.报名截止时间后才递交的报价资料。</w:t>
      </w:r>
    </w:p>
    <w:p w14:paraId="7FD9E248">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4.同一供应商重复递交的报价资料。</w:t>
      </w:r>
    </w:p>
    <w:p w14:paraId="035D7786">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5.虚假的报价资料。</w:t>
      </w:r>
    </w:p>
    <w:p w14:paraId="664A5B8E">
      <w:pPr>
        <w:pStyle w:val="4"/>
        <w:keepNext w:val="0"/>
        <w:keepLines w:val="0"/>
        <w:pageBreakBefore w:val="0"/>
        <w:kinsoku/>
        <w:wordWrap/>
        <w:overflowPunct/>
        <w:topLinePunct w:val="0"/>
        <w:bidi w:val="0"/>
        <w:spacing w:line="360" w:lineRule="auto"/>
        <w:ind w:left="0" w:leftChars="0" w:firstLine="420" w:firstLineChars="0"/>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五、联系事项：</w:t>
      </w:r>
    </w:p>
    <w:p w14:paraId="18F2F9BC">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采购人：化州市妇幼保健院</w:t>
      </w:r>
    </w:p>
    <w:p w14:paraId="3139A132">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联系人：李先生</w:t>
      </w:r>
    </w:p>
    <w:p w14:paraId="66F4C7DD">
      <w:pPr>
        <w:pStyle w:val="4"/>
        <w:keepNext w:val="0"/>
        <w:keepLines w:val="0"/>
        <w:pageBreakBefore w:val="0"/>
        <w:kinsoku/>
        <w:wordWrap/>
        <w:overflowPunct/>
        <w:topLinePunct w:val="0"/>
        <w:bidi w:val="0"/>
        <w:spacing w:line="360" w:lineRule="auto"/>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联系电话：0668-7222968</w:t>
      </w:r>
    </w:p>
    <w:p w14:paraId="0EC62A35">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28270BB7">
      <w:pPr>
        <w:pStyle w:val="4"/>
        <w:keepNext w:val="0"/>
        <w:keepLines w:val="0"/>
        <w:pageBreakBefore w:val="0"/>
        <w:kinsoku/>
        <w:wordWrap/>
        <w:overflowPunct/>
        <w:topLinePunct w:val="0"/>
        <w:bidi w:val="0"/>
        <w:spacing w:line="360" w:lineRule="auto"/>
        <w:jc w:val="both"/>
        <w:rPr>
          <w:rStyle w:val="16"/>
          <w:rFonts w:hint="eastAsia" w:ascii="宋体" w:hAnsi="宋体" w:cs="宋体"/>
          <w:b w:val="0"/>
          <w:bCs w:val="0"/>
          <w:color w:val="auto"/>
          <w:sz w:val="22"/>
          <w:szCs w:val="22"/>
          <w:highlight w:val="none"/>
          <w:lang w:val="en-US" w:eastAsia="zh-CN" w:bidi="ar-SA"/>
        </w:rPr>
      </w:pPr>
    </w:p>
    <w:p w14:paraId="059742BB">
      <w:pPr>
        <w:pStyle w:val="4"/>
        <w:keepNext w:val="0"/>
        <w:keepLines w:val="0"/>
        <w:pageBreakBefore w:val="0"/>
        <w:kinsoku/>
        <w:wordWrap/>
        <w:overflowPunct/>
        <w:topLinePunct w:val="0"/>
        <w:bidi w:val="0"/>
        <w:spacing w:line="360" w:lineRule="auto"/>
        <w:jc w:val="both"/>
        <w:rPr>
          <w:rStyle w:val="16"/>
          <w:rFonts w:hint="default" w:ascii="宋体" w:hAnsi="宋体" w:cs="宋体"/>
          <w:b w:val="0"/>
          <w:bCs w:val="0"/>
          <w:color w:val="auto"/>
          <w:sz w:val="22"/>
          <w:szCs w:val="22"/>
          <w:highlight w:val="none"/>
          <w:lang w:val="en-US" w:eastAsia="zh-CN" w:bidi="ar-SA"/>
        </w:rPr>
      </w:pPr>
    </w:p>
    <w:p w14:paraId="1A34DA07">
      <w:pPr>
        <w:pStyle w:val="4"/>
        <w:keepNext w:val="0"/>
        <w:keepLines w:val="0"/>
        <w:pageBreakBefore w:val="0"/>
        <w:kinsoku/>
        <w:wordWrap/>
        <w:overflowPunct/>
        <w:topLinePunct w:val="0"/>
        <w:bidi w:val="0"/>
        <w:spacing w:line="360" w:lineRule="auto"/>
        <w:jc w:val="right"/>
        <w:rPr>
          <w:rStyle w:val="16"/>
          <w:rFonts w:hint="eastAsia" w:ascii="宋体" w:hAnsi="宋体" w:cs="宋体"/>
          <w:b/>
          <w:bCs/>
          <w:color w:val="auto"/>
          <w:sz w:val="22"/>
          <w:szCs w:val="22"/>
          <w:highlight w:val="none"/>
          <w:lang w:val="en-US" w:eastAsia="zh-CN" w:bidi="ar-SA"/>
        </w:rPr>
      </w:pPr>
      <w:r>
        <w:rPr>
          <w:rStyle w:val="16"/>
          <w:rFonts w:hint="eastAsia" w:ascii="宋体" w:hAnsi="宋体" w:cs="宋体"/>
          <w:b/>
          <w:bCs/>
          <w:color w:val="auto"/>
          <w:sz w:val="22"/>
          <w:szCs w:val="22"/>
          <w:highlight w:val="none"/>
          <w:lang w:val="en-US" w:eastAsia="zh-CN" w:bidi="ar-SA"/>
        </w:rPr>
        <w:t>化州市妇幼保健院</w:t>
      </w:r>
    </w:p>
    <w:p w14:paraId="233D3A65">
      <w:pPr>
        <w:pStyle w:val="4"/>
        <w:keepNext w:val="0"/>
        <w:keepLines w:val="0"/>
        <w:pageBreakBefore w:val="0"/>
        <w:kinsoku/>
        <w:wordWrap/>
        <w:overflowPunct/>
        <w:topLinePunct w:val="0"/>
        <w:bidi w:val="0"/>
        <w:spacing w:line="360" w:lineRule="auto"/>
        <w:jc w:val="right"/>
        <w:rPr>
          <w:rStyle w:val="16"/>
          <w:rFonts w:hint="eastAsia" w:ascii="宋体" w:hAnsi="宋体" w:eastAsia="宋体" w:cs="宋体"/>
          <w:b/>
          <w:bCs/>
          <w:color w:val="auto"/>
          <w:sz w:val="22"/>
          <w:szCs w:val="22"/>
          <w:lang w:val="en-US" w:eastAsia="zh-CN" w:bidi="ar-SA"/>
        </w:rPr>
      </w:pPr>
      <w:r>
        <w:rPr>
          <w:rStyle w:val="16"/>
          <w:rFonts w:hint="eastAsia" w:ascii="宋体" w:hAnsi="宋体" w:cs="宋体"/>
          <w:b/>
          <w:bCs/>
          <w:color w:val="auto"/>
          <w:sz w:val="22"/>
          <w:szCs w:val="22"/>
          <w:highlight w:val="none"/>
          <w:lang w:val="en-US" w:eastAsia="zh-CN" w:bidi="ar-SA"/>
        </w:rPr>
        <w:t> 2026年1月</w:t>
      </w:r>
    </w:p>
    <w:bookmarkEnd w:id="16"/>
    <w:p w14:paraId="79B82F55">
      <w:pPr>
        <w:pStyle w:val="4"/>
        <w:jc w:val="right"/>
        <w:rPr>
          <w:rStyle w:val="16"/>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B05307F">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7086BDC9">
      <w:pPr>
        <w:keepNext w:val="0"/>
        <w:keepLines w:val="0"/>
        <w:pageBreakBefore w:val="0"/>
        <w:widowControl w:val="0"/>
        <w:kinsoku/>
        <w:wordWrap/>
        <w:overflowPunct/>
        <w:topLinePunct w:val="0"/>
        <w:bidi w:val="0"/>
        <w:spacing w:line="440" w:lineRule="exact"/>
        <w:ind w:firstLine="420" w:firstLineChars="200"/>
        <w:textAlignment w:val="auto"/>
        <w:rPr>
          <w:rStyle w:val="16"/>
          <w:rFonts w:hint="default" w:ascii="宋体" w:hAnsi="宋体" w:cs="宋体" w:eastAsiaTheme="minorEastAsia"/>
          <w:b w:val="0"/>
          <w:bCs w:val="0"/>
          <w:color w:val="auto"/>
          <w:sz w:val="21"/>
          <w:szCs w:val="21"/>
          <w:highlight w:val="none"/>
          <w:lang w:val="en-US" w:eastAsia="zh-CN" w:bidi="ar-SA"/>
        </w:rPr>
      </w:pPr>
    </w:p>
    <w:p w14:paraId="2599741B">
      <w:pPr>
        <w:keepNext w:val="0"/>
        <w:keepLines w:val="0"/>
        <w:pageBreakBefore w:val="0"/>
        <w:widowControl/>
        <w:kinsoku/>
        <w:wordWrap/>
        <w:overflowPunct/>
        <w:topLinePunct w:val="0"/>
        <w:autoSpaceDE/>
        <w:autoSpaceDN/>
        <w:bidi w:val="0"/>
        <w:adjustRightInd/>
        <w:spacing w:line="360" w:lineRule="auto"/>
        <w:ind w:right="0"/>
        <w:jc w:val="left"/>
        <w:textAlignment w:val="auto"/>
        <w:outlineLvl w:val="9"/>
        <w:rPr>
          <w:rStyle w:val="16"/>
          <w:rFonts w:hint="default" w:ascii="宋体" w:hAnsi="宋体" w:eastAsia="宋体" w:cs="宋体"/>
          <w:b/>
          <w:bCs/>
          <w:color w:val="auto"/>
          <w:kern w:val="0"/>
          <w:sz w:val="22"/>
          <w:szCs w:val="22"/>
          <w:lang w:val="en-US" w:eastAsia="zh-CN" w:bidi="ar-SA"/>
        </w:rPr>
      </w:pPr>
      <w:r>
        <w:rPr>
          <w:rStyle w:val="16"/>
          <w:rFonts w:hint="eastAsia" w:ascii="宋体" w:hAnsi="宋体" w:eastAsia="宋体" w:cs="宋体"/>
          <w:b/>
          <w:bCs/>
          <w:color w:val="auto"/>
          <w:kern w:val="0"/>
          <w:sz w:val="22"/>
          <w:szCs w:val="22"/>
          <w:lang w:val="zh-CN" w:eastAsia="zh-CN" w:bidi="ar-SA"/>
        </w:rPr>
        <w:t>一、采购</w:t>
      </w:r>
      <w:r>
        <w:rPr>
          <w:rStyle w:val="16"/>
          <w:rFonts w:hint="eastAsia" w:ascii="宋体" w:hAnsi="宋体" w:eastAsia="宋体" w:cs="宋体"/>
          <w:b/>
          <w:bCs/>
          <w:color w:val="auto"/>
          <w:kern w:val="0"/>
          <w:sz w:val="22"/>
          <w:szCs w:val="22"/>
          <w:lang w:val="en-US" w:eastAsia="zh-CN" w:bidi="ar-SA"/>
        </w:rPr>
        <w:t>项目</w:t>
      </w:r>
      <w:r>
        <w:rPr>
          <w:rStyle w:val="16"/>
          <w:rFonts w:hint="eastAsia" w:ascii="宋体" w:hAnsi="宋体" w:eastAsia="宋体" w:cs="宋体"/>
          <w:b/>
          <w:bCs/>
          <w:color w:val="auto"/>
          <w:kern w:val="0"/>
          <w:sz w:val="22"/>
          <w:szCs w:val="22"/>
          <w:lang w:val="zh-CN" w:eastAsia="zh-CN" w:bidi="ar-SA"/>
        </w:rPr>
        <w:t>一览表</w:t>
      </w:r>
    </w:p>
    <w:tbl>
      <w:tblPr>
        <w:tblStyle w:val="11"/>
        <w:tblpPr w:leftFromText="180" w:rightFromText="180" w:vertAnchor="text" w:horzAnchor="page" w:tblpX="1530" w:tblpY="14"/>
        <w:tblW w:w="92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3600"/>
        <w:gridCol w:w="1235"/>
        <w:gridCol w:w="1840"/>
        <w:gridCol w:w="1530"/>
      </w:tblGrid>
      <w:tr w14:paraId="6056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000" w:type="dxa"/>
            <w:tcBorders>
              <w:top w:val="single" w:color="auto" w:sz="4" w:space="0"/>
              <w:left w:val="single" w:color="auto" w:sz="4" w:space="0"/>
              <w:bottom w:val="single" w:color="auto" w:sz="4" w:space="0"/>
              <w:right w:val="single" w:color="auto" w:sz="4" w:space="0"/>
            </w:tcBorders>
            <w:noWrap w:val="0"/>
            <w:vAlign w:val="center"/>
          </w:tcPr>
          <w:p w14:paraId="23A07D0B">
            <w:pPr>
              <w:jc w:val="center"/>
              <w:rPr>
                <w:rFonts w:ascii="宋体" w:hAnsi="宋体"/>
                <w:b/>
                <w:bCs/>
                <w:sz w:val="22"/>
                <w:szCs w:val="22"/>
              </w:rPr>
            </w:pPr>
            <w:r>
              <w:rPr>
                <w:rFonts w:hint="eastAsia" w:ascii="宋体" w:hAnsi="宋体" w:cs="宋体"/>
                <w:b/>
                <w:bCs/>
                <w:sz w:val="22"/>
                <w:szCs w:val="22"/>
              </w:rPr>
              <w:t>包号</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109CE064">
            <w:pPr>
              <w:jc w:val="center"/>
              <w:rPr>
                <w:rFonts w:ascii="宋体" w:hAnsi="宋体"/>
                <w:b/>
                <w:bCs/>
                <w:sz w:val="22"/>
                <w:szCs w:val="22"/>
              </w:rPr>
            </w:pPr>
            <w:r>
              <w:rPr>
                <w:rFonts w:hint="eastAsia" w:ascii="宋体" w:hAnsi="宋体" w:cs="宋体"/>
                <w:b/>
                <w:bCs/>
                <w:sz w:val="22"/>
                <w:szCs w:val="22"/>
              </w:rPr>
              <w:t>项目名称</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51390AB2">
            <w:pPr>
              <w:jc w:val="center"/>
              <w:rPr>
                <w:rFonts w:ascii="宋体" w:hAnsi="宋体"/>
                <w:b/>
                <w:bCs/>
                <w:sz w:val="22"/>
                <w:szCs w:val="22"/>
              </w:rPr>
            </w:pPr>
            <w:r>
              <w:rPr>
                <w:rFonts w:hint="eastAsia" w:ascii="宋体" w:hAnsi="宋体" w:cs="宋体"/>
                <w:b/>
                <w:bCs/>
                <w:sz w:val="22"/>
                <w:szCs w:val="22"/>
              </w:rPr>
              <w:t>数量</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5A68BEEB">
            <w:pPr>
              <w:jc w:val="center"/>
              <w:rPr>
                <w:rFonts w:ascii="宋体" w:hAnsi="宋体" w:cs="宋体"/>
                <w:b/>
                <w:bCs/>
                <w:sz w:val="22"/>
                <w:szCs w:val="22"/>
              </w:rPr>
            </w:pPr>
            <w:r>
              <w:rPr>
                <w:rFonts w:hint="eastAsia" w:ascii="宋体" w:hAnsi="宋体" w:cs="宋体"/>
                <w:b/>
                <w:bCs/>
                <w:sz w:val="22"/>
                <w:szCs w:val="22"/>
                <w:lang w:val="en-US" w:eastAsia="zh-CN"/>
              </w:rPr>
              <w:t>预算价</w:t>
            </w:r>
            <w:r>
              <w:rPr>
                <w:rFonts w:ascii="宋体" w:hAnsi="宋体" w:cs="宋体"/>
                <w:b/>
                <w:bCs/>
                <w:sz w:val="22"/>
                <w:szCs w:val="22"/>
              </w:rPr>
              <w:t>(</w:t>
            </w:r>
            <w:r>
              <w:rPr>
                <w:rFonts w:hint="eastAsia" w:ascii="宋体" w:hAnsi="宋体" w:cs="宋体"/>
                <w:b/>
                <w:bCs/>
                <w:sz w:val="22"/>
                <w:szCs w:val="22"/>
              </w:rPr>
              <w:t>人民币</w:t>
            </w:r>
            <w:r>
              <w:rPr>
                <w:rFonts w:ascii="宋体" w:hAnsi="宋体" w:cs="宋体"/>
                <w:b/>
                <w:bCs/>
                <w:sz w:val="22"/>
                <w:szCs w:val="22"/>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650F4A74">
            <w:pPr>
              <w:jc w:val="center"/>
              <w:rPr>
                <w:rFonts w:hint="eastAsia" w:ascii="宋体" w:hAnsi="宋体" w:cs="宋体"/>
                <w:b/>
                <w:bCs/>
                <w:sz w:val="22"/>
                <w:szCs w:val="22"/>
                <w:lang w:val="en-US" w:eastAsia="zh-CN"/>
              </w:rPr>
            </w:pPr>
            <w:r>
              <w:rPr>
                <w:rFonts w:hint="eastAsia" w:ascii="宋体" w:hAnsi="宋体" w:cs="宋体"/>
                <w:b/>
                <w:bCs/>
                <w:sz w:val="22"/>
                <w:szCs w:val="22"/>
                <w:lang w:val="en-US" w:eastAsia="zh-CN"/>
              </w:rPr>
              <w:t>服务期限</w:t>
            </w:r>
          </w:p>
        </w:tc>
      </w:tr>
      <w:tr w14:paraId="32A2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000" w:type="dxa"/>
            <w:tcBorders>
              <w:left w:val="single" w:color="auto" w:sz="4" w:space="0"/>
              <w:right w:val="single" w:color="auto" w:sz="4" w:space="0"/>
            </w:tcBorders>
            <w:noWrap w:val="0"/>
            <w:vAlign w:val="center"/>
          </w:tcPr>
          <w:p w14:paraId="7142C53D">
            <w:pPr>
              <w:jc w:val="center"/>
              <w:rPr>
                <w:rFonts w:ascii="宋体" w:hAnsi="宋体" w:cs="宋体"/>
                <w:sz w:val="28"/>
                <w:szCs w:val="28"/>
              </w:rPr>
            </w:pPr>
            <w:r>
              <w:rPr>
                <w:rFonts w:hint="eastAsia" w:ascii="宋体" w:hAnsi="宋体" w:cs="宋体"/>
                <w:sz w:val="28"/>
                <w:szCs w:val="28"/>
              </w:rPr>
              <w:t>1</w:t>
            </w:r>
          </w:p>
        </w:tc>
        <w:tc>
          <w:tcPr>
            <w:tcW w:w="3600" w:type="dxa"/>
            <w:tcBorders>
              <w:top w:val="single" w:color="auto" w:sz="4" w:space="0"/>
              <w:left w:val="single" w:color="auto" w:sz="4" w:space="0"/>
              <w:bottom w:val="single" w:color="auto" w:sz="4" w:space="0"/>
              <w:right w:val="single" w:color="auto" w:sz="4" w:space="0"/>
            </w:tcBorders>
            <w:noWrap w:val="0"/>
            <w:vAlign w:val="center"/>
          </w:tcPr>
          <w:p w14:paraId="2921D617">
            <w:pPr>
              <w:jc w:val="center"/>
              <w:rPr>
                <w:rFonts w:hint="default" w:ascii="宋体" w:hAnsi="宋体" w:eastAsia="宋体"/>
                <w:sz w:val="28"/>
                <w:szCs w:val="28"/>
                <w:lang w:val="en-US" w:eastAsia="zh-CN"/>
              </w:rPr>
            </w:pPr>
            <w:r>
              <w:rPr>
                <w:rStyle w:val="15"/>
                <w:rFonts w:hint="eastAsia"/>
                <w:lang w:val="en-US" w:eastAsia="zh-CN"/>
              </w:rPr>
              <w:t>化州市妇幼保健院医疗电子票据管理系统运维服务采购项目</w:t>
            </w:r>
          </w:p>
        </w:tc>
        <w:tc>
          <w:tcPr>
            <w:tcW w:w="1235" w:type="dxa"/>
            <w:tcBorders>
              <w:top w:val="single" w:color="auto" w:sz="4" w:space="0"/>
              <w:left w:val="single" w:color="auto" w:sz="4" w:space="0"/>
              <w:bottom w:val="single" w:color="auto" w:sz="4" w:space="0"/>
              <w:right w:val="single" w:color="auto" w:sz="4" w:space="0"/>
            </w:tcBorders>
            <w:noWrap w:val="0"/>
            <w:vAlign w:val="center"/>
          </w:tcPr>
          <w:p w14:paraId="01487848">
            <w:pPr>
              <w:jc w:val="center"/>
              <w:rPr>
                <w:rFonts w:hint="eastAsia" w:ascii="宋体" w:hAnsi="宋体" w:eastAsia="宋体" w:cs="宋体"/>
                <w:sz w:val="28"/>
                <w:szCs w:val="28"/>
                <w:lang w:eastAsia="zh-CN"/>
              </w:rPr>
            </w:pPr>
            <w:r>
              <w:rPr>
                <w:rFonts w:hint="eastAsia" w:ascii="宋体" w:hAnsi="宋体" w:cs="宋体"/>
                <w:sz w:val="21"/>
                <w:szCs w:val="21"/>
                <w:lang w:val="en-US" w:eastAsia="zh-CN"/>
              </w:rPr>
              <w:t>一项</w:t>
            </w:r>
          </w:p>
        </w:tc>
        <w:tc>
          <w:tcPr>
            <w:tcW w:w="1840" w:type="dxa"/>
            <w:tcBorders>
              <w:top w:val="single" w:color="auto" w:sz="4" w:space="0"/>
              <w:left w:val="single" w:color="auto" w:sz="4" w:space="0"/>
              <w:bottom w:val="single" w:color="auto" w:sz="4" w:space="0"/>
              <w:right w:val="single" w:color="auto" w:sz="4" w:space="0"/>
            </w:tcBorders>
            <w:noWrap w:val="0"/>
            <w:vAlign w:val="center"/>
          </w:tcPr>
          <w:p w14:paraId="3236031E">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22000</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1F7EF491">
            <w:pPr>
              <w:jc w:val="center"/>
              <w:rPr>
                <w:rFonts w:hint="default" w:ascii="宋体" w:hAnsi="宋体" w:eastAsia="宋体" w:cs="宋体"/>
                <w:sz w:val="22"/>
                <w:szCs w:val="22"/>
                <w:lang w:val="en-US" w:eastAsia="zh-CN"/>
              </w:rPr>
            </w:pPr>
            <w:r>
              <w:rPr>
                <w:rFonts w:hint="eastAsia" w:ascii="宋体" w:hAnsi="宋体" w:cs="宋体"/>
                <w:sz w:val="22"/>
                <w:szCs w:val="22"/>
                <w:lang w:val="en-US" w:eastAsia="zh-CN"/>
              </w:rPr>
              <w:t>1</w:t>
            </w:r>
            <w:r>
              <w:rPr>
                <w:rFonts w:hint="eastAsia" w:ascii="宋体" w:hAnsi="宋体" w:eastAsia="宋体" w:cs="宋体"/>
                <w:sz w:val="22"/>
                <w:szCs w:val="22"/>
                <w:lang w:val="en-US" w:eastAsia="zh-CN"/>
              </w:rPr>
              <w:t>年</w:t>
            </w:r>
          </w:p>
        </w:tc>
      </w:tr>
    </w:tbl>
    <w:p w14:paraId="47F77517">
      <w:pPr>
        <w:pStyle w:val="6"/>
        <w:rPr>
          <w:rStyle w:val="16"/>
          <w:rFonts w:hint="eastAsia" w:ascii="宋体" w:hAnsi="宋体" w:eastAsia="宋体" w:cs="宋体"/>
          <w:b/>
          <w:bCs/>
          <w:color w:val="auto"/>
          <w:kern w:val="0"/>
          <w:sz w:val="22"/>
          <w:szCs w:val="22"/>
          <w:lang w:val="en-US" w:eastAsia="zh-CN" w:bidi="ar-SA"/>
        </w:rPr>
      </w:pPr>
      <w:r>
        <w:rPr>
          <w:rStyle w:val="16"/>
          <w:rFonts w:hint="eastAsia" w:hAnsi="宋体" w:cs="宋体"/>
          <w:b/>
          <w:bCs/>
          <w:color w:val="auto"/>
          <w:kern w:val="0"/>
          <w:sz w:val="22"/>
          <w:szCs w:val="22"/>
          <w:lang w:val="en-US" w:eastAsia="zh-CN" w:bidi="ar-SA"/>
        </w:rPr>
        <w:t>二、</w:t>
      </w:r>
      <w:r>
        <w:rPr>
          <w:rStyle w:val="16"/>
          <w:rFonts w:hint="eastAsia" w:ascii="宋体" w:hAnsi="宋体" w:eastAsia="宋体" w:cs="宋体"/>
          <w:b/>
          <w:bCs/>
          <w:color w:val="auto"/>
          <w:kern w:val="0"/>
          <w:sz w:val="22"/>
          <w:szCs w:val="22"/>
          <w:lang w:val="en-US" w:eastAsia="zh-CN" w:bidi="ar-SA"/>
        </w:rPr>
        <w:t>需求</w:t>
      </w:r>
    </w:p>
    <w:p w14:paraId="1C48C1BF">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1.</w:t>
      </w:r>
      <w:r>
        <w:rPr>
          <w:rStyle w:val="16"/>
          <w:rFonts w:hint="eastAsia" w:ascii="宋体" w:hAnsi="宋体" w:eastAsia="宋体" w:cs="宋体"/>
          <w:b w:val="0"/>
          <w:bCs w:val="0"/>
          <w:color w:val="auto"/>
          <w:kern w:val="0"/>
          <w:sz w:val="22"/>
          <w:szCs w:val="22"/>
          <w:lang w:val="en-US" w:eastAsia="zh-CN" w:bidi="ar-SA"/>
        </w:rPr>
        <w:t>项目目标</w:t>
      </w:r>
    </w:p>
    <w:p w14:paraId="560D5CD5">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通过专业运维服务，保障医疗电子票据管理系统及配套用户认证服务器稳定运行，及时处理系统故障，满足医院日常医疗票据业务开展需求，提升系统使用效率与用户体验，同时确保系统数据安全与业务连续性。</w:t>
      </w:r>
    </w:p>
    <w:p w14:paraId="3A5507BF">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2</w:t>
      </w:r>
      <w:r>
        <w:rPr>
          <w:rStyle w:val="16"/>
          <w:rFonts w:hint="eastAsia" w:hAnsi="宋体" w:cs="宋体"/>
          <w:b w:val="0"/>
          <w:bCs w:val="0"/>
          <w:color w:val="auto"/>
          <w:kern w:val="0"/>
          <w:sz w:val="22"/>
          <w:szCs w:val="22"/>
          <w:lang w:val="en-US" w:eastAsia="zh-CN" w:bidi="ar-SA"/>
        </w:rPr>
        <w:t>.</w:t>
      </w:r>
      <w:r>
        <w:rPr>
          <w:rStyle w:val="16"/>
          <w:rFonts w:hint="eastAsia" w:ascii="宋体" w:hAnsi="宋体" w:eastAsia="宋体" w:cs="宋体"/>
          <w:b w:val="0"/>
          <w:bCs w:val="0"/>
          <w:color w:val="auto"/>
          <w:kern w:val="0"/>
          <w:sz w:val="22"/>
          <w:szCs w:val="22"/>
          <w:lang w:val="en-US" w:eastAsia="zh-CN" w:bidi="ar-SA"/>
        </w:rPr>
        <w:t>服务范围</w:t>
      </w:r>
    </w:p>
    <w:p w14:paraId="6B643286">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本项目服务范围涵盖化州市妇幼保健院医疗电子票据管理系统及用户认证服务器，具体包括系统运行环境维护、业务功能保障、故障处理、用户咨询支持、定期巡检、满意度调查等全流程运维服务，以及用户认证服务器的设备维护、系统级支持与用户级服务。</w:t>
      </w:r>
    </w:p>
    <w:p w14:paraId="78F8DCE2">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3.</w:t>
      </w:r>
      <w:r>
        <w:rPr>
          <w:rStyle w:val="16"/>
          <w:rFonts w:hint="eastAsia" w:ascii="宋体" w:hAnsi="宋体" w:eastAsia="宋体" w:cs="宋体"/>
          <w:b w:val="0"/>
          <w:bCs w:val="0"/>
          <w:color w:val="auto"/>
          <w:kern w:val="0"/>
          <w:sz w:val="22"/>
          <w:szCs w:val="22"/>
          <w:lang w:val="en-US" w:eastAsia="zh-CN" w:bidi="ar-SA"/>
        </w:rPr>
        <w:t>核心服务要求</w:t>
      </w:r>
    </w:p>
    <w:p w14:paraId="379C9AAE">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每季度对系统运行环境开展全面检查，检查内容及标准需满足下表要求，确保系统硬件、软件及数据库环境稳定可靠，及时提出调优建议与故障预防方案，并提交巡检报告。</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25"/>
        <w:gridCol w:w="6015"/>
        <w:gridCol w:w="1540"/>
      </w:tblGrid>
      <w:tr w14:paraId="448D0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4B8993F">
            <w:pPr>
              <w:spacing w:before="120" w:after="120" w:line="360" w:lineRule="auto"/>
              <w:jc w:val="center"/>
              <w:rPr>
                <w:b/>
                <w:bCs/>
                <w:sz w:val="24"/>
              </w:rPr>
            </w:pPr>
            <w:r>
              <w:rPr>
                <w:rFonts w:hint="eastAsia"/>
                <w:b/>
                <w:bCs/>
                <w:sz w:val="24"/>
              </w:rPr>
              <w:t>编号</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7BA6F6C">
            <w:pPr>
              <w:spacing w:before="120" w:after="120" w:line="360" w:lineRule="auto"/>
              <w:jc w:val="center"/>
              <w:rPr>
                <w:b/>
                <w:bCs/>
                <w:sz w:val="24"/>
              </w:rPr>
            </w:pPr>
            <w:r>
              <w:rPr>
                <w:rFonts w:hint="eastAsia"/>
                <w:b/>
                <w:bCs/>
                <w:sz w:val="24"/>
              </w:rPr>
              <w:t>服务内容</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70394BC">
            <w:pPr>
              <w:spacing w:before="120" w:after="120" w:line="360" w:lineRule="auto"/>
              <w:jc w:val="center"/>
              <w:rPr>
                <w:b/>
                <w:bCs/>
                <w:sz w:val="24"/>
              </w:rPr>
            </w:pPr>
            <w:r>
              <w:rPr>
                <w:rFonts w:hint="eastAsia"/>
                <w:b/>
                <w:bCs/>
                <w:sz w:val="24"/>
              </w:rPr>
              <w:t>服务标准</w:t>
            </w:r>
          </w:p>
        </w:tc>
      </w:tr>
      <w:tr w14:paraId="7DFC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9A3EF70">
            <w:pPr>
              <w:spacing w:before="120" w:after="120" w:line="360" w:lineRule="auto"/>
              <w:jc w:val="center"/>
              <w:rPr>
                <w:sz w:val="24"/>
              </w:rPr>
            </w:pPr>
            <w:r>
              <w:rPr>
                <w:rFonts w:hint="eastAsia"/>
                <w:sz w:val="24"/>
              </w:rPr>
              <w:t>1</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AA44F77">
            <w:pPr>
              <w:spacing w:before="120" w:after="120" w:line="360" w:lineRule="auto"/>
              <w:jc w:val="left"/>
              <w:rPr>
                <w:sz w:val="24"/>
              </w:rPr>
            </w:pPr>
            <w:r>
              <w:rPr>
                <w:rFonts w:hint="eastAsia"/>
                <w:sz w:val="24"/>
              </w:rPr>
              <w:t>检查系统是否能够正常登陆和显示</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3D12589">
            <w:pPr>
              <w:spacing w:before="120" w:after="120" w:line="360" w:lineRule="auto"/>
              <w:jc w:val="center"/>
              <w:rPr>
                <w:sz w:val="24"/>
              </w:rPr>
            </w:pPr>
            <w:r>
              <w:rPr>
                <w:rFonts w:hint="eastAsia"/>
                <w:sz w:val="24"/>
              </w:rPr>
              <w:t>1次/季度</w:t>
            </w:r>
          </w:p>
        </w:tc>
      </w:tr>
      <w:tr w14:paraId="62A1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20B4B92">
            <w:pPr>
              <w:spacing w:before="120" w:after="120" w:line="360" w:lineRule="auto"/>
              <w:jc w:val="center"/>
              <w:rPr>
                <w:sz w:val="24"/>
              </w:rPr>
            </w:pPr>
            <w:r>
              <w:rPr>
                <w:rFonts w:hint="eastAsia"/>
                <w:sz w:val="24"/>
              </w:rPr>
              <w:t>2</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6B62E41">
            <w:pPr>
              <w:spacing w:before="120" w:after="120" w:line="360" w:lineRule="auto"/>
              <w:jc w:val="left"/>
              <w:rPr>
                <w:sz w:val="24"/>
              </w:rPr>
            </w:pPr>
            <w:r>
              <w:rPr>
                <w:rFonts w:hint="eastAsia"/>
                <w:sz w:val="24"/>
              </w:rPr>
              <w:t>检查系统页面各功能操作是否顺畅</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8CC7E9A">
            <w:pPr>
              <w:spacing w:before="120" w:after="120" w:line="360" w:lineRule="auto"/>
              <w:jc w:val="center"/>
              <w:rPr>
                <w:sz w:val="24"/>
              </w:rPr>
            </w:pPr>
            <w:r>
              <w:rPr>
                <w:rFonts w:hint="eastAsia"/>
                <w:sz w:val="24"/>
              </w:rPr>
              <w:t>1次/季度</w:t>
            </w:r>
          </w:p>
        </w:tc>
      </w:tr>
      <w:tr w14:paraId="03BEE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0157C30">
            <w:pPr>
              <w:spacing w:before="120" w:after="120" w:line="360" w:lineRule="auto"/>
              <w:jc w:val="center"/>
              <w:rPr>
                <w:sz w:val="24"/>
              </w:rPr>
            </w:pPr>
            <w:r>
              <w:rPr>
                <w:rFonts w:hint="eastAsia"/>
                <w:sz w:val="24"/>
              </w:rPr>
              <w:t>3</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E67D5D5">
            <w:pPr>
              <w:spacing w:before="120" w:after="120" w:line="360" w:lineRule="auto"/>
              <w:jc w:val="left"/>
              <w:rPr>
                <w:sz w:val="24"/>
              </w:rPr>
            </w:pPr>
            <w:r>
              <w:rPr>
                <w:rFonts w:hint="eastAsia"/>
                <w:sz w:val="24"/>
              </w:rPr>
              <w:t>检查系统后台是否正常</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C3F54B1">
            <w:pPr>
              <w:spacing w:before="120" w:after="120" w:line="360" w:lineRule="auto"/>
              <w:jc w:val="center"/>
              <w:rPr>
                <w:sz w:val="24"/>
              </w:rPr>
            </w:pPr>
            <w:r>
              <w:rPr>
                <w:rFonts w:hint="eastAsia"/>
                <w:sz w:val="24"/>
              </w:rPr>
              <w:t>1次/季度</w:t>
            </w:r>
          </w:p>
        </w:tc>
      </w:tr>
      <w:tr w14:paraId="7A15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48D98E4">
            <w:pPr>
              <w:spacing w:before="120" w:after="120" w:line="360" w:lineRule="auto"/>
              <w:jc w:val="center"/>
              <w:rPr>
                <w:sz w:val="24"/>
              </w:rPr>
            </w:pPr>
            <w:r>
              <w:rPr>
                <w:rFonts w:hint="eastAsia"/>
                <w:sz w:val="24"/>
              </w:rPr>
              <w:t>4</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4AEEB61">
            <w:pPr>
              <w:spacing w:before="120" w:after="120" w:line="360" w:lineRule="auto"/>
              <w:jc w:val="left"/>
              <w:rPr>
                <w:sz w:val="24"/>
              </w:rPr>
            </w:pPr>
            <w:r>
              <w:rPr>
                <w:rFonts w:hint="eastAsia"/>
                <w:sz w:val="24"/>
              </w:rPr>
              <w:t>检查系统接口是否正常</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9FF0E8D">
            <w:pPr>
              <w:spacing w:before="120" w:after="120" w:line="360" w:lineRule="auto"/>
              <w:jc w:val="center"/>
              <w:rPr>
                <w:sz w:val="24"/>
              </w:rPr>
            </w:pPr>
            <w:r>
              <w:rPr>
                <w:rFonts w:hint="eastAsia"/>
                <w:sz w:val="24"/>
              </w:rPr>
              <w:t>1次/季度</w:t>
            </w:r>
          </w:p>
        </w:tc>
      </w:tr>
      <w:tr w14:paraId="1F79F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426D00C">
            <w:pPr>
              <w:spacing w:before="120" w:after="120" w:line="360" w:lineRule="auto"/>
              <w:jc w:val="center"/>
              <w:rPr>
                <w:sz w:val="24"/>
              </w:rPr>
            </w:pPr>
            <w:r>
              <w:rPr>
                <w:rFonts w:hint="eastAsia"/>
                <w:sz w:val="24"/>
              </w:rPr>
              <w:t>5</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97C9650">
            <w:pPr>
              <w:spacing w:before="120" w:after="120" w:line="360" w:lineRule="auto"/>
              <w:jc w:val="left"/>
              <w:rPr>
                <w:sz w:val="24"/>
              </w:rPr>
            </w:pPr>
            <w:r>
              <w:rPr>
                <w:rFonts w:hint="eastAsia"/>
                <w:sz w:val="24"/>
              </w:rPr>
              <w:t>检查数据库电子票据系统用户表空间是否足够（使用率均少于90%）</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FA45936">
            <w:pPr>
              <w:spacing w:before="120" w:after="120" w:line="360" w:lineRule="auto"/>
              <w:jc w:val="center"/>
              <w:rPr>
                <w:sz w:val="24"/>
              </w:rPr>
            </w:pPr>
            <w:r>
              <w:rPr>
                <w:rFonts w:hint="eastAsia"/>
                <w:sz w:val="24"/>
              </w:rPr>
              <w:t>1次/季度</w:t>
            </w:r>
          </w:p>
        </w:tc>
      </w:tr>
      <w:tr w14:paraId="54A6F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F4D19D0">
            <w:pPr>
              <w:spacing w:before="120" w:after="120" w:line="360" w:lineRule="auto"/>
              <w:jc w:val="center"/>
              <w:rPr>
                <w:sz w:val="24"/>
              </w:rPr>
            </w:pPr>
            <w:r>
              <w:rPr>
                <w:rFonts w:hint="eastAsia"/>
                <w:sz w:val="24"/>
              </w:rPr>
              <w:t>6</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9C5356A">
            <w:pPr>
              <w:spacing w:before="120" w:after="120" w:line="360" w:lineRule="auto"/>
              <w:jc w:val="left"/>
              <w:rPr>
                <w:sz w:val="24"/>
              </w:rPr>
            </w:pPr>
            <w:r>
              <w:rPr>
                <w:rFonts w:hint="eastAsia"/>
                <w:sz w:val="24"/>
              </w:rPr>
              <w:t>检查数据库系统表空间是否足够（使用率均少于90%）</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B8D9BED">
            <w:pPr>
              <w:spacing w:before="120" w:after="120" w:line="360" w:lineRule="auto"/>
              <w:jc w:val="center"/>
              <w:rPr>
                <w:sz w:val="24"/>
              </w:rPr>
            </w:pPr>
            <w:r>
              <w:rPr>
                <w:rFonts w:hint="eastAsia"/>
                <w:sz w:val="24"/>
              </w:rPr>
              <w:t>1次/季度</w:t>
            </w:r>
          </w:p>
        </w:tc>
      </w:tr>
      <w:tr w14:paraId="2D2ED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89CA9D7">
            <w:pPr>
              <w:spacing w:before="120" w:after="120" w:line="360" w:lineRule="auto"/>
              <w:jc w:val="center"/>
              <w:rPr>
                <w:sz w:val="24"/>
              </w:rPr>
            </w:pPr>
            <w:r>
              <w:rPr>
                <w:rFonts w:hint="eastAsia"/>
                <w:sz w:val="24"/>
              </w:rPr>
              <w:t>7</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767FACB">
            <w:pPr>
              <w:spacing w:before="120" w:after="120" w:line="360" w:lineRule="auto"/>
              <w:jc w:val="left"/>
              <w:rPr>
                <w:sz w:val="24"/>
              </w:rPr>
            </w:pPr>
            <w:r>
              <w:rPr>
                <w:rFonts w:hint="eastAsia"/>
                <w:sz w:val="24"/>
              </w:rPr>
              <w:t>检查数据备份是否正常，备份空间是否足够</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6CED76D">
            <w:pPr>
              <w:spacing w:before="120" w:after="120" w:line="360" w:lineRule="auto"/>
              <w:jc w:val="center"/>
              <w:rPr>
                <w:sz w:val="24"/>
              </w:rPr>
            </w:pPr>
            <w:r>
              <w:rPr>
                <w:rFonts w:hint="eastAsia"/>
                <w:sz w:val="24"/>
              </w:rPr>
              <w:t>1次/季度</w:t>
            </w:r>
          </w:p>
        </w:tc>
      </w:tr>
      <w:tr w14:paraId="2CE8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CEDEEE8">
            <w:pPr>
              <w:spacing w:before="120" w:after="120" w:line="360" w:lineRule="auto"/>
              <w:jc w:val="center"/>
              <w:rPr>
                <w:sz w:val="24"/>
              </w:rPr>
            </w:pPr>
            <w:r>
              <w:rPr>
                <w:rFonts w:hint="eastAsia"/>
                <w:sz w:val="24"/>
              </w:rPr>
              <w:t>8</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A59E907">
            <w:pPr>
              <w:spacing w:before="120" w:after="120" w:line="360" w:lineRule="auto"/>
              <w:jc w:val="left"/>
              <w:rPr>
                <w:sz w:val="24"/>
              </w:rPr>
            </w:pPr>
            <w:r>
              <w:rPr>
                <w:rFonts w:hint="eastAsia"/>
                <w:sz w:val="24"/>
              </w:rPr>
              <w:t>检查服务器硬盘空间是否足够（使用率要少于90%）</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8A20326">
            <w:pPr>
              <w:spacing w:before="120" w:after="120" w:line="360" w:lineRule="auto"/>
              <w:jc w:val="center"/>
              <w:rPr>
                <w:sz w:val="24"/>
              </w:rPr>
            </w:pPr>
            <w:r>
              <w:rPr>
                <w:rFonts w:hint="eastAsia"/>
                <w:sz w:val="24"/>
              </w:rPr>
              <w:t>1次/季度</w:t>
            </w:r>
          </w:p>
        </w:tc>
      </w:tr>
      <w:tr w14:paraId="538A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3E5835A">
            <w:pPr>
              <w:spacing w:before="120" w:after="120" w:line="360" w:lineRule="auto"/>
              <w:jc w:val="center"/>
              <w:rPr>
                <w:sz w:val="24"/>
              </w:rPr>
            </w:pPr>
            <w:r>
              <w:rPr>
                <w:rFonts w:hint="eastAsia"/>
                <w:sz w:val="24"/>
              </w:rPr>
              <w:t>9</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9368CAE">
            <w:pPr>
              <w:spacing w:before="120" w:after="120" w:line="360" w:lineRule="auto"/>
              <w:jc w:val="left"/>
              <w:rPr>
                <w:sz w:val="24"/>
              </w:rPr>
            </w:pPr>
            <w:r>
              <w:rPr>
                <w:rFonts w:hint="eastAsia"/>
                <w:sz w:val="24"/>
              </w:rPr>
              <w:t>检查系统日志是否正常</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4C874D3">
            <w:pPr>
              <w:spacing w:before="120" w:after="120" w:line="360" w:lineRule="auto"/>
              <w:jc w:val="center"/>
              <w:rPr>
                <w:sz w:val="24"/>
              </w:rPr>
            </w:pPr>
            <w:r>
              <w:rPr>
                <w:rFonts w:hint="eastAsia"/>
                <w:sz w:val="24"/>
              </w:rPr>
              <w:t>1次/季度</w:t>
            </w:r>
          </w:p>
        </w:tc>
      </w:tr>
      <w:tr w14:paraId="1C577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72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D498132">
            <w:pPr>
              <w:spacing w:before="120" w:after="120" w:line="360" w:lineRule="auto"/>
              <w:jc w:val="center"/>
              <w:rPr>
                <w:sz w:val="24"/>
              </w:rPr>
            </w:pPr>
            <w:r>
              <w:rPr>
                <w:rFonts w:hint="eastAsia"/>
                <w:sz w:val="24"/>
              </w:rPr>
              <w:t>10</w:t>
            </w:r>
          </w:p>
        </w:tc>
        <w:tc>
          <w:tcPr>
            <w:tcW w:w="601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EBFD150">
            <w:pPr>
              <w:spacing w:before="120" w:after="120" w:line="360" w:lineRule="auto"/>
              <w:jc w:val="left"/>
              <w:rPr>
                <w:sz w:val="24"/>
              </w:rPr>
            </w:pPr>
            <w:r>
              <w:rPr>
                <w:rFonts w:hint="eastAsia"/>
                <w:sz w:val="24"/>
              </w:rPr>
              <w:t>根据巡检结果，提交改进建议报告</w:t>
            </w:r>
          </w:p>
        </w:tc>
        <w:tc>
          <w:tcPr>
            <w:tcW w:w="15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7425D35">
            <w:pPr>
              <w:spacing w:before="120" w:after="120" w:line="360" w:lineRule="auto"/>
              <w:jc w:val="center"/>
              <w:rPr>
                <w:sz w:val="24"/>
              </w:rPr>
            </w:pPr>
            <w:r>
              <w:rPr>
                <w:rFonts w:hint="eastAsia"/>
                <w:sz w:val="24"/>
              </w:rPr>
              <w:t>1次/季度</w:t>
            </w:r>
          </w:p>
        </w:tc>
      </w:tr>
    </w:tbl>
    <w:p w14:paraId="5B13B8AA">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4.</w:t>
      </w:r>
      <w:r>
        <w:rPr>
          <w:rStyle w:val="16"/>
          <w:rFonts w:hint="eastAsia" w:ascii="宋体" w:hAnsi="宋体" w:eastAsia="宋体" w:cs="宋体"/>
          <w:b w:val="0"/>
          <w:bCs w:val="0"/>
          <w:color w:val="auto"/>
          <w:kern w:val="0"/>
          <w:sz w:val="22"/>
          <w:szCs w:val="22"/>
          <w:lang w:val="en-US" w:eastAsia="zh-CN" w:bidi="ar-SA"/>
        </w:rPr>
        <w:t>系统业务功能检查</w:t>
      </w:r>
    </w:p>
    <w:p w14:paraId="7CA9E008">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每季度对系统核心业务功能进行全面测试，确保医疗票据相关业务正常开展，检查内容及标准需符合下表规定，保障医院票据管理、开具、存档、交付及报表查询等业务无异常。</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18"/>
        <w:gridCol w:w="5740"/>
        <w:gridCol w:w="1722"/>
      </w:tblGrid>
      <w:tr w14:paraId="31DDC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721AC188">
            <w:pPr>
              <w:spacing w:before="120" w:after="120" w:line="360" w:lineRule="auto"/>
              <w:jc w:val="center"/>
              <w:rPr>
                <w:b/>
                <w:bCs/>
                <w:sz w:val="24"/>
              </w:rPr>
            </w:pPr>
            <w:r>
              <w:rPr>
                <w:rFonts w:hint="eastAsia"/>
                <w:b/>
                <w:bCs/>
                <w:sz w:val="24"/>
              </w:rPr>
              <w:t>编号</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F55C248">
            <w:pPr>
              <w:spacing w:before="120" w:after="120" w:line="360" w:lineRule="auto"/>
              <w:jc w:val="center"/>
              <w:rPr>
                <w:b/>
                <w:bCs/>
                <w:sz w:val="24"/>
              </w:rPr>
            </w:pPr>
            <w:r>
              <w:rPr>
                <w:rFonts w:hint="eastAsia"/>
                <w:b/>
                <w:bCs/>
                <w:sz w:val="24"/>
              </w:rPr>
              <w:t>服务内容</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E3980C0">
            <w:pPr>
              <w:spacing w:before="120" w:after="120" w:line="360" w:lineRule="auto"/>
              <w:jc w:val="center"/>
              <w:rPr>
                <w:b/>
                <w:bCs/>
                <w:sz w:val="24"/>
              </w:rPr>
            </w:pPr>
            <w:r>
              <w:rPr>
                <w:rFonts w:hint="eastAsia"/>
                <w:b/>
                <w:bCs/>
                <w:sz w:val="24"/>
              </w:rPr>
              <w:t>服务标准</w:t>
            </w:r>
          </w:p>
        </w:tc>
      </w:tr>
      <w:tr w14:paraId="25C5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883180A">
            <w:pPr>
              <w:spacing w:before="120" w:after="120" w:line="360" w:lineRule="auto"/>
              <w:jc w:val="center"/>
              <w:rPr>
                <w:sz w:val="24"/>
              </w:rPr>
            </w:pPr>
            <w:r>
              <w:rPr>
                <w:rFonts w:hint="eastAsia"/>
                <w:sz w:val="24"/>
              </w:rPr>
              <w:t>1</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1A683C4">
            <w:pPr>
              <w:spacing w:before="120" w:after="120" w:line="360" w:lineRule="auto"/>
              <w:jc w:val="left"/>
              <w:rPr>
                <w:sz w:val="24"/>
              </w:rPr>
            </w:pPr>
            <w:r>
              <w:rPr>
                <w:rFonts w:hint="eastAsia"/>
                <w:sz w:val="24"/>
              </w:rPr>
              <w:t>检查系统基础信息管理功能是否正常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C686A8A">
            <w:pPr>
              <w:spacing w:before="120" w:after="120" w:line="360" w:lineRule="auto"/>
              <w:jc w:val="center"/>
              <w:rPr>
                <w:sz w:val="24"/>
              </w:rPr>
            </w:pPr>
            <w:r>
              <w:rPr>
                <w:rFonts w:hint="eastAsia"/>
                <w:sz w:val="24"/>
              </w:rPr>
              <w:t>1次/季度</w:t>
            </w:r>
          </w:p>
        </w:tc>
      </w:tr>
      <w:tr w14:paraId="02B4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A0A6EF3">
            <w:pPr>
              <w:spacing w:before="120" w:after="120" w:line="360" w:lineRule="auto"/>
              <w:jc w:val="center"/>
              <w:rPr>
                <w:sz w:val="24"/>
              </w:rPr>
            </w:pPr>
            <w:r>
              <w:rPr>
                <w:rFonts w:hint="eastAsia"/>
                <w:sz w:val="24"/>
              </w:rPr>
              <w:t>2</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8E1AAB1">
            <w:pPr>
              <w:spacing w:before="120" w:after="120" w:line="360" w:lineRule="auto"/>
              <w:jc w:val="left"/>
              <w:rPr>
                <w:sz w:val="24"/>
              </w:rPr>
            </w:pPr>
            <w:r>
              <w:rPr>
                <w:rFonts w:hint="eastAsia"/>
                <w:sz w:val="24"/>
              </w:rPr>
              <w:t>检查系统医疗票据管理功能是否正常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D533FAA">
            <w:pPr>
              <w:spacing w:before="120" w:after="120" w:line="360" w:lineRule="auto"/>
              <w:jc w:val="center"/>
              <w:rPr>
                <w:sz w:val="24"/>
              </w:rPr>
            </w:pPr>
            <w:r>
              <w:rPr>
                <w:rFonts w:hint="eastAsia"/>
                <w:sz w:val="24"/>
              </w:rPr>
              <w:t>1次/季度</w:t>
            </w:r>
          </w:p>
        </w:tc>
      </w:tr>
      <w:tr w14:paraId="6D26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B87A44A">
            <w:pPr>
              <w:spacing w:before="120" w:after="120" w:line="360" w:lineRule="auto"/>
              <w:jc w:val="center"/>
              <w:rPr>
                <w:sz w:val="24"/>
              </w:rPr>
            </w:pPr>
            <w:r>
              <w:rPr>
                <w:rFonts w:hint="eastAsia"/>
                <w:sz w:val="24"/>
              </w:rPr>
              <w:t>3</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2A2EFCB">
            <w:pPr>
              <w:spacing w:before="120" w:after="120" w:line="360" w:lineRule="auto"/>
              <w:jc w:val="left"/>
              <w:rPr>
                <w:sz w:val="24"/>
              </w:rPr>
            </w:pPr>
            <w:r>
              <w:rPr>
                <w:rFonts w:hint="eastAsia"/>
                <w:sz w:val="24"/>
              </w:rPr>
              <w:t>检查系统医疗票据开具功能是否正常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80B57F2">
            <w:pPr>
              <w:spacing w:before="120" w:after="120" w:line="360" w:lineRule="auto"/>
              <w:jc w:val="center"/>
              <w:rPr>
                <w:sz w:val="24"/>
              </w:rPr>
            </w:pPr>
            <w:r>
              <w:rPr>
                <w:rFonts w:hint="eastAsia"/>
                <w:sz w:val="24"/>
              </w:rPr>
              <w:t>1次/季度</w:t>
            </w:r>
          </w:p>
        </w:tc>
      </w:tr>
      <w:tr w14:paraId="08ED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BC9213D">
            <w:pPr>
              <w:spacing w:before="120" w:after="120" w:line="360" w:lineRule="auto"/>
              <w:jc w:val="center"/>
              <w:rPr>
                <w:sz w:val="24"/>
              </w:rPr>
            </w:pPr>
            <w:r>
              <w:rPr>
                <w:rFonts w:hint="eastAsia"/>
                <w:sz w:val="24"/>
              </w:rPr>
              <w:t>4</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4DF0121A">
            <w:pPr>
              <w:spacing w:before="120" w:after="120" w:line="360" w:lineRule="auto"/>
              <w:jc w:val="left"/>
              <w:rPr>
                <w:sz w:val="24"/>
              </w:rPr>
            </w:pPr>
            <w:r>
              <w:rPr>
                <w:rFonts w:hint="eastAsia"/>
                <w:sz w:val="24"/>
              </w:rPr>
              <w:t>检查系统医疗票据存档功能是否正常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2D273C14">
            <w:pPr>
              <w:spacing w:before="120" w:after="120" w:line="360" w:lineRule="auto"/>
              <w:jc w:val="center"/>
              <w:rPr>
                <w:sz w:val="24"/>
              </w:rPr>
            </w:pPr>
            <w:r>
              <w:rPr>
                <w:rFonts w:hint="eastAsia"/>
                <w:sz w:val="24"/>
              </w:rPr>
              <w:t>1次/季度</w:t>
            </w:r>
          </w:p>
        </w:tc>
      </w:tr>
      <w:tr w14:paraId="4438D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AB25548">
            <w:pPr>
              <w:spacing w:before="120" w:after="120" w:line="360" w:lineRule="auto"/>
              <w:jc w:val="center"/>
              <w:rPr>
                <w:sz w:val="24"/>
              </w:rPr>
            </w:pPr>
            <w:r>
              <w:rPr>
                <w:rFonts w:hint="eastAsia"/>
                <w:sz w:val="24"/>
              </w:rPr>
              <w:t>5</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20B16D9">
            <w:pPr>
              <w:spacing w:before="120" w:after="120" w:line="360" w:lineRule="auto"/>
              <w:jc w:val="left"/>
              <w:rPr>
                <w:sz w:val="24"/>
              </w:rPr>
            </w:pPr>
            <w:r>
              <w:rPr>
                <w:rFonts w:hint="eastAsia"/>
                <w:sz w:val="24"/>
              </w:rPr>
              <w:t>检查系统医疗票据交付功能是否正常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99B7261">
            <w:pPr>
              <w:spacing w:before="120" w:after="120" w:line="360" w:lineRule="auto"/>
              <w:jc w:val="center"/>
              <w:rPr>
                <w:sz w:val="24"/>
              </w:rPr>
            </w:pPr>
            <w:r>
              <w:rPr>
                <w:rFonts w:hint="eastAsia"/>
                <w:sz w:val="24"/>
              </w:rPr>
              <w:t>1次/季度</w:t>
            </w:r>
          </w:p>
        </w:tc>
      </w:tr>
      <w:tr w14:paraId="4ACE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11A2D914">
            <w:pPr>
              <w:spacing w:before="120" w:after="120" w:line="360" w:lineRule="auto"/>
              <w:jc w:val="center"/>
              <w:rPr>
                <w:sz w:val="24"/>
              </w:rPr>
            </w:pPr>
            <w:r>
              <w:rPr>
                <w:rFonts w:hint="eastAsia"/>
                <w:sz w:val="24"/>
              </w:rPr>
              <w:t>6</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57F92A7A">
            <w:pPr>
              <w:spacing w:before="120" w:after="120" w:line="360" w:lineRule="auto"/>
              <w:jc w:val="left"/>
              <w:rPr>
                <w:sz w:val="24"/>
              </w:rPr>
            </w:pPr>
            <w:r>
              <w:rPr>
                <w:rFonts w:hint="eastAsia"/>
                <w:sz w:val="24"/>
              </w:rPr>
              <w:t>检查系统综合报表查询功能是否正常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0D39127B">
            <w:pPr>
              <w:spacing w:before="120" w:after="120" w:line="360" w:lineRule="auto"/>
              <w:jc w:val="center"/>
              <w:rPr>
                <w:sz w:val="24"/>
              </w:rPr>
            </w:pPr>
            <w:r>
              <w:rPr>
                <w:rFonts w:hint="eastAsia"/>
                <w:sz w:val="24"/>
              </w:rPr>
              <w:t>1次/季度</w:t>
            </w:r>
          </w:p>
        </w:tc>
      </w:tr>
      <w:tr w14:paraId="1D197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jc w:val="center"/>
        </w:trPr>
        <w:tc>
          <w:tcPr>
            <w:tcW w:w="81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3DE239BB">
            <w:pPr>
              <w:spacing w:before="120" w:after="120" w:line="360" w:lineRule="auto"/>
              <w:jc w:val="center"/>
              <w:rPr>
                <w:sz w:val="24"/>
              </w:rPr>
            </w:pPr>
            <w:r>
              <w:rPr>
                <w:rFonts w:hint="eastAsia"/>
                <w:sz w:val="24"/>
              </w:rPr>
              <w:t>7</w:t>
            </w:r>
          </w:p>
        </w:tc>
        <w:tc>
          <w:tcPr>
            <w:tcW w:w="574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313139B">
            <w:pPr>
              <w:spacing w:before="120" w:after="120" w:line="360" w:lineRule="auto"/>
              <w:jc w:val="left"/>
              <w:rPr>
                <w:sz w:val="24"/>
              </w:rPr>
            </w:pPr>
            <w:r>
              <w:rPr>
                <w:rFonts w:hint="eastAsia"/>
                <w:sz w:val="24"/>
              </w:rPr>
              <w:t>检查系统管理功能是否正常</w:t>
            </w:r>
          </w:p>
        </w:tc>
        <w:tc>
          <w:tcPr>
            <w:tcW w:w="172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tcPr>
          <w:p w14:paraId="6C07C65F">
            <w:pPr>
              <w:spacing w:before="120" w:after="120" w:line="360" w:lineRule="auto"/>
              <w:jc w:val="center"/>
              <w:rPr>
                <w:sz w:val="24"/>
              </w:rPr>
            </w:pPr>
            <w:r>
              <w:rPr>
                <w:rFonts w:hint="eastAsia"/>
                <w:sz w:val="24"/>
              </w:rPr>
              <w:t>1次/季度</w:t>
            </w:r>
          </w:p>
        </w:tc>
      </w:tr>
    </w:tbl>
    <w:p w14:paraId="37F5A914">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5.</w:t>
      </w:r>
      <w:r>
        <w:rPr>
          <w:rStyle w:val="16"/>
          <w:rFonts w:hint="eastAsia" w:ascii="宋体" w:hAnsi="宋体" w:eastAsia="宋体" w:cs="宋体"/>
          <w:b w:val="0"/>
          <w:bCs w:val="0"/>
          <w:color w:val="auto"/>
          <w:kern w:val="0"/>
          <w:sz w:val="22"/>
          <w:szCs w:val="22"/>
          <w:lang w:val="en-US" w:eastAsia="zh-CN" w:bidi="ar-SA"/>
        </w:rPr>
        <w:t>用户咨询与远程支持</w:t>
      </w:r>
    </w:p>
    <w:p w14:paraId="12C06D6C">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提供热线电话与网络服务双重远程支持渠道，及时解答用户使用系统过程中遇到的问题，具体服务要求如下：</w:t>
      </w:r>
    </w:p>
    <w:p w14:paraId="2A37A024">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热线电话服务：开通专属服务热线，确保所有系统用户可通过热线获取支持；常见可即时响应问题需立即答复；影响业务的紧急未答复问题，24小时内组织技术小组给出解决方案并答复；不影响业务的未答复问题，48小时内答复；定期整理典型问题及解答，形成电话记录文档、服务知识树与常见问题解答列表。</w:t>
      </w:r>
    </w:p>
    <w:p w14:paraId="1EAEC389">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网络服务：开通电子邮件与传真服务，用户可通过邮件或传真提交问题，服务方需及时响应并提供支持，保障问题得到有效解决。</w:t>
      </w:r>
    </w:p>
    <w:p w14:paraId="0C1FFCA1">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6</w:t>
      </w:r>
      <w:r>
        <w:rPr>
          <w:rStyle w:val="16"/>
          <w:rFonts w:hint="eastAsia" w:ascii="宋体" w:hAnsi="宋体" w:eastAsia="宋体" w:cs="宋体"/>
          <w:b w:val="0"/>
          <w:bCs w:val="0"/>
          <w:color w:val="auto"/>
          <w:kern w:val="0"/>
          <w:sz w:val="22"/>
          <w:szCs w:val="22"/>
          <w:lang w:val="en-US" w:eastAsia="zh-CN" w:bidi="ar-SA"/>
        </w:rPr>
        <w:t>.运维开发团队后端支持</w:t>
      </w:r>
    </w:p>
    <w:p w14:paraId="25A7EB84">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当巡检人员遇到无法独立解决的问题时，需通过电话、网络等实时通信方式联动运维开发团队，确保问题快速处理；针对系统故障需及时进行代码修复；若软件运行缓慢，需提供性能优化服务，软件无法优化时需提交明确的优化建议方案，所有服务需保障“及时”响应。</w:t>
      </w:r>
    </w:p>
    <w:p w14:paraId="61D66A83">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7.</w:t>
      </w:r>
      <w:r>
        <w:rPr>
          <w:rStyle w:val="16"/>
          <w:rFonts w:hint="eastAsia" w:ascii="宋体" w:hAnsi="宋体" w:eastAsia="宋体" w:cs="宋体"/>
          <w:b w:val="0"/>
          <w:bCs w:val="0"/>
          <w:color w:val="auto"/>
          <w:kern w:val="0"/>
          <w:sz w:val="22"/>
          <w:szCs w:val="22"/>
          <w:lang w:val="en-US" w:eastAsia="zh-CN" w:bidi="ar-SA"/>
        </w:rPr>
        <w:t>业务单位回访与总结</w:t>
      </w:r>
    </w:p>
    <w:p w14:paraId="1F5D7EDF">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服务期内至少开展1次主动回访，了解用户对软件产品的建议及系统操作感受；根据回访结果，对系统使用建议、业务需求、项目需求等进行汇总，形成《服务总结报告》，反馈至医院信息管理科，并制定针对性改进措施。</w:t>
      </w:r>
    </w:p>
    <w:p w14:paraId="30308E64">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8.</w:t>
      </w:r>
      <w:r>
        <w:rPr>
          <w:rStyle w:val="16"/>
          <w:rFonts w:hint="eastAsia" w:ascii="宋体" w:hAnsi="宋体" w:eastAsia="宋体" w:cs="宋体"/>
          <w:b w:val="0"/>
          <w:bCs w:val="0"/>
          <w:color w:val="auto"/>
          <w:kern w:val="0"/>
          <w:sz w:val="22"/>
          <w:szCs w:val="22"/>
          <w:lang w:val="en-US" w:eastAsia="zh-CN" w:bidi="ar-SA"/>
        </w:rPr>
        <w:t>满意度调查</w:t>
      </w:r>
    </w:p>
    <w:p w14:paraId="2BA2B239">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服务期内通过电话方式开展1次客户满意度调查，填写满意度调查表并进行汇总分析，形成总结报告提交医院信息管理科与服务方总部，同时根据调查结果制定改进措施，持续优化服务质量。</w:t>
      </w:r>
    </w:p>
    <w:p w14:paraId="6DAC6DB3">
      <w:pPr>
        <w:pStyle w:val="6"/>
        <w:rPr>
          <w:rStyle w:val="16"/>
          <w:rFonts w:hint="eastAsia" w:ascii="宋体" w:hAnsi="宋体" w:eastAsia="宋体" w:cs="宋体"/>
          <w:b/>
          <w:bCs/>
          <w:color w:val="auto"/>
          <w:kern w:val="0"/>
          <w:sz w:val="22"/>
          <w:szCs w:val="22"/>
          <w:lang w:val="en-US" w:eastAsia="zh-CN" w:bidi="ar-SA"/>
        </w:rPr>
      </w:pPr>
      <w:r>
        <w:rPr>
          <w:rStyle w:val="16"/>
          <w:rFonts w:hint="eastAsia" w:hAnsi="宋体" w:cs="宋体"/>
          <w:b/>
          <w:bCs/>
          <w:color w:val="auto"/>
          <w:kern w:val="0"/>
          <w:sz w:val="22"/>
          <w:szCs w:val="22"/>
          <w:lang w:val="en-US" w:eastAsia="zh-CN" w:bidi="ar-SA"/>
        </w:rPr>
        <w:t>三、</w:t>
      </w:r>
      <w:r>
        <w:rPr>
          <w:rStyle w:val="16"/>
          <w:rFonts w:hint="eastAsia" w:ascii="宋体" w:hAnsi="宋体" w:eastAsia="宋体" w:cs="宋体"/>
          <w:b/>
          <w:bCs/>
          <w:color w:val="auto"/>
          <w:kern w:val="0"/>
          <w:sz w:val="22"/>
          <w:szCs w:val="22"/>
          <w:lang w:val="en-US" w:eastAsia="zh-CN" w:bidi="ar-SA"/>
        </w:rPr>
        <w:t>用户认证服务器维护服务</w:t>
      </w:r>
    </w:p>
    <w:p w14:paraId="7A869183">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1.</w:t>
      </w:r>
      <w:r>
        <w:rPr>
          <w:rStyle w:val="16"/>
          <w:rFonts w:hint="eastAsia" w:ascii="宋体" w:hAnsi="宋体" w:eastAsia="宋体" w:cs="宋体"/>
          <w:b w:val="0"/>
          <w:bCs w:val="0"/>
          <w:color w:val="auto"/>
          <w:kern w:val="0"/>
          <w:sz w:val="22"/>
          <w:szCs w:val="22"/>
          <w:lang w:val="en-US" w:eastAsia="zh-CN" w:bidi="ar-SA"/>
        </w:rPr>
        <w:t>设备维护与责任界定</w:t>
      </w:r>
    </w:p>
    <w:p w14:paraId="6288B226">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服务期内，服务器在正常使用下出现非人为故障或质量问题，由原厂负责维修；如需更换部件，相关费用由医院（甲方）承担。</w:t>
      </w:r>
    </w:p>
    <w:p w14:paraId="6AD196A5">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2.</w:t>
      </w:r>
      <w:r>
        <w:rPr>
          <w:rStyle w:val="16"/>
          <w:rFonts w:hint="eastAsia" w:ascii="宋体" w:hAnsi="宋体" w:eastAsia="宋体" w:cs="宋体"/>
          <w:b w:val="0"/>
          <w:bCs w:val="0"/>
          <w:color w:val="auto"/>
          <w:kern w:val="0"/>
          <w:sz w:val="22"/>
          <w:szCs w:val="22"/>
          <w:lang w:val="en-US" w:eastAsia="zh-CN" w:bidi="ar-SA"/>
        </w:rPr>
        <w:t>系统级维护服务</w:t>
      </w:r>
    </w:p>
    <w:p w14:paraId="2DCE3D64">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提供7×24小时热线技术支持，保障问题随时能对接；每季度开展1次检修或检测，出具系统故障统计分析说明与巡检报告，为服务器维护、管理及升级提供依据；按故障对系统影响程度划分故障级别，并制定对应处理流程：</w:t>
      </w:r>
    </w:p>
    <w:p w14:paraId="651C4AAB">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严重级别：安全认证支撑系统停止服务、无法提供认证服务导致业务中断。接到请求后即时响应，12小时内未解决需提供同档次设备临时使用，直至故障修复。</w:t>
      </w:r>
    </w:p>
    <w:p w14:paraId="4D6B2633">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一般级别：安全认证支撑系统故障影响部分认证功能。接到请求后即时响应，优先电话排除故障，24小时内未解决需提供同档次设备临时使用，直至故障修复。</w:t>
      </w:r>
    </w:p>
    <w:p w14:paraId="6BA03C11">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轻微级别：安全认证支撑系统效率下降、响应速度慢，或需调整数字证书应用、迁移设备。接到请求后即时响应，优先电话解决，需现场服务的与用户预约时间后执行。</w:t>
      </w:r>
    </w:p>
    <w:p w14:paraId="2C967792">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3.</w:t>
      </w:r>
      <w:r>
        <w:rPr>
          <w:rStyle w:val="16"/>
          <w:rFonts w:hint="eastAsia" w:ascii="宋体" w:hAnsi="宋体" w:eastAsia="宋体" w:cs="宋体"/>
          <w:b w:val="0"/>
          <w:bCs w:val="0"/>
          <w:color w:val="auto"/>
          <w:kern w:val="0"/>
          <w:sz w:val="22"/>
          <w:szCs w:val="22"/>
          <w:lang w:val="en-US" w:eastAsia="zh-CN" w:bidi="ar-SA"/>
        </w:rPr>
        <w:t>用户级服务与支持</w:t>
      </w:r>
    </w:p>
    <w:p w14:paraId="0D2E874B">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数字证书用户使用中遇疑问，可联系GDCA客服中心获取及时响应；客服中心需建立规范服务流程，涵盖受理、处理、反馈、回访阶段，具体要求如下：</w:t>
      </w:r>
    </w:p>
    <w:p w14:paraId="60FB5B93">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受理阶段：前台客服代表、客服工程师通过客服热线、网上在线接收用户报障；客服代表无法解决的问题，需在受理后半小时内填写《待回复问题处理表》转交客服工程师；客服工程师接表后，必要时与用户沟通确认设备环境、故障情况，分析故障原因。</w:t>
      </w:r>
    </w:p>
    <w:p w14:paraId="57B76A7F">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处理阶段：优先远程协助用户排除故障，远程无法解决时，客服工程师需向部门经理申请上门服务，获批后执行；新增无有效解决方案的故障，客服工程师需将《待回复问题处理表》提交部门经理，按批示与相关部门沟通跟进，争取在最短时间或用户要求时间内解决。</w:t>
      </w:r>
    </w:p>
    <w:p w14:paraId="7CDD7047">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反馈阶段：故障解决当日，客服工程师需将故障描述、处理办法反馈客服代表，并提交《待回复问题处理表》（上门服务需额外提交《上门服务反馈单》）存档；客服代表将信息准确登记至《用户受理登记表》，提交部门经理。</w:t>
      </w:r>
    </w:p>
    <w:p w14:paraId="65CADFC6">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回访阶段：故障申告类用户，客服代表需在问题解决次日进行电话回访；当月出现新故障申告、业务咨询或其他问题，月底需更新《疑难手册》，并提示相关人员执行更新。</w:t>
      </w:r>
    </w:p>
    <w:p w14:paraId="5B28846D">
      <w:pPr>
        <w:pStyle w:val="6"/>
        <w:rPr>
          <w:rStyle w:val="16"/>
          <w:rFonts w:hint="eastAsia" w:ascii="宋体" w:hAnsi="宋体" w:eastAsia="宋体" w:cs="宋体"/>
          <w:b w:val="0"/>
          <w:bCs w:val="0"/>
          <w:color w:val="auto"/>
          <w:kern w:val="0"/>
          <w:sz w:val="22"/>
          <w:szCs w:val="22"/>
          <w:lang w:val="en-US" w:eastAsia="zh-CN" w:bidi="ar-SA"/>
        </w:rPr>
      </w:pPr>
      <w:r>
        <w:rPr>
          <w:rStyle w:val="16"/>
          <w:rFonts w:hint="eastAsia" w:hAnsi="宋体" w:cs="宋体"/>
          <w:b w:val="0"/>
          <w:bCs w:val="0"/>
          <w:color w:val="auto"/>
          <w:kern w:val="0"/>
          <w:sz w:val="22"/>
          <w:szCs w:val="22"/>
          <w:lang w:val="en-US" w:eastAsia="zh-CN" w:bidi="ar-SA"/>
        </w:rPr>
        <w:t>4.</w:t>
      </w:r>
      <w:r>
        <w:rPr>
          <w:rStyle w:val="16"/>
          <w:rFonts w:hint="eastAsia" w:ascii="宋体" w:hAnsi="宋体" w:eastAsia="宋体" w:cs="宋体"/>
          <w:b w:val="0"/>
          <w:bCs w:val="0"/>
          <w:color w:val="auto"/>
          <w:kern w:val="0"/>
          <w:sz w:val="22"/>
          <w:szCs w:val="22"/>
          <w:lang w:val="en-US" w:eastAsia="zh-CN" w:bidi="ar-SA"/>
        </w:rPr>
        <w:t>客服中心与服务渠道</w:t>
      </w:r>
    </w:p>
    <w:p w14:paraId="220B7900">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提供24小时电话服务；同时开通传真、互联网访问、电子邮件等渠道，确保用户可通过多种方式获取规范、全面的服务。</w:t>
      </w:r>
    </w:p>
    <w:p w14:paraId="0DF9E5CC">
      <w:pPr>
        <w:pStyle w:val="6"/>
        <w:rPr>
          <w:rStyle w:val="16"/>
          <w:rFonts w:hint="eastAsia" w:ascii="宋体" w:hAnsi="宋体" w:eastAsia="宋体" w:cs="宋体"/>
          <w:b/>
          <w:bCs/>
          <w:color w:val="auto"/>
          <w:kern w:val="0"/>
          <w:sz w:val="22"/>
          <w:szCs w:val="22"/>
          <w:lang w:val="en-US" w:eastAsia="zh-CN" w:bidi="ar-SA"/>
        </w:rPr>
      </w:pPr>
      <w:r>
        <w:rPr>
          <w:rStyle w:val="16"/>
          <w:rFonts w:hint="eastAsia" w:hAnsi="宋体" w:cs="宋体"/>
          <w:b/>
          <w:bCs/>
          <w:color w:val="auto"/>
          <w:kern w:val="0"/>
          <w:sz w:val="22"/>
          <w:szCs w:val="22"/>
          <w:lang w:val="en-US" w:eastAsia="zh-CN" w:bidi="ar-SA"/>
        </w:rPr>
        <w:t>四、</w:t>
      </w:r>
      <w:r>
        <w:rPr>
          <w:rStyle w:val="16"/>
          <w:rFonts w:hint="eastAsia" w:ascii="宋体" w:hAnsi="宋体" w:eastAsia="宋体" w:cs="宋体"/>
          <w:b/>
          <w:bCs/>
          <w:color w:val="auto"/>
          <w:kern w:val="0"/>
          <w:sz w:val="22"/>
          <w:szCs w:val="22"/>
          <w:lang w:val="en-US" w:eastAsia="zh-CN" w:bidi="ar-SA"/>
        </w:rPr>
        <w:t>服务交付成果</w:t>
      </w:r>
    </w:p>
    <w:p w14:paraId="50908728">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1.每季度提交系统运行环境检查报告、系统业务功能检查报告、用户认证服务器巡检报告及故障统计分析说明。</w:t>
      </w:r>
    </w:p>
    <w:p w14:paraId="1AC7BB1D">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2.服务期内提交1份《服务总结报告》（含业务单位回访结果与改进措施）、1份满意度调查汇总报告（含改进措施）。</w:t>
      </w:r>
    </w:p>
    <w:p w14:paraId="391ADE4D">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3.定期提交热线电话服务记录文档、常见问题解答列表、服务知识树；每月更新并提交《疑难手册》（当月有新增问题时）。</w:t>
      </w:r>
    </w:p>
    <w:p w14:paraId="36DEF02B">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4.故障处理过程中，按要求提交《待回复问题处理表》《上门服务反馈单》《用户受理登记表》《回访登记表》等过程性文档。</w:t>
      </w:r>
    </w:p>
    <w:p w14:paraId="63AE56AD">
      <w:pPr>
        <w:pStyle w:val="6"/>
        <w:rPr>
          <w:rStyle w:val="16"/>
          <w:rFonts w:hint="eastAsia" w:ascii="宋体" w:hAnsi="宋体" w:eastAsia="宋体" w:cs="宋体"/>
          <w:b/>
          <w:bCs/>
          <w:color w:val="auto"/>
          <w:kern w:val="0"/>
          <w:sz w:val="22"/>
          <w:szCs w:val="22"/>
          <w:lang w:val="en-US" w:eastAsia="zh-CN" w:bidi="ar-SA"/>
        </w:rPr>
      </w:pPr>
      <w:r>
        <w:rPr>
          <w:rStyle w:val="16"/>
          <w:rFonts w:hint="eastAsia" w:hAnsi="宋体" w:cs="宋体"/>
          <w:b/>
          <w:bCs/>
          <w:color w:val="auto"/>
          <w:kern w:val="0"/>
          <w:sz w:val="22"/>
          <w:szCs w:val="22"/>
          <w:lang w:val="en-US" w:eastAsia="zh-CN" w:bidi="ar-SA"/>
        </w:rPr>
        <w:t>五、</w:t>
      </w:r>
      <w:r>
        <w:rPr>
          <w:rStyle w:val="16"/>
          <w:rFonts w:hint="eastAsia" w:ascii="宋体" w:hAnsi="宋体" w:eastAsia="宋体" w:cs="宋体"/>
          <w:b/>
          <w:bCs/>
          <w:color w:val="auto"/>
          <w:kern w:val="0"/>
          <w:sz w:val="22"/>
          <w:szCs w:val="22"/>
          <w:lang w:val="en-US" w:eastAsia="zh-CN" w:bidi="ar-SA"/>
        </w:rPr>
        <w:t>服务质量要求</w:t>
      </w:r>
    </w:p>
    <w:p w14:paraId="5DE49BA2">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1.所有服务需严格遵循本需求书规定的服务标准与流程执行，保障服务及时性、专业性、有效性。</w:t>
      </w:r>
    </w:p>
    <w:p w14:paraId="58EDF773">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2.上门服务（含季度巡检）每年不超过10个工作日，服务前需与医院信息管理科预约时间，避免影响医院正常业务。</w:t>
      </w:r>
    </w:p>
    <w:p w14:paraId="36E8471B">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3.故障处理响应及时率100%，严重级别故障12小时内临时设备保障率100%，一般级别故障24小时内临时设备保障率100%。</w:t>
      </w:r>
    </w:p>
    <w:p w14:paraId="76D7D853">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4.服务期内，系统正常运行率需达到99.9%以上（非服务方原因导致的故障除外）；用户满意度调查结果需达到85分以上（百分制）。</w:t>
      </w:r>
    </w:p>
    <w:p w14:paraId="42F3FA27">
      <w:pPr>
        <w:pStyle w:val="6"/>
        <w:rPr>
          <w:rStyle w:val="16"/>
          <w:rFonts w:hint="eastAsia" w:ascii="宋体" w:hAnsi="宋体" w:eastAsia="宋体" w:cs="宋体"/>
          <w:b/>
          <w:bCs/>
          <w:color w:val="auto"/>
          <w:kern w:val="0"/>
          <w:sz w:val="22"/>
          <w:szCs w:val="22"/>
          <w:lang w:val="en-US" w:eastAsia="zh-CN" w:bidi="ar-SA"/>
        </w:rPr>
      </w:pPr>
      <w:r>
        <w:rPr>
          <w:rStyle w:val="16"/>
          <w:rFonts w:hint="eastAsia" w:hAnsi="宋体" w:cs="宋体"/>
          <w:b/>
          <w:bCs/>
          <w:color w:val="auto"/>
          <w:kern w:val="0"/>
          <w:sz w:val="22"/>
          <w:szCs w:val="22"/>
          <w:lang w:val="en-US" w:eastAsia="zh-CN" w:bidi="ar-SA"/>
        </w:rPr>
        <w:t>六、</w:t>
      </w:r>
      <w:r>
        <w:rPr>
          <w:rStyle w:val="16"/>
          <w:rFonts w:hint="eastAsia" w:ascii="宋体" w:hAnsi="宋体" w:eastAsia="宋体" w:cs="宋体"/>
          <w:b/>
          <w:bCs/>
          <w:color w:val="auto"/>
          <w:kern w:val="0"/>
          <w:sz w:val="22"/>
          <w:szCs w:val="22"/>
          <w:lang w:val="en-US" w:eastAsia="zh-CN" w:bidi="ar-SA"/>
        </w:rPr>
        <w:t>其他要求</w:t>
      </w:r>
    </w:p>
    <w:p w14:paraId="4133115F">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1.服务方需指定专属项目负责人与技术团队，项目负责人需定期与医院信息管理科对接，汇报服务进展、故障处理情况及后续计划。</w:t>
      </w:r>
    </w:p>
    <w:p w14:paraId="1D30E8ED">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2.服务方技术团队成员需具备相关专业资质与丰富运维经验，能熟练处理系统及服务器各类常见问题与突发故障。</w:t>
      </w:r>
    </w:p>
    <w:p w14:paraId="33F35138">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3.服务期内，医院因业务调整需对系统或服务器进行 minor 配置变更，服务方需提供免费技术指导与协助；涉及 major 功能开发或升级，双方另行协商。</w:t>
      </w:r>
    </w:p>
    <w:p w14:paraId="5D1A7249">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4.服务方需建立完善的应急预案，针对系统大面积故障、服务器宕机等突发情况，能快速启动应急响应，最大限度降低对医院业务的影响。</w:t>
      </w:r>
    </w:p>
    <w:p w14:paraId="07057C15">
      <w:pPr>
        <w:pStyle w:val="6"/>
        <w:ind w:firstLine="420" w:firstLineChars="0"/>
        <w:rPr>
          <w:rStyle w:val="16"/>
          <w:rFonts w:hint="eastAsia" w:ascii="宋体" w:hAnsi="宋体" w:eastAsia="宋体" w:cs="宋体"/>
          <w:b w:val="0"/>
          <w:bCs w:val="0"/>
          <w:color w:val="auto"/>
          <w:kern w:val="0"/>
          <w:sz w:val="22"/>
          <w:szCs w:val="22"/>
          <w:lang w:val="en-US" w:eastAsia="zh-CN" w:bidi="ar-SA"/>
        </w:rPr>
      </w:pPr>
      <w:r>
        <w:rPr>
          <w:rStyle w:val="16"/>
          <w:rFonts w:hint="eastAsia" w:ascii="宋体" w:hAnsi="宋体" w:eastAsia="宋体" w:cs="宋体"/>
          <w:b w:val="0"/>
          <w:bCs w:val="0"/>
          <w:color w:val="auto"/>
          <w:kern w:val="0"/>
          <w:sz w:val="22"/>
          <w:szCs w:val="22"/>
          <w:lang w:val="en-US" w:eastAsia="zh-CN" w:bidi="ar-SA"/>
        </w:rPr>
        <w:t>5.服务期满后，服务方需提交完整服务总结报告，移交所有服务过程性文档、技术资料，并配合医院完成服务评估与交接工作。</w:t>
      </w:r>
    </w:p>
    <w:p w14:paraId="561B22B4">
      <w:pPr>
        <w:pStyle w:val="6"/>
        <w:rPr>
          <w:rFonts w:hint="eastAsia" w:ascii="方正小标宋简体" w:hAnsi="新宋体" w:eastAsia="方正小标宋简体" w:cs="Times New Roman"/>
          <w:b/>
          <w:color w:val="auto"/>
          <w:kern w:val="0"/>
          <w:sz w:val="44"/>
          <w:szCs w:val="44"/>
          <w:shd w:val="clear" w:fill="auto"/>
          <w:lang w:val="en-US" w:eastAsia="zh-CN" w:bidi="ar-SA"/>
        </w:rPr>
      </w:pPr>
    </w:p>
    <w:p w14:paraId="3593D658">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68A66173">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0B5B16AF">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2DB2944B">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5AB2921D">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36C87396">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69EAF0AF">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50B36CC1">
      <w:pPr>
        <w:pStyle w:val="7"/>
        <w:rPr>
          <w:rFonts w:hint="eastAsia" w:ascii="方正小标宋简体" w:hAnsi="新宋体" w:eastAsia="方正小标宋简体" w:cs="Times New Roman"/>
          <w:b/>
          <w:color w:val="auto"/>
          <w:kern w:val="0"/>
          <w:sz w:val="44"/>
          <w:szCs w:val="44"/>
          <w:shd w:val="clear" w:fill="auto"/>
          <w:lang w:val="en-US" w:eastAsia="zh-CN" w:bidi="ar-SA"/>
        </w:rPr>
      </w:pPr>
    </w:p>
    <w:p w14:paraId="524963E5">
      <w:pPr>
        <w:numPr>
          <w:ilvl w:val="0"/>
          <w:numId w:val="0"/>
        </w:numPr>
        <w:jc w:val="both"/>
        <w:rPr>
          <w:rFonts w:hint="eastAsia" w:ascii="方正小标宋简体" w:hAnsi="新宋体" w:eastAsia="方正小标宋简体" w:cs="Times New Roman"/>
          <w:b/>
          <w:color w:val="auto"/>
          <w:kern w:val="0"/>
          <w:sz w:val="44"/>
          <w:szCs w:val="44"/>
          <w:shd w:val="clear" w:fill="auto"/>
          <w:lang w:val="en-US" w:eastAsia="zh-CN" w:bidi="ar-SA"/>
        </w:rPr>
      </w:pPr>
    </w:p>
    <w:p w14:paraId="730BFBCA">
      <w:pPr>
        <w:numPr>
          <w:ilvl w:val="0"/>
          <w:numId w:val="0"/>
        </w:numPr>
        <w:jc w:val="center"/>
        <w:rPr>
          <w:rStyle w:val="16"/>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1"/>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5"/>
              <w:spacing w:line="360" w:lineRule="auto"/>
              <w:ind w:firstLine="480" w:firstLineChars="150"/>
              <w:rPr>
                <w:rFonts w:hint="eastAsia" w:ascii="仿宋_GB2312" w:eastAsia="仿宋_GB2312"/>
                <w:b/>
                <w:sz w:val="32"/>
              </w:rPr>
            </w:pPr>
          </w:p>
          <w:p w14:paraId="1475483E">
            <w:pPr>
              <w:pStyle w:val="5"/>
              <w:spacing w:line="360" w:lineRule="auto"/>
              <w:ind w:firstLine="480" w:firstLineChars="150"/>
              <w:rPr>
                <w:rFonts w:hint="eastAsia" w:ascii="仿宋_GB2312" w:eastAsia="仿宋_GB2312"/>
                <w:b/>
                <w:sz w:val="32"/>
              </w:rPr>
            </w:pPr>
          </w:p>
          <w:p w14:paraId="7EE3402C">
            <w:pPr>
              <w:pStyle w:val="5"/>
              <w:spacing w:line="360" w:lineRule="auto"/>
              <w:ind w:firstLine="480" w:firstLineChars="150"/>
              <w:rPr>
                <w:rFonts w:hint="eastAsia" w:ascii="仿宋_GB2312" w:eastAsia="仿宋_GB2312"/>
                <w:b/>
                <w:sz w:val="32"/>
              </w:rPr>
            </w:pPr>
          </w:p>
          <w:p w14:paraId="666F6D05">
            <w:pPr>
              <w:pStyle w:val="5"/>
              <w:spacing w:line="360" w:lineRule="auto"/>
              <w:ind w:firstLine="480" w:firstLineChars="150"/>
              <w:rPr>
                <w:rFonts w:hint="eastAsia" w:ascii="仿宋_GB2312" w:eastAsia="仿宋_GB2312"/>
                <w:b/>
                <w:sz w:val="32"/>
              </w:rPr>
            </w:pPr>
          </w:p>
          <w:p w14:paraId="005E828E">
            <w:pPr>
              <w:pStyle w:val="5"/>
              <w:spacing w:line="360" w:lineRule="auto"/>
              <w:jc w:val="center"/>
              <w:rPr>
                <w:rFonts w:hint="eastAsia" w:ascii="黑体" w:eastAsia="黑体"/>
                <w:b/>
                <w:sz w:val="72"/>
                <w:szCs w:val="72"/>
                <w:lang w:eastAsia="zh-CN"/>
              </w:rPr>
            </w:pPr>
          </w:p>
          <w:p w14:paraId="3A8513BD">
            <w:pPr>
              <w:pStyle w:val="5"/>
              <w:spacing w:line="360" w:lineRule="auto"/>
              <w:jc w:val="center"/>
              <w:rPr>
                <w:rFonts w:hint="eastAsia" w:ascii="黑体" w:eastAsia="黑体"/>
                <w:b/>
                <w:sz w:val="72"/>
                <w:szCs w:val="72"/>
                <w:lang w:eastAsia="zh-CN"/>
              </w:rPr>
            </w:pPr>
          </w:p>
          <w:p w14:paraId="586CBAF9">
            <w:pPr>
              <w:pStyle w:val="5"/>
              <w:spacing w:line="360" w:lineRule="auto"/>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5"/>
              <w:spacing w:line="360" w:lineRule="auto"/>
              <w:rPr>
                <w:rFonts w:hint="eastAsia" w:ascii="仿宋_GB2312" w:eastAsia="仿宋_GB2312"/>
                <w:b/>
                <w:sz w:val="32"/>
              </w:rPr>
            </w:pPr>
          </w:p>
          <w:p w14:paraId="7101D0E7">
            <w:pPr>
              <w:pStyle w:val="5"/>
              <w:spacing w:line="360" w:lineRule="auto"/>
              <w:rPr>
                <w:rFonts w:hint="eastAsia" w:ascii="仿宋_GB2312" w:eastAsia="仿宋_GB2312"/>
                <w:b/>
                <w:sz w:val="32"/>
              </w:rPr>
            </w:pPr>
          </w:p>
          <w:p w14:paraId="5AD2C591">
            <w:pPr>
              <w:pStyle w:val="5"/>
              <w:spacing w:line="360" w:lineRule="auto"/>
              <w:rPr>
                <w:rFonts w:hint="eastAsia" w:ascii="仿宋_GB2312" w:eastAsia="仿宋_GB2312"/>
                <w:b/>
                <w:sz w:val="32"/>
              </w:rPr>
            </w:pPr>
          </w:p>
          <w:p w14:paraId="26AA94B0">
            <w:pPr>
              <w:pStyle w:val="5"/>
              <w:spacing w:line="360" w:lineRule="auto"/>
              <w:rPr>
                <w:rFonts w:hint="eastAsia" w:ascii="仿宋_GB2312" w:eastAsia="仿宋_GB2312"/>
                <w:b/>
                <w:sz w:val="32"/>
              </w:rPr>
            </w:pPr>
          </w:p>
          <w:p w14:paraId="76805B24">
            <w:pPr>
              <w:pStyle w:val="5"/>
              <w:spacing w:line="360" w:lineRule="auto"/>
              <w:rPr>
                <w:rFonts w:hint="eastAsia" w:ascii="仿宋_GB2312" w:eastAsia="仿宋_GB2312"/>
                <w:b/>
                <w:sz w:val="32"/>
              </w:rPr>
            </w:pPr>
          </w:p>
          <w:p w14:paraId="0FCE1EA9">
            <w:pPr>
              <w:pStyle w:val="5"/>
              <w:spacing w:line="360" w:lineRule="auto"/>
              <w:rPr>
                <w:rFonts w:hint="eastAsia" w:ascii="仿宋_GB2312" w:eastAsia="仿宋_GB2312"/>
                <w:b/>
                <w:sz w:val="32"/>
              </w:rPr>
            </w:pPr>
          </w:p>
          <w:p w14:paraId="626FB0EE">
            <w:pPr>
              <w:pStyle w:val="5"/>
              <w:spacing w:line="360" w:lineRule="auto"/>
              <w:rPr>
                <w:rFonts w:hint="eastAsia" w:ascii="仿宋_GB2312" w:eastAsia="仿宋_GB2312"/>
                <w:b/>
                <w:sz w:val="32"/>
              </w:rPr>
            </w:pPr>
          </w:p>
          <w:p w14:paraId="59147B0F">
            <w:pPr>
              <w:pStyle w:val="5"/>
              <w:spacing w:line="400" w:lineRule="exact"/>
              <w:ind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HZFY-202601</w:t>
            </w:r>
          </w:p>
          <w:p w14:paraId="3C973FF1">
            <w:pPr>
              <w:pStyle w:val="5"/>
              <w:spacing w:line="400" w:lineRule="exact"/>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化州市妇幼保健院医疗电子票据管理系统运维服务采购项目</w:t>
            </w:r>
          </w:p>
          <w:p w14:paraId="10E3861C">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5"/>
              <w:spacing w:line="400" w:lineRule="exact"/>
              <w:ind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5"/>
              <w:spacing w:line="400" w:lineRule="exact"/>
              <w:ind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5"/>
        <w:rPr>
          <w:rStyle w:val="16"/>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361761305"/>
      <w:bookmarkStart w:id="1" w:name="_Toc237145559"/>
      <w:bookmarkStart w:id="2" w:name="_Toc43264516"/>
      <w:bookmarkStart w:id="3" w:name="_Toc50703722"/>
      <w:bookmarkStart w:id="4" w:name="_Toc50691029"/>
      <w:r>
        <w:rPr>
          <w:rFonts w:hint="eastAsia" w:ascii="Arial" w:hAnsi="Arial" w:eastAsia="黑体" w:cs="Times New Roman"/>
          <w:b w:val="0"/>
          <w:sz w:val="32"/>
          <w:szCs w:val="32"/>
          <w:lang w:val="en-US" w:eastAsia="zh-CN" w:bidi="ar-SA"/>
        </w:rPr>
        <w:t>响应供应商资格信用承诺函</w:t>
      </w:r>
      <w:bookmarkEnd w:id="0"/>
      <w:bookmarkEnd w:id="1"/>
    </w:p>
    <w:bookmarkEnd w:id="2"/>
    <w:bookmarkEnd w:id="3"/>
    <w:bookmarkEnd w:id="4"/>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5" w:name="_Toc50737297"/>
      <w:bookmarkStart w:id="6" w:name="_Toc170645734"/>
      <w:bookmarkStart w:id="7" w:name="_Toc50737329"/>
      <w:bookmarkStart w:id="8" w:name="_Toc361761306"/>
      <w:bookmarkStart w:id="9" w:name="_Toc52165081"/>
      <w:bookmarkStart w:id="10" w:name="_Toc50736477"/>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化州市妇幼保健院医疗电子票据管理系统运维服务采购项目（项目编号：HZFY-202</w:t>
      </w:r>
      <w:r>
        <w:rPr>
          <w:rFonts w:hint="eastAsia" w:ascii="宋体" w:hAnsi="宋体" w:cs="宋体"/>
          <w:b/>
          <w:bCs w:val="0"/>
          <w:color w:val="auto"/>
          <w:sz w:val="22"/>
          <w:szCs w:val="22"/>
          <w:highlight w:val="none"/>
          <w:u w:val="single"/>
          <w:lang w:val="en-US" w:eastAsia="zh-CN"/>
        </w:rPr>
        <w:t>601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化州市妇幼保健院医疗电子票据管理系统运维服务采购项目（项目编号：HZFY-202</w:t>
      </w:r>
      <w:r>
        <w:rPr>
          <w:rFonts w:hint="eastAsia" w:ascii="宋体" w:hAnsi="宋体" w:cs="宋体"/>
          <w:b/>
          <w:bCs w:val="0"/>
          <w:color w:val="auto"/>
          <w:sz w:val="22"/>
          <w:szCs w:val="22"/>
          <w:highlight w:val="none"/>
          <w:u w:val="single"/>
          <w:lang w:val="en-US" w:eastAsia="zh-CN"/>
        </w:rPr>
        <w:t>601</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64EC4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pgSz w:w="11906" w:h="16838"/>
          <w:pgMar w:top="1134" w:right="1134" w:bottom="1134" w:left="1134" w:header="685" w:footer="567" w:gutter="0"/>
          <w:lnNumType w:countBy="0"/>
          <w:pgNumType w:fmt="decimal"/>
          <w:cols w:space="720" w:num="1"/>
          <w:titlePg/>
          <w:docGrid w:type="linesAndChars" w:linePitch="312" w:charSpace="0"/>
        </w:sectPr>
      </w:pPr>
      <w:r>
        <w:rPr>
          <w:rFonts w:hint="eastAsia" w:ascii="宋体" w:hAnsi="宋体" w:eastAsia="宋体" w:cs="宋体"/>
          <w:b w:val="0"/>
          <w:bCs/>
          <w:color w:val="auto"/>
          <w:sz w:val="22"/>
          <w:szCs w:val="22"/>
          <w:highlight w:val="none"/>
          <w:lang w:val="en-US" w:eastAsia="zh-CN"/>
        </w:rPr>
        <w:tab/>
      </w: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170645736"/>
      <w:bookmarkStart w:id="12" w:name="_Toc361761307"/>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2"/>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5"/>
    <w:bookmarkEnd w:id="6"/>
    <w:bookmarkEnd w:id="7"/>
    <w:bookmarkEnd w:id="8"/>
    <w:bookmarkEnd w:id="9"/>
    <w:bookmarkEnd w:id="10"/>
    <w:p w14:paraId="43E0C9BC">
      <w:pPr>
        <w:rPr>
          <w:rFonts w:hint="eastAsia"/>
          <w:b w:val="0"/>
          <w:lang w:val="en-US" w:eastAsia="zh-CN"/>
        </w:rPr>
      </w:pPr>
      <w:bookmarkStart w:id="13" w:name="_Toc361761309"/>
      <w:bookmarkStart w:id="14" w:name="_Toc321408668"/>
      <w:bookmarkStart w:id="15" w:name="_Toc173647298"/>
    </w:p>
    <w:p w14:paraId="035AF6C4">
      <w:pPr>
        <w:rPr>
          <w:rFonts w:hint="eastAsia"/>
          <w:b w:val="0"/>
          <w:lang w:val="en-US" w:eastAsia="zh-CN"/>
        </w:rPr>
      </w:pPr>
    </w:p>
    <w:p w14:paraId="3089AF83">
      <w:pPr>
        <w:pStyle w:val="2"/>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default" w:ascii="宋体" w:hAnsi="宋体" w:eastAsia="宋体" w:cs="宋体"/>
          <w:b w:val="0"/>
          <w:bCs w:val="0"/>
          <w:color w:val="auto"/>
          <w:sz w:val="21"/>
          <w:szCs w:val="21"/>
          <w:highlight w:val="none"/>
          <w:lang w:val="en-US" w:eastAsia="zh-CN" w:bidi="ar-SA"/>
        </w:rPr>
      </w:pPr>
      <w:r>
        <w:rPr>
          <w:rStyle w:val="16"/>
          <w:rFonts w:hint="eastAsia" w:ascii="宋体" w:hAnsi="宋体" w:eastAsia="宋体" w:cs="宋体"/>
          <w:b w:val="0"/>
          <w:bCs w:val="0"/>
          <w:color w:val="auto"/>
          <w:sz w:val="21"/>
          <w:szCs w:val="21"/>
          <w:highlight w:val="none"/>
          <w:lang w:val="en-US" w:eastAsia="zh-CN" w:bidi="ar-SA"/>
        </w:rPr>
        <w:t>响应供应商名称：                                       项目编号：HZFY-202</w:t>
      </w:r>
      <w:r>
        <w:rPr>
          <w:rStyle w:val="16"/>
          <w:rFonts w:hint="eastAsia" w:ascii="宋体" w:hAnsi="宋体" w:cs="宋体"/>
          <w:b w:val="0"/>
          <w:bCs w:val="0"/>
          <w:color w:val="auto"/>
          <w:sz w:val="21"/>
          <w:szCs w:val="21"/>
          <w:highlight w:val="none"/>
          <w:lang w:val="en-US" w:eastAsia="zh-CN" w:bidi="ar-SA"/>
        </w:rPr>
        <w:t>601</w:t>
      </w:r>
    </w:p>
    <w:tbl>
      <w:tblPr>
        <w:tblStyle w:val="11"/>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3544"/>
        <w:gridCol w:w="1618"/>
        <w:gridCol w:w="2291"/>
        <w:gridCol w:w="1472"/>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76C19008">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服务期限</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金额</w:t>
            </w:r>
            <w:r>
              <w:rPr>
                <w:rFonts w:hint="eastAsia" w:ascii="宋体" w:hAnsi="宋体" w:eastAsia="宋体" w:cs="宋体"/>
                <w:sz w:val="21"/>
                <w:szCs w:val="21"/>
                <w:highlight w:val="none"/>
                <w:lang w:eastAsia="zh-CN"/>
              </w:rPr>
              <w:t>（元）</w:t>
            </w:r>
          </w:p>
        </w:tc>
        <w:tc>
          <w:tcPr>
            <w:tcW w:w="1472"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kinsoku/>
              <w:wordWrap/>
              <w:overflowPunct/>
              <w:topLinePunct w:val="0"/>
              <w:bidi w:val="0"/>
              <w:spacing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314EE96E">
            <w:pPr>
              <w:jc w:val="center"/>
              <w:rPr>
                <w:rFonts w:hint="eastAsia" w:ascii="宋体" w:hAnsi="宋体" w:eastAsia="宋体" w:cs="宋体"/>
                <w:sz w:val="21"/>
                <w:szCs w:val="21"/>
              </w:rPr>
            </w:pPr>
            <w:r>
              <w:rPr>
                <w:rFonts w:hint="eastAsia" w:ascii="宋体" w:hAnsi="宋体" w:eastAsia="宋体" w:cs="宋体"/>
                <w:sz w:val="21"/>
                <w:szCs w:val="21"/>
              </w:rPr>
              <w:t>1</w:t>
            </w:r>
          </w:p>
        </w:tc>
        <w:tc>
          <w:tcPr>
            <w:tcW w:w="3544" w:type="dxa"/>
            <w:tcBorders>
              <w:top w:val="single" w:color="auto" w:sz="4" w:space="0"/>
              <w:left w:val="single" w:color="auto" w:sz="4" w:space="0"/>
              <w:bottom w:val="single" w:color="auto" w:sz="4" w:space="0"/>
              <w:right w:val="single" w:color="auto" w:sz="4" w:space="0"/>
            </w:tcBorders>
            <w:noWrap w:val="0"/>
            <w:vAlign w:val="center"/>
          </w:tcPr>
          <w:p w14:paraId="3A5A86D8">
            <w:pPr>
              <w:widowControl/>
              <w:jc w:val="center"/>
              <w:textAlignment w:val="center"/>
              <w:rPr>
                <w:rFonts w:hint="default" w:ascii="宋体" w:hAnsi="宋体" w:eastAsia="宋体" w:cs="宋体"/>
                <w:kern w:val="0"/>
                <w:sz w:val="21"/>
                <w:szCs w:val="21"/>
                <w:lang w:val="en-US" w:bidi="ar"/>
              </w:rPr>
            </w:pPr>
            <w:r>
              <w:rPr>
                <w:rFonts w:hint="eastAsia"/>
              </w:rPr>
              <w:t>化州市妇幼保健院医疗电子票据管理系统运维服务采购项目</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3C825D3E">
            <w:pPr>
              <w:keepNext w:val="0"/>
              <w:keepLines w:val="0"/>
              <w:widowControl/>
              <w:suppressLineNumbers w:val="0"/>
              <w:jc w:val="center"/>
              <w:textAlignment w:val="center"/>
              <w:rPr>
                <w:rFonts w:hint="default"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1年</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4FA979C9">
            <w:pPr>
              <w:keepNext w:val="0"/>
              <w:keepLines w:val="0"/>
              <w:widowControl/>
              <w:suppressLineNumbers w:val="0"/>
              <w:jc w:val="center"/>
              <w:textAlignment w:val="center"/>
              <w:rPr>
                <w:rFonts w:hint="eastAsia" w:ascii="宋体" w:hAnsi="宋体" w:eastAsia="宋体" w:cs="宋体"/>
                <w:kern w:val="0"/>
                <w:sz w:val="21"/>
                <w:szCs w:val="21"/>
                <w:lang w:val="en-US" w:eastAsia="zh-CN" w:bidi="ar"/>
              </w:rPr>
            </w:pPr>
          </w:p>
        </w:tc>
        <w:tc>
          <w:tcPr>
            <w:tcW w:w="1472" w:type="dxa"/>
            <w:tcBorders>
              <w:top w:val="single" w:color="auto" w:sz="4" w:space="0"/>
              <w:left w:val="single" w:color="auto" w:sz="4" w:space="0"/>
              <w:bottom w:val="single" w:color="auto" w:sz="4" w:space="0"/>
              <w:right w:val="single" w:color="auto" w:sz="4" w:space="0"/>
            </w:tcBorders>
            <w:noWrap w:val="0"/>
            <w:vAlign w:val="center"/>
          </w:tcPr>
          <w:p w14:paraId="722FDAEF">
            <w:pPr>
              <w:widowControl/>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0" w:type="dxa"/>
            <w:tcBorders>
              <w:top w:val="single" w:color="auto" w:sz="4" w:space="0"/>
              <w:left w:val="single" w:color="auto" w:sz="4" w:space="0"/>
              <w:bottom w:val="single" w:color="auto" w:sz="4" w:space="0"/>
              <w:right w:val="single" w:color="auto" w:sz="4" w:space="0"/>
            </w:tcBorders>
            <w:noWrap w:val="0"/>
            <w:vAlign w:val="center"/>
          </w:tcPr>
          <w:p w14:paraId="6B1AEDE4">
            <w:pPr>
              <w:jc w:val="center"/>
              <w:rPr>
                <w:rFonts w:hint="eastAsia" w:ascii="宋体" w:hAnsi="宋体" w:eastAsia="宋体" w:cs="宋体"/>
                <w:sz w:val="21"/>
                <w:szCs w:val="21"/>
                <w:lang w:val="en-US" w:eastAsia="zh-CN"/>
              </w:rPr>
            </w:pPr>
          </w:p>
        </w:tc>
        <w:tc>
          <w:tcPr>
            <w:tcW w:w="3544" w:type="dxa"/>
            <w:tcBorders>
              <w:top w:val="single" w:color="auto" w:sz="4" w:space="0"/>
              <w:left w:val="single" w:color="auto" w:sz="4" w:space="0"/>
              <w:bottom w:val="single" w:color="auto" w:sz="4" w:space="0"/>
              <w:right w:val="single" w:color="auto" w:sz="4" w:space="0"/>
            </w:tcBorders>
            <w:noWrap w:val="0"/>
            <w:vAlign w:val="center"/>
          </w:tcPr>
          <w:p w14:paraId="78DB8A82">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1618" w:type="dxa"/>
            <w:tcBorders>
              <w:top w:val="single" w:color="auto" w:sz="4" w:space="0"/>
              <w:left w:val="single" w:color="auto" w:sz="4" w:space="0"/>
              <w:bottom w:val="single" w:color="auto" w:sz="4" w:space="0"/>
              <w:right w:val="single" w:color="auto" w:sz="4" w:space="0"/>
            </w:tcBorders>
            <w:noWrap w:val="0"/>
            <w:vAlign w:val="center"/>
          </w:tcPr>
          <w:p w14:paraId="15091E8E">
            <w:pPr>
              <w:widowControl/>
              <w:jc w:val="center"/>
              <w:textAlignment w:val="center"/>
              <w:rPr>
                <w:rFonts w:hint="eastAsia" w:ascii="宋体" w:hAnsi="宋体" w:eastAsia="宋体" w:cs="宋体"/>
                <w:kern w:val="0"/>
                <w:sz w:val="21"/>
                <w:szCs w:val="21"/>
                <w:lang w:val="en-US" w:eastAsia="zh-CN" w:bidi="ar"/>
              </w:rPr>
            </w:pPr>
          </w:p>
        </w:tc>
        <w:tc>
          <w:tcPr>
            <w:tcW w:w="3763" w:type="dxa"/>
            <w:gridSpan w:val="2"/>
            <w:tcBorders>
              <w:top w:val="single" w:color="auto" w:sz="4" w:space="0"/>
              <w:left w:val="single" w:color="auto" w:sz="4" w:space="0"/>
              <w:bottom w:val="single" w:color="auto" w:sz="4" w:space="0"/>
              <w:right w:val="single" w:color="auto" w:sz="4" w:space="0"/>
            </w:tcBorders>
            <w:noWrap w:val="0"/>
            <w:vAlign w:val="center"/>
          </w:tcPr>
          <w:p w14:paraId="0E5FF4F3">
            <w:pPr>
              <w:widowControl/>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cs="宋体"/>
          <w:b w:val="0"/>
          <w:bCs w:val="0"/>
          <w:color w:val="auto"/>
          <w:sz w:val="22"/>
          <w:szCs w:val="22"/>
          <w:highlight w:val="none"/>
          <w:lang w:val="en-US" w:eastAsia="zh-CN" w:bidi="ar-SA"/>
        </w:rPr>
        <w:t>2.报价需包含所需的全部费用，采购人不再支付成交价以外的其它费用。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r>
        <w:rPr>
          <w:rStyle w:val="16"/>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5"/>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6"/>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8"/>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5"/>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8"/>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9"/>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9"/>
      <w:pBdr>
        <w:bottom w:val="none" w:color="auto" w:sz="0" w:space="1"/>
      </w:pBdr>
      <w:jc w:val="both"/>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2489A"/>
    <w:rsid w:val="02C77F43"/>
    <w:rsid w:val="03376320"/>
    <w:rsid w:val="03B54717"/>
    <w:rsid w:val="07383AA1"/>
    <w:rsid w:val="0A2E63AA"/>
    <w:rsid w:val="0A6B39A7"/>
    <w:rsid w:val="0AC57D61"/>
    <w:rsid w:val="0D4F1CD8"/>
    <w:rsid w:val="184E5741"/>
    <w:rsid w:val="1A0A2219"/>
    <w:rsid w:val="1D456AF3"/>
    <w:rsid w:val="33F505E9"/>
    <w:rsid w:val="390C532E"/>
    <w:rsid w:val="3FD1482F"/>
    <w:rsid w:val="442573FA"/>
    <w:rsid w:val="46FB44EB"/>
    <w:rsid w:val="4BD91991"/>
    <w:rsid w:val="4D2E7412"/>
    <w:rsid w:val="54477E60"/>
    <w:rsid w:val="5A930CD6"/>
    <w:rsid w:val="5D07484F"/>
    <w:rsid w:val="5F13397F"/>
    <w:rsid w:val="60AE3BAC"/>
    <w:rsid w:val="65672B41"/>
    <w:rsid w:val="6B3A6705"/>
    <w:rsid w:val="6C0819B3"/>
    <w:rsid w:val="6C494E84"/>
    <w:rsid w:val="6FDA1B59"/>
    <w:rsid w:val="76E274ED"/>
    <w:rsid w:val="79516F5F"/>
    <w:rsid w:val="7998025B"/>
    <w:rsid w:val="7A1F7AD9"/>
    <w:rsid w:val="7A6D7D1A"/>
    <w:rsid w:val="7BDB5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3">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unhideWhenUsed/>
    <w:qFormat/>
    <w:uiPriority w:val="99"/>
    <w:pPr>
      <w:spacing w:line="360" w:lineRule="auto"/>
    </w:pPr>
    <w:rPr>
      <w:rFonts w:ascii="Times New Roman" w:hAnsi="Times New Roman" w:eastAsia="宋体" w:cs="Times New Roman"/>
      <w:szCs w:val="20"/>
    </w:rPr>
  </w:style>
  <w:style w:type="paragraph" w:styleId="6">
    <w:name w:val="Plain Text"/>
    <w:basedOn w:val="1"/>
    <w:next w:val="7"/>
    <w:unhideWhenUsed/>
    <w:qFormat/>
    <w:uiPriority w:val="99"/>
    <w:rPr>
      <w:rFonts w:ascii="宋体" w:hAnsi="Courier New" w:cs="Courier New"/>
      <w:szCs w:val="21"/>
    </w:rPr>
  </w:style>
  <w:style w:type="paragraph" w:customStyle="1" w:styleId="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8">
    <w:name w:val="footer"/>
    <w:basedOn w:val="1"/>
    <w:unhideWhenUsed/>
    <w:qFormat/>
    <w:uiPriority w:val="99"/>
    <w:pPr>
      <w:tabs>
        <w:tab w:val="center" w:pos="4153"/>
        <w:tab w:val="right" w:pos="8306"/>
      </w:tabs>
      <w:snapToGrid w:val="0"/>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Message Header"/>
    <w:basedOn w:val="1"/>
    <w:next w:val="5"/>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annotation reference"/>
    <w:qFormat/>
    <w:uiPriority w:val="0"/>
    <w:rPr>
      <w:sz w:val="21"/>
      <w:szCs w:val="21"/>
    </w:rPr>
  </w:style>
  <w:style w:type="character" w:customStyle="1" w:styleId="16">
    <w:name w:val="NormalCharacter"/>
    <w:qFormat/>
    <w:uiPriority w:val="0"/>
  </w:style>
  <w:style w:type="paragraph" w:customStyle="1" w:styleId="17">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18">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19">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3460</Words>
  <Characters>3665</Characters>
  <Lines>0</Lines>
  <Paragraphs>0</Paragraphs>
  <TotalTime>26</TotalTime>
  <ScaleCrop>false</ScaleCrop>
  <LinksUpToDate>false</LinksUpToDate>
  <CharactersWithSpaces>4048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2026-01-05T02:00:52Z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