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D8AFC">
      <w:pPr>
        <w:widowControl w:val="0"/>
        <w:wordWrap w:val="0"/>
        <w:spacing w:after="120"/>
        <w:jc w:val="both"/>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附件二 《东升医院消防维保服务监督考评表》</w:t>
      </w:r>
    </w:p>
    <w:p w14:paraId="1F59A744">
      <w:pPr>
        <w:spacing w:line="360" w:lineRule="auto"/>
        <w:jc w:val="center"/>
        <w:rPr>
          <w:rFonts w:hint="eastAsia" w:ascii="宋体" w:hAnsi="宋体" w:eastAsia="宋体" w:cs="宋体"/>
          <w:b/>
          <w:sz w:val="30"/>
          <w:szCs w:val="30"/>
        </w:rPr>
      </w:pPr>
      <w:r>
        <w:rPr>
          <w:rFonts w:hint="eastAsia" w:ascii="宋体" w:hAnsi="宋体" w:eastAsia="宋体" w:cs="宋体"/>
          <w:b/>
          <w:sz w:val="30"/>
          <w:szCs w:val="30"/>
          <w:lang w:val="en-US" w:eastAsia="zh-CN"/>
        </w:rPr>
        <w:t>东升</w:t>
      </w:r>
      <w:r>
        <w:rPr>
          <w:rFonts w:hint="eastAsia" w:ascii="宋体" w:hAnsi="宋体" w:eastAsia="宋体" w:cs="宋体"/>
          <w:b/>
          <w:sz w:val="30"/>
          <w:szCs w:val="30"/>
        </w:rPr>
        <w:t>医院</w:t>
      </w:r>
      <w:r>
        <w:rPr>
          <w:rFonts w:hint="eastAsia" w:ascii="宋体" w:hAnsi="宋体" w:eastAsia="宋体" w:cs="宋体"/>
          <w:b/>
          <w:sz w:val="30"/>
          <w:szCs w:val="30"/>
          <w:lang w:val="en-US" w:eastAsia="zh-CN"/>
        </w:rPr>
        <w:t>消防维保</w:t>
      </w:r>
      <w:r>
        <w:rPr>
          <w:rFonts w:hint="eastAsia" w:ascii="宋体" w:hAnsi="宋体" w:eastAsia="宋体" w:cs="宋体"/>
          <w:b/>
          <w:sz w:val="30"/>
          <w:szCs w:val="30"/>
        </w:rPr>
        <w:t>服务质量考评表</w:t>
      </w:r>
    </w:p>
    <w:p w14:paraId="67108501">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检查</w:t>
      </w:r>
      <w:r>
        <w:rPr>
          <w:rFonts w:hint="eastAsia" w:ascii="宋体" w:hAnsi="宋体" w:eastAsia="宋体" w:cs="宋体"/>
          <w:sz w:val="24"/>
          <w:szCs w:val="24"/>
        </w:rPr>
        <w:t xml:space="preserve">时间：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检查者</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45479EAB">
      <w:pPr>
        <w:spacing w:line="360" w:lineRule="auto"/>
        <w:jc w:val="left"/>
        <w:rPr>
          <w:rFonts w:hint="eastAsia" w:ascii="宋体" w:hAnsi="宋体" w:eastAsia="宋体" w:cs="宋体"/>
          <w:sz w:val="24"/>
          <w:szCs w:val="24"/>
        </w:rPr>
      </w:pPr>
      <w:bookmarkStart w:id="0" w:name="_GoBack"/>
      <w:bookmarkEnd w:id="0"/>
      <w:r>
        <w:rPr>
          <w:rFonts w:hint="eastAsia" w:ascii="宋体" w:hAnsi="宋体" w:eastAsia="宋体" w:cs="宋体"/>
          <w:sz w:val="24"/>
          <w:szCs w:val="24"/>
        </w:rPr>
        <w:t xml:space="preserve">总得分：     </w:t>
      </w:r>
    </w:p>
    <w:tbl>
      <w:tblPr>
        <w:tblStyle w:val="2"/>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3279"/>
        <w:gridCol w:w="957"/>
        <w:gridCol w:w="2924"/>
        <w:gridCol w:w="1164"/>
        <w:gridCol w:w="589"/>
      </w:tblGrid>
      <w:tr w14:paraId="0875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2AF77F4C">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rPr>
              <w:t>项目</w:t>
            </w: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3A8AF140">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rPr>
              <w:t>考评标准</w:t>
            </w:r>
          </w:p>
        </w:tc>
        <w:tc>
          <w:tcPr>
            <w:tcW w:w="957" w:type="dxa"/>
            <w:tcBorders>
              <w:top w:val="single" w:color="auto" w:sz="4" w:space="0"/>
              <w:left w:val="single" w:color="auto" w:sz="4" w:space="0"/>
              <w:bottom w:val="single" w:color="auto" w:sz="4" w:space="0"/>
              <w:right w:val="single" w:color="auto" w:sz="4" w:space="0"/>
            </w:tcBorders>
            <w:shd w:val="clear" w:color="auto" w:fill="auto"/>
            <w:vAlign w:val="center"/>
          </w:tcPr>
          <w:p w14:paraId="59FA04AA">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D6FAB7">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lang w:val="en-US" w:eastAsia="zh-CN"/>
              </w:rPr>
              <w:t>考核</w:t>
            </w:r>
            <w:r>
              <w:rPr>
                <w:rFonts w:hint="eastAsia" w:ascii="宋体" w:hAnsi="宋体" w:eastAsia="宋体" w:cs="宋体"/>
                <w:b/>
                <w:sz w:val="21"/>
                <w:szCs w:val="21"/>
              </w:rPr>
              <w:t>方法</w:t>
            </w:r>
          </w:p>
        </w:tc>
        <w:tc>
          <w:tcPr>
            <w:tcW w:w="1164" w:type="dxa"/>
            <w:tcBorders>
              <w:top w:val="single" w:color="auto" w:sz="4" w:space="0"/>
              <w:left w:val="single" w:color="auto" w:sz="4" w:space="0"/>
              <w:bottom w:val="single" w:color="auto" w:sz="4" w:space="0"/>
              <w:right w:val="single" w:color="auto" w:sz="4" w:space="0"/>
            </w:tcBorders>
            <w:vAlign w:val="center"/>
          </w:tcPr>
          <w:p w14:paraId="3315096A">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rPr>
              <w:t>检查结果</w:t>
            </w: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6A115B95">
            <w:pPr>
              <w:spacing w:line="260" w:lineRule="exact"/>
              <w:jc w:val="center"/>
              <w:rPr>
                <w:rFonts w:hint="eastAsia" w:ascii="宋体" w:hAnsi="宋体" w:eastAsia="宋体" w:cs="宋体"/>
                <w:b/>
                <w:sz w:val="21"/>
                <w:szCs w:val="21"/>
              </w:rPr>
            </w:pPr>
            <w:r>
              <w:rPr>
                <w:rFonts w:hint="eastAsia" w:ascii="宋体" w:hAnsi="宋体" w:eastAsia="宋体" w:cs="宋体"/>
                <w:b/>
                <w:sz w:val="21"/>
                <w:szCs w:val="21"/>
              </w:rPr>
              <w:t>扣分</w:t>
            </w:r>
          </w:p>
        </w:tc>
      </w:tr>
      <w:tr w14:paraId="171FC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665" w:type="dxa"/>
            <w:vMerge w:val="restart"/>
            <w:tcBorders>
              <w:left w:val="single" w:color="auto" w:sz="4" w:space="0"/>
              <w:right w:val="single" w:color="auto" w:sz="4" w:space="0"/>
            </w:tcBorders>
            <w:shd w:val="clear" w:color="auto" w:fill="auto"/>
            <w:vAlign w:val="center"/>
          </w:tcPr>
          <w:p w14:paraId="4EE76875">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zh-TW" w:eastAsia="zh-TW"/>
              </w:rPr>
              <w:t>维保质量</w:t>
            </w: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37C911B5">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1.来院施工工作人员上岗资格情况要事前报备。</w:t>
            </w:r>
          </w:p>
        </w:tc>
        <w:tc>
          <w:tcPr>
            <w:tcW w:w="957" w:type="dxa"/>
            <w:vMerge w:val="restart"/>
            <w:tcBorders>
              <w:top w:val="single" w:color="auto" w:sz="4" w:space="0"/>
              <w:left w:val="single" w:color="auto" w:sz="4" w:space="0"/>
              <w:right w:val="single" w:color="auto" w:sz="4" w:space="0"/>
            </w:tcBorders>
            <w:shd w:val="clear" w:color="auto" w:fill="auto"/>
            <w:vAlign w:val="center"/>
          </w:tcPr>
          <w:p w14:paraId="153D19A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30</w:t>
            </w: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CE3E86">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来院施工工作人员没有上岗资格的或没有到院报备上岗资格的每次扣1分。</w:t>
            </w:r>
          </w:p>
        </w:tc>
        <w:tc>
          <w:tcPr>
            <w:tcW w:w="1164" w:type="dxa"/>
            <w:tcBorders>
              <w:top w:val="single" w:color="auto" w:sz="4" w:space="0"/>
              <w:left w:val="single" w:color="auto" w:sz="4" w:space="0"/>
              <w:bottom w:val="single" w:color="auto" w:sz="4" w:space="0"/>
              <w:right w:val="single" w:color="auto" w:sz="4" w:space="0"/>
            </w:tcBorders>
            <w:vAlign w:val="center"/>
          </w:tcPr>
          <w:p w14:paraId="1CD7C4B0">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31A13E15">
            <w:pPr>
              <w:spacing w:line="260" w:lineRule="exact"/>
              <w:rPr>
                <w:rFonts w:hint="eastAsia" w:ascii="宋体" w:hAnsi="宋体" w:eastAsia="宋体" w:cs="宋体"/>
                <w:bCs/>
                <w:sz w:val="21"/>
                <w:szCs w:val="21"/>
              </w:rPr>
            </w:pPr>
          </w:p>
        </w:tc>
      </w:tr>
      <w:tr w14:paraId="017C4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4BAD18D8">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3E843DD3">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2.来院施工巡查须要在监控室签到。</w:t>
            </w:r>
          </w:p>
        </w:tc>
        <w:tc>
          <w:tcPr>
            <w:tcW w:w="957" w:type="dxa"/>
            <w:vMerge w:val="continue"/>
            <w:tcBorders>
              <w:left w:val="single" w:color="auto" w:sz="4" w:space="0"/>
              <w:right w:val="single" w:color="auto" w:sz="4" w:space="0"/>
            </w:tcBorders>
            <w:shd w:val="clear" w:color="auto" w:fill="auto"/>
            <w:vAlign w:val="center"/>
          </w:tcPr>
          <w:p w14:paraId="4582308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zh-TW" w:eastAsia="zh-TW"/>
              </w:rPr>
            </w:pP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26AA39">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没有签到的每次扣1分。</w:t>
            </w:r>
          </w:p>
        </w:tc>
        <w:tc>
          <w:tcPr>
            <w:tcW w:w="1164" w:type="dxa"/>
            <w:tcBorders>
              <w:top w:val="single" w:color="auto" w:sz="4" w:space="0"/>
              <w:left w:val="single" w:color="auto" w:sz="4" w:space="0"/>
              <w:bottom w:val="single" w:color="auto" w:sz="4" w:space="0"/>
              <w:right w:val="single" w:color="auto" w:sz="4" w:space="0"/>
            </w:tcBorders>
            <w:vAlign w:val="center"/>
          </w:tcPr>
          <w:p w14:paraId="6093D21A">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03F9E477">
            <w:pPr>
              <w:spacing w:line="260" w:lineRule="exact"/>
              <w:rPr>
                <w:rFonts w:hint="eastAsia" w:ascii="宋体" w:hAnsi="宋体" w:eastAsia="宋体" w:cs="宋体"/>
                <w:bCs/>
                <w:sz w:val="21"/>
                <w:szCs w:val="21"/>
              </w:rPr>
            </w:pPr>
          </w:p>
        </w:tc>
      </w:tr>
      <w:tr w14:paraId="0512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784D0EBB">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1A172D28">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3.更换器材要填消防器材更换记录表。</w:t>
            </w:r>
          </w:p>
        </w:tc>
        <w:tc>
          <w:tcPr>
            <w:tcW w:w="957" w:type="dxa"/>
            <w:vMerge w:val="continue"/>
            <w:tcBorders>
              <w:left w:val="single" w:color="auto" w:sz="4" w:space="0"/>
              <w:right w:val="single" w:color="auto" w:sz="4" w:space="0"/>
            </w:tcBorders>
            <w:shd w:val="clear" w:color="auto" w:fill="auto"/>
            <w:vAlign w:val="center"/>
          </w:tcPr>
          <w:p w14:paraId="3CF98C0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zh-TW" w:eastAsia="zh-TW"/>
              </w:rPr>
            </w:pP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0018C7">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没有填写的每次扣1分。</w:t>
            </w:r>
          </w:p>
        </w:tc>
        <w:tc>
          <w:tcPr>
            <w:tcW w:w="1164" w:type="dxa"/>
            <w:tcBorders>
              <w:top w:val="single" w:color="auto" w:sz="4" w:space="0"/>
              <w:left w:val="single" w:color="auto" w:sz="4" w:space="0"/>
              <w:bottom w:val="single" w:color="auto" w:sz="4" w:space="0"/>
              <w:right w:val="single" w:color="auto" w:sz="4" w:space="0"/>
            </w:tcBorders>
            <w:vAlign w:val="center"/>
          </w:tcPr>
          <w:p w14:paraId="2BC96BFE">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7BFF91D9">
            <w:pPr>
              <w:spacing w:line="260" w:lineRule="exact"/>
              <w:rPr>
                <w:rFonts w:hint="eastAsia" w:ascii="宋体" w:hAnsi="宋体" w:eastAsia="宋体" w:cs="宋体"/>
                <w:bCs/>
                <w:sz w:val="21"/>
                <w:szCs w:val="21"/>
              </w:rPr>
            </w:pPr>
          </w:p>
        </w:tc>
      </w:tr>
      <w:tr w14:paraId="3F8C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665" w:type="dxa"/>
            <w:vMerge w:val="continue"/>
            <w:tcBorders>
              <w:left w:val="single" w:color="auto" w:sz="4" w:space="0"/>
              <w:right w:val="single" w:color="auto" w:sz="4" w:space="0"/>
            </w:tcBorders>
            <w:shd w:val="clear" w:color="auto" w:fill="auto"/>
            <w:vAlign w:val="center"/>
          </w:tcPr>
          <w:p w14:paraId="25349FF7">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0352E466">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4.不按合同约定时间检查。</w:t>
            </w:r>
          </w:p>
        </w:tc>
        <w:tc>
          <w:tcPr>
            <w:tcW w:w="957" w:type="dxa"/>
            <w:vMerge w:val="continue"/>
            <w:tcBorders>
              <w:left w:val="single" w:color="auto" w:sz="4" w:space="0"/>
              <w:right w:val="single" w:color="auto" w:sz="4" w:space="0"/>
            </w:tcBorders>
            <w:shd w:val="clear" w:color="auto" w:fill="auto"/>
            <w:vAlign w:val="center"/>
          </w:tcPr>
          <w:p w14:paraId="7233D65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zh-TW" w:eastAsia="zh-TW"/>
              </w:rPr>
            </w:pP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792B5">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每发现一次扣1分。</w:t>
            </w:r>
          </w:p>
        </w:tc>
        <w:tc>
          <w:tcPr>
            <w:tcW w:w="1164" w:type="dxa"/>
            <w:tcBorders>
              <w:top w:val="single" w:color="auto" w:sz="4" w:space="0"/>
              <w:left w:val="single" w:color="auto" w:sz="4" w:space="0"/>
              <w:bottom w:val="single" w:color="auto" w:sz="4" w:space="0"/>
              <w:right w:val="single" w:color="auto" w:sz="4" w:space="0"/>
            </w:tcBorders>
            <w:vAlign w:val="center"/>
          </w:tcPr>
          <w:p w14:paraId="5D483147">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2DFC7609">
            <w:pPr>
              <w:spacing w:line="260" w:lineRule="exact"/>
              <w:rPr>
                <w:rFonts w:hint="eastAsia" w:ascii="宋体" w:hAnsi="宋体" w:eastAsia="宋体" w:cs="宋体"/>
                <w:bCs/>
                <w:sz w:val="21"/>
                <w:szCs w:val="21"/>
              </w:rPr>
            </w:pPr>
          </w:p>
        </w:tc>
      </w:tr>
      <w:tr w14:paraId="3FB1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665" w:type="dxa"/>
            <w:vMerge w:val="continue"/>
            <w:tcBorders>
              <w:left w:val="single" w:color="auto" w:sz="4" w:space="0"/>
              <w:right w:val="single" w:color="auto" w:sz="4" w:space="0"/>
            </w:tcBorders>
            <w:shd w:val="clear" w:color="auto" w:fill="auto"/>
            <w:vAlign w:val="center"/>
          </w:tcPr>
          <w:p w14:paraId="48490AD4">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693DE11B">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5.甲方对乙方服务的工作质量、服务态度、制度落实的执行情况进行监督检查。</w:t>
            </w:r>
          </w:p>
        </w:tc>
        <w:tc>
          <w:tcPr>
            <w:tcW w:w="957" w:type="dxa"/>
            <w:vMerge w:val="continue"/>
            <w:tcBorders>
              <w:left w:val="single" w:color="auto" w:sz="4" w:space="0"/>
              <w:right w:val="single" w:color="auto" w:sz="4" w:space="0"/>
            </w:tcBorders>
            <w:shd w:val="clear" w:color="auto" w:fill="auto"/>
            <w:vAlign w:val="center"/>
          </w:tcPr>
          <w:p w14:paraId="5A61B24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zh-TW" w:eastAsia="zh-TW"/>
              </w:rPr>
            </w:pP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9DBEB8">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每发现一处不符合要求的扣1分。</w:t>
            </w:r>
          </w:p>
        </w:tc>
        <w:tc>
          <w:tcPr>
            <w:tcW w:w="1164" w:type="dxa"/>
            <w:tcBorders>
              <w:top w:val="single" w:color="auto" w:sz="4" w:space="0"/>
              <w:left w:val="single" w:color="auto" w:sz="4" w:space="0"/>
              <w:bottom w:val="single" w:color="auto" w:sz="4" w:space="0"/>
              <w:right w:val="single" w:color="auto" w:sz="4" w:space="0"/>
            </w:tcBorders>
            <w:vAlign w:val="center"/>
          </w:tcPr>
          <w:p w14:paraId="5EC7CAAB">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4BBF0E3C">
            <w:pPr>
              <w:spacing w:line="260" w:lineRule="exact"/>
              <w:rPr>
                <w:rFonts w:hint="eastAsia" w:ascii="宋体" w:hAnsi="宋体" w:eastAsia="宋体" w:cs="宋体"/>
                <w:bCs/>
                <w:sz w:val="21"/>
                <w:szCs w:val="21"/>
              </w:rPr>
            </w:pPr>
          </w:p>
        </w:tc>
      </w:tr>
      <w:tr w14:paraId="47793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665" w:type="dxa"/>
            <w:vMerge w:val="continue"/>
            <w:tcBorders>
              <w:left w:val="single" w:color="auto" w:sz="4" w:space="0"/>
              <w:bottom w:val="single" w:color="auto" w:sz="4" w:space="0"/>
              <w:right w:val="single" w:color="auto" w:sz="4" w:space="0"/>
            </w:tcBorders>
            <w:shd w:val="clear" w:color="auto" w:fill="auto"/>
            <w:vAlign w:val="center"/>
          </w:tcPr>
          <w:p w14:paraId="371C44A2">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zh-TW" w:eastAsia="zh-TW"/>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1BFDB5DB">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6.政府相关部门检查。</w:t>
            </w:r>
          </w:p>
        </w:tc>
        <w:tc>
          <w:tcPr>
            <w:tcW w:w="957" w:type="dxa"/>
            <w:vMerge w:val="continue"/>
            <w:tcBorders>
              <w:left w:val="single" w:color="auto" w:sz="4" w:space="0"/>
              <w:bottom w:val="single" w:color="auto" w:sz="4" w:space="0"/>
              <w:right w:val="single" w:color="auto" w:sz="4" w:space="0"/>
            </w:tcBorders>
            <w:shd w:val="clear" w:color="auto" w:fill="auto"/>
            <w:vAlign w:val="center"/>
          </w:tcPr>
          <w:p w14:paraId="688ADDA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zh-TW" w:eastAsia="zh-TW"/>
              </w:rPr>
            </w:pP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B47382">
            <w:pPr>
              <w:keepNext w:val="0"/>
              <w:keepLines w:val="0"/>
              <w:widowControl/>
              <w:suppressLineNumbers w:val="0"/>
              <w:jc w:val="left"/>
              <w:textAlignment w:val="center"/>
              <w:rPr>
                <w:rFonts w:hint="eastAsia" w:ascii="宋体" w:hAnsi="宋体" w:eastAsia="宋体" w:cs="宋体"/>
                <w:color w:val="000000"/>
                <w:kern w:val="0"/>
                <w:sz w:val="21"/>
                <w:szCs w:val="21"/>
                <w:lang w:val="zh-TW" w:eastAsia="zh-TW"/>
              </w:rPr>
            </w:pPr>
            <w:r>
              <w:rPr>
                <w:rFonts w:hint="eastAsia" w:ascii="宋体" w:hAnsi="宋体" w:eastAsia="宋体" w:cs="宋体"/>
                <w:color w:val="000000"/>
                <w:kern w:val="0"/>
                <w:sz w:val="21"/>
                <w:szCs w:val="21"/>
                <w:lang w:val="en-US" w:eastAsia="zh-CN"/>
              </w:rPr>
              <w:t>政府部门日常检查每发现一处消防系统不符合项扣5分，情节严重的依法追究相关责任。</w:t>
            </w:r>
          </w:p>
        </w:tc>
        <w:tc>
          <w:tcPr>
            <w:tcW w:w="1164" w:type="dxa"/>
            <w:tcBorders>
              <w:top w:val="single" w:color="auto" w:sz="4" w:space="0"/>
              <w:left w:val="single" w:color="auto" w:sz="4" w:space="0"/>
              <w:bottom w:val="single" w:color="auto" w:sz="4" w:space="0"/>
              <w:right w:val="single" w:color="auto" w:sz="4" w:space="0"/>
            </w:tcBorders>
            <w:vAlign w:val="center"/>
          </w:tcPr>
          <w:p w14:paraId="2B8987A6">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12201530">
            <w:pPr>
              <w:spacing w:line="260" w:lineRule="exact"/>
              <w:rPr>
                <w:rFonts w:hint="eastAsia" w:ascii="宋体" w:hAnsi="宋体" w:eastAsia="宋体" w:cs="宋体"/>
                <w:bCs/>
                <w:sz w:val="21"/>
                <w:szCs w:val="21"/>
              </w:rPr>
            </w:pPr>
          </w:p>
        </w:tc>
      </w:tr>
      <w:tr w14:paraId="3744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65" w:type="dxa"/>
            <w:vMerge w:val="restart"/>
            <w:tcBorders>
              <w:left w:val="single" w:color="auto" w:sz="4" w:space="0"/>
              <w:right w:val="single" w:color="auto" w:sz="4" w:space="0"/>
            </w:tcBorders>
            <w:shd w:val="clear" w:color="auto" w:fill="auto"/>
            <w:vAlign w:val="center"/>
          </w:tcPr>
          <w:p w14:paraId="3637589B">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p w14:paraId="71F8A734">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p w14:paraId="2F0C87BA">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p w14:paraId="1D7830DE">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p w14:paraId="2EB38959">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p w14:paraId="75A2B7FA">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维保记录</w:t>
            </w:r>
          </w:p>
        </w:tc>
        <w:tc>
          <w:tcPr>
            <w:tcW w:w="3279" w:type="dxa"/>
            <w:tcBorders>
              <w:left w:val="single" w:color="auto" w:sz="4" w:space="0"/>
              <w:bottom w:val="single" w:color="auto" w:sz="4" w:space="0"/>
              <w:right w:val="single" w:color="auto" w:sz="4" w:space="0"/>
            </w:tcBorders>
            <w:shd w:val="clear" w:color="auto" w:fill="auto"/>
            <w:vAlign w:val="center"/>
          </w:tcPr>
          <w:p w14:paraId="5ACD5684">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①火灾自动报警系统维护保养综合检测记录。</w:t>
            </w:r>
          </w:p>
        </w:tc>
        <w:tc>
          <w:tcPr>
            <w:tcW w:w="957" w:type="dxa"/>
            <w:vMerge w:val="restart"/>
            <w:tcBorders>
              <w:left w:val="single" w:color="auto" w:sz="4" w:space="0"/>
              <w:right w:val="single" w:color="auto" w:sz="4" w:space="0"/>
            </w:tcBorders>
            <w:shd w:val="clear" w:color="auto" w:fill="auto"/>
            <w:vAlign w:val="center"/>
          </w:tcPr>
          <w:p w14:paraId="4A9EA67B">
            <w:pPr>
              <w:keepNext w:val="0"/>
              <w:keepLines w:val="0"/>
              <w:widowControl/>
              <w:suppressLineNumbers w:val="0"/>
              <w:jc w:val="center"/>
              <w:textAlignment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40</w:t>
            </w:r>
          </w:p>
        </w:tc>
        <w:tc>
          <w:tcPr>
            <w:tcW w:w="2924" w:type="dxa"/>
            <w:vMerge w:val="restart"/>
            <w:tcBorders>
              <w:left w:val="single" w:color="auto" w:sz="4" w:space="0"/>
              <w:right w:val="single" w:color="auto" w:sz="4" w:space="0"/>
            </w:tcBorders>
            <w:shd w:val="clear" w:color="auto" w:fill="auto"/>
            <w:noWrap/>
            <w:vAlign w:val="center"/>
          </w:tcPr>
          <w:p w14:paraId="0D9E1EEA">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1.维保记录填写真实完整，签字齐全，保存完好，每项为1分，每发现1个未填写或记录不全扣1分。</w:t>
            </w:r>
          </w:p>
          <w:p w14:paraId="66683A6D">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2.故障检修记录填写真实完整、签字齐全、保存完好，每项为1分，每发现1个未填写或记录不全扣1分。</w:t>
            </w:r>
          </w:p>
          <w:p w14:paraId="77F6DEBB">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3.上一个月的《自动消防系统维修保养项目检测报告》超过当月5号交由甲方的每次扣5分；每次上交检测报告不在交接表签名的，每次扣1分。</w:t>
            </w:r>
          </w:p>
        </w:tc>
        <w:tc>
          <w:tcPr>
            <w:tcW w:w="1164" w:type="dxa"/>
            <w:vMerge w:val="restart"/>
            <w:tcBorders>
              <w:left w:val="single" w:color="auto" w:sz="4" w:space="0"/>
              <w:right w:val="single" w:color="auto" w:sz="4" w:space="0"/>
            </w:tcBorders>
            <w:vAlign w:val="center"/>
          </w:tcPr>
          <w:p w14:paraId="67B9A3A4">
            <w:pPr>
              <w:spacing w:line="260" w:lineRule="exact"/>
              <w:rPr>
                <w:rFonts w:hint="eastAsia" w:ascii="宋体" w:hAnsi="宋体" w:eastAsia="宋体" w:cs="宋体"/>
                <w:bCs/>
                <w:sz w:val="21"/>
                <w:szCs w:val="21"/>
              </w:rPr>
            </w:pPr>
          </w:p>
        </w:tc>
        <w:tc>
          <w:tcPr>
            <w:tcW w:w="589" w:type="dxa"/>
            <w:vMerge w:val="restart"/>
            <w:tcBorders>
              <w:left w:val="single" w:color="auto" w:sz="4" w:space="0"/>
              <w:right w:val="single" w:color="auto" w:sz="4" w:space="0"/>
            </w:tcBorders>
            <w:shd w:val="clear" w:color="auto" w:fill="auto"/>
            <w:vAlign w:val="center"/>
          </w:tcPr>
          <w:p w14:paraId="27D70656">
            <w:pPr>
              <w:spacing w:line="260" w:lineRule="exact"/>
              <w:rPr>
                <w:rFonts w:hint="eastAsia" w:ascii="宋体" w:hAnsi="宋体" w:eastAsia="宋体" w:cs="宋体"/>
                <w:bCs/>
                <w:sz w:val="21"/>
                <w:szCs w:val="21"/>
              </w:rPr>
            </w:pPr>
          </w:p>
        </w:tc>
      </w:tr>
      <w:tr w14:paraId="1E02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65" w:type="dxa"/>
            <w:vMerge w:val="continue"/>
            <w:tcBorders>
              <w:left w:val="single" w:color="auto" w:sz="4" w:space="0"/>
              <w:right w:val="single" w:color="auto" w:sz="4" w:space="0"/>
            </w:tcBorders>
            <w:shd w:val="clear" w:color="auto" w:fill="auto"/>
            <w:vAlign w:val="center"/>
          </w:tcPr>
          <w:p w14:paraId="26578FCE">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tc>
        <w:tc>
          <w:tcPr>
            <w:tcW w:w="3279" w:type="dxa"/>
            <w:tcBorders>
              <w:left w:val="single" w:color="auto" w:sz="4" w:space="0"/>
              <w:bottom w:val="single" w:color="auto" w:sz="4" w:space="0"/>
              <w:right w:val="single" w:color="auto" w:sz="4" w:space="0"/>
            </w:tcBorders>
            <w:shd w:val="clear" w:color="auto" w:fill="auto"/>
            <w:vAlign w:val="center"/>
          </w:tcPr>
          <w:p w14:paraId="1DEC36B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②自动喷水灭火维护保养综合检测记录。</w:t>
            </w:r>
          </w:p>
        </w:tc>
        <w:tc>
          <w:tcPr>
            <w:tcW w:w="957" w:type="dxa"/>
            <w:vMerge w:val="continue"/>
            <w:tcBorders>
              <w:left w:val="single" w:color="auto" w:sz="4" w:space="0"/>
              <w:right w:val="single" w:color="auto" w:sz="4" w:space="0"/>
            </w:tcBorders>
            <w:shd w:val="clear" w:color="auto" w:fill="auto"/>
            <w:vAlign w:val="center"/>
          </w:tcPr>
          <w:p w14:paraId="4B37FC5F">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right w:val="single" w:color="auto" w:sz="4" w:space="0"/>
            </w:tcBorders>
            <w:shd w:val="clear" w:color="auto" w:fill="auto"/>
            <w:noWrap/>
            <w:vAlign w:val="center"/>
          </w:tcPr>
          <w:p w14:paraId="2664E94A">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12D73B40">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149B7AF3">
            <w:pPr>
              <w:spacing w:line="260" w:lineRule="exact"/>
              <w:rPr>
                <w:rFonts w:hint="eastAsia" w:ascii="宋体" w:hAnsi="宋体" w:eastAsia="宋体" w:cs="宋体"/>
                <w:bCs/>
                <w:sz w:val="21"/>
                <w:szCs w:val="21"/>
              </w:rPr>
            </w:pPr>
          </w:p>
        </w:tc>
      </w:tr>
      <w:tr w14:paraId="43B4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665" w:type="dxa"/>
            <w:vMerge w:val="continue"/>
            <w:tcBorders>
              <w:left w:val="single" w:color="auto" w:sz="4" w:space="0"/>
              <w:right w:val="single" w:color="auto" w:sz="4" w:space="0"/>
            </w:tcBorders>
            <w:shd w:val="clear" w:color="auto" w:fill="auto"/>
            <w:vAlign w:val="center"/>
          </w:tcPr>
          <w:p w14:paraId="0357CEF5">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tc>
        <w:tc>
          <w:tcPr>
            <w:tcW w:w="3279" w:type="dxa"/>
            <w:tcBorders>
              <w:left w:val="single" w:color="auto" w:sz="4" w:space="0"/>
              <w:bottom w:val="single" w:color="auto" w:sz="4" w:space="0"/>
              <w:right w:val="single" w:color="auto" w:sz="4" w:space="0"/>
            </w:tcBorders>
            <w:shd w:val="clear" w:color="auto" w:fill="auto"/>
            <w:vAlign w:val="center"/>
          </w:tcPr>
          <w:p w14:paraId="069D570D">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③气体自动灭火保养综合检测记录。</w:t>
            </w:r>
          </w:p>
        </w:tc>
        <w:tc>
          <w:tcPr>
            <w:tcW w:w="957" w:type="dxa"/>
            <w:vMerge w:val="continue"/>
            <w:tcBorders>
              <w:left w:val="single" w:color="auto" w:sz="4" w:space="0"/>
              <w:right w:val="single" w:color="auto" w:sz="4" w:space="0"/>
            </w:tcBorders>
            <w:shd w:val="clear" w:color="auto" w:fill="auto"/>
            <w:vAlign w:val="center"/>
          </w:tcPr>
          <w:p w14:paraId="58437B0D">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right w:val="single" w:color="auto" w:sz="4" w:space="0"/>
            </w:tcBorders>
            <w:shd w:val="clear" w:color="auto" w:fill="auto"/>
            <w:noWrap/>
            <w:vAlign w:val="center"/>
          </w:tcPr>
          <w:p w14:paraId="63F2E675">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51E45EB9">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7ECF1B47">
            <w:pPr>
              <w:spacing w:line="260" w:lineRule="exact"/>
              <w:rPr>
                <w:rFonts w:hint="eastAsia" w:ascii="宋体" w:hAnsi="宋体" w:eastAsia="宋体" w:cs="宋体"/>
                <w:bCs/>
                <w:sz w:val="21"/>
                <w:szCs w:val="21"/>
              </w:rPr>
            </w:pPr>
          </w:p>
        </w:tc>
      </w:tr>
      <w:tr w14:paraId="2BC6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5" w:type="dxa"/>
            <w:vMerge w:val="continue"/>
            <w:tcBorders>
              <w:left w:val="single" w:color="auto" w:sz="4" w:space="0"/>
              <w:right w:val="single" w:color="auto" w:sz="4" w:space="0"/>
            </w:tcBorders>
            <w:shd w:val="clear" w:color="auto" w:fill="auto"/>
            <w:vAlign w:val="center"/>
          </w:tcPr>
          <w:p w14:paraId="4DEB228C">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tc>
        <w:tc>
          <w:tcPr>
            <w:tcW w:w="3279" w:type="dxa"/>
            <w:tcBorders>
              <w:left w:val="single" w:color="auto" w:sz="4" w:space="0"/>
              <w:bottom w:val="single" w:color="auto" w:sz="4" w:space="0"/>
              <w:right w:val="single" w:color="auto" w:sz="4" w:space="0"/>
            </w:tcBorders>
            <w:shd w:val="clear" w:color="auto" w:fill="auto"/>
            <w:vAlign w:val="center"/>
          </w:tcPr>
          <w:p w14:paraId="63B7D9A3">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④防排烟系统维护保养综合检测记录。</w:t>
            </w:r>
          </w:p>
        </w:tc>
        <w:tc>
          <w:tcPr>
            <w:tcW w:w="957" w:type="dxa"/>
            <w:vMerge w:val="continue"/>
            <w:tcBorders>
              <w:left w:val="single" w:color="auto" w:sz="4" w:space="0"/>
              <w:right w:val="single" w:color="auto" w:sz="4" w:space="0"/>
            </w:tcBorders>
            <w:shd w:val="clear" w:color="auto" w:fill="auto"/>
            <w:vAlign w:val="center"/>
          </w:tcPr>
          <w:p w14:paraId="683222F8">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right w:val="single" w:color="auto" w:sz="4" w:space="0"/>
            </w:tcBorders>
            <w:shd w:val="clear" w:color="auto" w:fill="auto"/>
            <w:noWrap/>
            <w:vAlign w:val="center"/>
          </w:tcPr>
          <w:p w14:paraId="32BC4767">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5EFC92D6">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1F156BC6">
            <w:pPr>
              <w:spacing w:line="260" w:lineRule="exact"/>
              <w:rPr>
                <w:rFonts w:hint="eastAsia" w:ascii="宋体" w:hAnsi="宋体" w:eastAsia="宋体" w:cs="宋体"/>
                <w:bCs/>
                <w:sz w:val="21"/>
                <w:szCs w:val="21"/>
              </w:rPr>
            </w:pPr>
          </w:p>
        </w:tc>
      </w:tr>
      <w:tr w14:paraId="1DD9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65" w:type="dxa"/>
            <w:vMerge w:val="continue"/>
            <w:tcBorders>
              <w:left w:val="single" w:color="auto" w:sz="4" w:space="0"/>
              <w:right w:val="single" w:color="auto" w:sz="4" w:space="0"/>
            </w:tcBorders>
            <w:shd w:val="clear" w:color="auto" w:fill="auto"/>
            <w:vAlign w:val="center"/>
          </w:tcPr>
          <w:p w14:paraId="16C35F0C">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1F90BF5D">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⑤消防系统检测表。</w:t>
            </w:r>
          </w:p>
        </w:tc>
        <w:tc>
          <w:tcPr>
            <w:tcW w:w="957" w:type="dxa"/>
            <w:vMerge w:val="continue"/>
            <w:tcBorders>
              <w:left w:val="single" w:color="auto" w:sz="4" w:space="0"/>
              <w:right w:val="single" w:color="auto" w:sz="4" w:space="0"/>
            </w:tcBorders>
            <w:shd w:val="clear" w:color="auto" w:fill="auto"/>
            <w:vAlign w:val="center"/>
          </w:tcPr>
          <w:p w14:paraId="698F5B60">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right w:val="single" w:color="auto" w:sz="4" w:space="0"/>
            </w:tcBorders>
            <w:shd w:val="clear" w:color="auto" w:fill="auto"/>
            <w:noWrap/>
            <w:vAlign w:val="center"/>
          </w:tcPr>
          <w:p w14:paraId="6E6B5206">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5CE495CE">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29CDD7A5">
            <w:pPr>
              <w:spacing w:line="260" w:lineRule="exact"/>
              <w:rPr>
                <w:rFonts w:hint="eastAsia" w:ascii="宋体" w:hAnsi="宋体" w:eastAsia="宋体" w:cs="宋体"/>
                <w:bCs/>
                <w:sz w:val="21"/>
                <w:szCs w:val="21"/>
              </w:rPr>
            </w:pPr>
          </w:p>
        </w:tc>
      </w:tr>
      <w:tr w14:paraId="6041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2C08D657">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3B82B260">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⑥消防泵每月测试表。</w:t>
            </w:r>
          </w:p>
        </w:tc>
        <w:tc>
          <w:tcPr>
            <w:tcW w:w="957" w:type="dxa"/>
            <w:vMerge w:val="continue"/>
            <w:tcBorders>
              <w:left w:val="single" w:color="auto" w:sz="4" w:space="0"/>
              <w:right w:val="single" w:color="auto" w:sz="4" w:space="0"/>
            </w:tcBorders>
            <w:shd w:val="clear" w:color="auto" w:fill="auto"/>
            <w:vAlign w:val="center"/>
          </w:tcPr>
          <w:p w14:paraId="6A50E64D">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right w:val="single" w:color="auto" w:sz="4" w:space="0"/>
            </w:tcBorders>
            <w:shd w:val="clear" w:color="auto" w:fill="auto"/>
            <w:noWrap/>
            <w:vAlign w:val="center"/>
          </w:tcPr>
          <w:p w14:paraId="5E2191C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1A958F06">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7207EEFC">
            <w:pPr>
              <w:spacing w:line="260" w:lineRule="exact"/>
              <w:rPr>
                <w:rFonts w:hint="eastAsia" w:ascii="宋体" w:hAnsi="宋体" w:eastAsia="宋体" w:cs="宋体"/>
                <w:bCs/>
                <w:sz w:val="21"/>
                <w:szCs w:val="21"/>
              </w:rPr>
            </w:pPr>
          </w:p>
        </w:tc>
      </w:tr>
      <w:tr w14:paraId="6F80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40733E07">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7543DD0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⑦卷帘门检查表。</w:t>
            </w:r>
          </w:p>
        </w:tc>
        <w:tc>
          <w:tcPr>
            <w:tcW w:w="957" w:type="dxa"/>
            <w:vMerge w:val="continue"/>
            <w:tcBorders>
              <w:left w:val="single" w:color="auto" w:sz="4" w:space="0"/>
              <w:right w:val="single" w:color="auto" w:sz="4" w:space="0"/>
            </w:tcBorders>
            <w:shd w:val="clear" w:color="auto" w:fill="auto"/>
            <w:vAlign w:val="center"/>
          </w:tcPr>
          <w:p w14:paraId="02A39B3D">
            <w:pPr>
              <w:spacing w:line="260" w:lineRule="exact"/>
              <w:jc w:val="center"/>
              <w:rPr>
                <w:rFonts w:hint="eastAsia" w:ascii="宋体" w:hAnsi="宋体" w:eastAsia="宋体" w:cs="宋体"/>
                <w:bCs/>
                <w:sz w:val="21"/>
                <w:szCs w:val="21"/>
              </w:rPr>
            </w:pPr>
          </w:p>
        </w:tc>
        <w:tc>
          <w:tcPr>
            <w:tcW w:w="2924" w:type="dxa"/>
            <w:vMerge w:val="continue"/>
            <w:tcBorders>
              <w:left w:val="single" w:color="auto" w:sz="4" w:space="0"/>
              <w:right w:val="single" w:color="auto" w:sz="4" w:space="0"/>
            </w:tcBorders>
            <w:shd w:val="clear" w:color="auto" w:fill="auto"/>
            <w:noWrap/>
            <w:vAlign w:val="center"/>
          </w:tcPr>
          <w:p w14:paraId="69873170">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720EE8BA">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50035D25">
            <w:pPr>
              <w:spacing w:line="260" w:lineRule="exact"/>
              <w:rPr>
                <w:rFonts w:hint="eastAsia" w:ascii="宋体" w:hAnsi="宋体" w:eastAsia="宋体" w:cs="宋体"/>
                <w:bCs/>
                <w:sz w:val="21"/>
                <w:szCs w:val="21"/>
              </w:rPr>
            </w:pPr>
          </w:p>
        </w:tc>
      </w:tr>
      <w:tr w14:paraId="4440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7F507995">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57E0440B">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⑧灭火器检查表。</w:t>
            </w:r>
          </w:p>
        </w:tc>
        <w:tc>
          <w:tcPr>
            <w:tcW w:w="957" w:type="dxa"/>
            <w:vMerge w:val="continue"/>
            <w:tcBorders>
              <w:left w:val="single" w:color="auto" w:sz="4" w:space="0"/>
              <w:right w:val="single" w:color="auto" w:sz="4" w:space="0"/>
            </w:tcBorders>
            <w:shd w:val="clear" w:color="auto" w:fill="auto"/>
            <w:vAlign w:val="center"/>
          </w:tcPr>
          <w:p w14:paraId="57ABC324">
            <w:pPr>
              <w:spacing w:line="260" w:lineRule="exact"/>
              <w:jc w:val="center"/>
              <w:rPr>
                <w:rFonts w:hint="eastAsia" w:ascii="宋体" w:hAnsi="宋体" w:eastAsia="宋体" w:cs="宋体"/>
                <w:bCs/>
                <w:sz w:val="21"/>
                <w:szCs w:val="21"/>
              </w:rPr>
            </w:pPr>
          </w:p>
        </w:tc>
        <w:tc>
          <w:tcPr>
            <w:tcW w:w="2924" w:type="dxa"/>
            <w:vMerge w:val="continue"/>
            <w:tcBorders>
              <w:left w:val="single" w:color="auto" w:sz="4" w:space="0"/>
              <w:right w:val="single" w:color="auto" w:sz="4" w:space="0"/>
            </w:tcBorders>
            <w:shd w:val="clear" w:color="auto" w:fill="auto"/>
            <w:noWrap/>
            <w:vAlign w:val="center"/>
          </w:tcPr>
          <w:p w14:paraId="164ECDA0">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2CB25005">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33257741">
            <w:pPr>
              <w:spacing w:line="260" w:lineRule="exact"/>
              <w:rPr>
                <w:rFonts w:hint="eastAsia" w:ascii="宋体" w:hAnsi="宋体" w:eastAsia="宋体" w:cs="宋体"/>
                <w:bCs/>
                <w:sz w:val="21"/>
                <w:szCs w:val="21"/>
              </w:rPr>
            </w:pPr>
          </w:p>
        </w:tc>
      </w:tr>
      <w:tr w14:paraId="2D68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right w:val="single" w:color="auto" w:sz="4" w:space="0"/>
            </w:tcBorders>
            <w:shd w:val="clear" w:color="auto" w:fill="auto"/>
            <w:vAlign w:val="center"/>
          </w:tcPr>
          <w:p w14:paraId="0326C276">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3094507B">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⑨消防维保月报告。</w:t>
            </w:r>
          </w:p>
        </w:tc>
        <w:tc>
          <w:tcPr>
            <w:tcW w:w="957" w:type="dxa"/>
            <w:vMerge w:val="continue"/>
            <w:tcBorders>
              <w:left w:val="single" w:color="auto" w:sz="4" w:space="0"/>
              <w:right w:val="single" w:color="auto" w:sz="4" w:space="0"/>
            </w:tcBorders>
            <w:shd w:val="clear" w:color="auto" w:fill="auto"/>
            <w:vAlign w:val="center"/>
          </w:tcPr>
          <w:p w14:paraId="73BDC003">
            <w:pPr>
              <w:spacing w:line="260" w:lineRule="exact"/>
              <w:jc w:val="center"/>
              <w:rPr>
                <w:rFonts w:hint="eastAsia" w:ascii="宋体" w:hAnsi="宋体" w:eastAsia="宋体" w:cs="宋体"/>
                <w:bCs/>
                <w:sz w:val="21"/>
                <w:szCs w:val="21"/>
              </w:rPr>
            </w:pPr>
          </w:p>
        </w:tc>
        <w:tc>
          <w:tcPr>
            <w:tcW w:w="2924" w:type="dxa"/>
            <w:vMerge w:val="continue"/>
            <w:tcBorders>
              <w:left w:val="single" w:color="auto" w:sz="4" w:space="0"/>
              <w:right w:val="single" w:color="auto" w:sz="4" w:space="0"/>
            </w:tcBorders>
            <w:shd w:val="clear" w:color="auto" w:fill="auto"/>
            <w:noWrap/>
            <w:vAlign w:val="center"/>
          </w:tcPr>
          <w:p w14:paraId="70717532">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35CA0089">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4A44BE7A">
            <w:pPr>
              <w:spacing w:line="260" w:lineRule="exact"/>
              <w:rPr>
                <w:rFonts w:hint="eastAsia" w:ascii="宋体" w:hAnsi="宋体" w:eastAsia="宋体" w:cs="宋体"/>
                <w:bCs/>
                <w:sz w:val="21"/>
                <w:szCs w:val="21"/>
              </w:rPr>
            </w:pPr>
          </w:p>
        </w:tc>
      </w:tr>
      <w:tr w14:paraId="5703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65" w:type="dxa"/>
            <w:vMerge w:val="continue"/>
            <w:tcBorders>
              <w:left w:val="single" w:color="auto" w:sz="4" w:space="0"/>
              <w:right w:val="single" w:color="auto" w:sz="4" w:space="0"/>
            </w:tcBorders>
            <w:shd w:val="clear" w:color="auto" w:fill="auto"/>
            <w:vAlign w:val="center"/>
          </w:tcPr>
          <w:p w14:paraId="4BF2B7C1">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6F82D580">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⑩消防电话检查表。</w:t>
            </w:r>
          </w:p>
        </w:tc>
        <w:tc>
          <w:tcPr>
            <w:tcW w:w="957" w:type="dxa"/>
            <w:vMerge w:val="continue"/>
            <w:tcBorders>
              <w:left w:val="single" w:color="auto" w:sz="4" w:space="0"/>
              <w:right w:val="single" w:color="auto" w:sz="4" w:space="0"/>
            </w:tcBorders>
            <w:shd w:val="clear" w:color="auto" w:fill="auto"/>
            <w:vAlign w:val="center"/>
          </w:tcPr>
          <w:p w14:paraId="7D0D2272">
            <w:pPr>
              <w:spacing w:line="260" w:lineRule="exact"/>
              <w:jc w:val="center"/>
              <w:rPr>
                <w:rFonts w:hint="eastAsia" w:ascii="宋体" w:hAnsi="宋体" w:eastAsia="宋体" w:cs="宋体"/>
                <w:bCs/>
                <w:sz w:val="21"/>
                <w:szCs w:val="21"/>
              </w:rPr>
            </w:pPr>
          </w:p>
        </w:tc>
        <w:tc>
          <w:tcPr>
            <w:tcW w:w="2924" w:type="dxa"/>
            <w:vMerge w:val="continue"/>
            <w:tcBorders>
              <w:left w:val="single" w:color="auto" w:sz="4" w:space="0"/>
              <w:right w:val="single" w:color="auto" w:sz="4" w:space="0"/>
            </w:tcBorders>
            <w:shd w:val="clear" w:color="auto" w:fill="auto"/>
            <w:noWrap/>
            <w:vAlign w:val="center"/>
          </w:tcPr>
          <w:p w14:paraId="43CE2CA8">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right w:val="single" w:color="auto" w:sz="4" w:space="0"/>
            </w:tcBorders>
            <w:vAlign w:val="center"/>
          </w:tcPr>
          <w:p w14:paraId="5CD206EA">
            <w:pPr>
              <w:spacing w:line="260" w:lineRule="exact"/>
              <w:rPr>
                <w:rFonts w:hint="eastAsia" w:ascii="宋体" w:hAnsi="宋体" w:eastAsia="宋体" w:cs="宋体"/>
                <w:bCs/>
                <w:sz w:val="21"/>
                <w:szCs w:val="21"/>
              </w:rPr>
            </w:pPr>
          </w:p>
        </w:tc>
        <w:tc>
          <w:tcPr>
            <w:tcW w:w="589" w:type="dxa"/>
            <w:vMerge w:val="continue"/>
            <w:tcBorders>
              <w:left w:val="single" w:color="auto" w:sz="4" w:space="0"/>
              <w:right w:val="single" w:color="auto" w:sz="4" w:space="0"/>
            </w:tcBorders>
            <w:shd w:val="clear" w:color="auto" w:fill="auto"/>
            <w:vAlign w:val="center"/>
          </w:tcPr>
          <w:p w14:paraId="284AE546">
            <w:pPr>
              <w:spacing w:line="260" w:lineRule="exact"/>
              <w:rPr>
                <w:rFonts w:hint="eastAsia" w:ascii="宋体" w:hAnsi="宋体" w:eastAsia="宋体" w:cs="宋体"/>
                <w:bCs/>
                <w:sz w:val="21"/>
                <w:szCs w:val="21"/>
              </w:rPr>
            </w:pPr>
          </w:p>
        </w:tc>
      </w:tr>
      <w:tr w14:paraId="376A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Merge w:val="continue"/>
            <w:tcBorders>
              <w:left w:val="single" w:color="auto" w:sz="4" w:space="0"/>
              <w:bottom w:val="single" w:color="auto" w:sz="4" w:space="0"/>
              <w:right w:val="single" w:color="auto" w:sz="4" w:space="0"/>
            </w:tcBorders>
            <w:shd w:val="clear" w:color="auto" w:fill="auto"/>
            <w:vAlign w:val="center"/>
          </w:tcPr>
          <w:p w14:paraId="32C3C938">
            <w:pPr>
              <w:spacing w:line="260" w:lineRule="exact"/>
              <w:rPr>
                <w:rFonts w:hint="eastAsia" w:ascii="宋体" w:hAnsi="宋体" w:eastAsia="宋体" w:cs="宋体"/>
                <w:bCs/>
                <w:sz w:val="21"/>
                <w:szCs w:val="21"/>
                <w:highlight w:val="yellow"/>
              </w:rPr>
            </w:pPr>
          </w:p>
        </w:tc>
        <w:tc>
          <w:tcPr>
            <w:tcW w:w="3279" w:type="dxa"/>
            <w:tcBorders>
              <w:left w:val="single" w:color="auto" w:sz="4" w:space="0"/>
              <w:bottom w:val="single" w:color="auto" w:sz="4" w:space="0"/>
              <w:right w:val="single" w:color="auto" w:sz="4" w:space="0"/>
            </w:tcBorders>
            <w:shd w:val="clear" w:color="auto" w:fill="auto"/>
            <w:vAlign w:val="center"/>
          </w:tcPr>
          <w:p w14:paraId="0E66D755">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⑪消防广播测试表。</w:t>
            </w:r>
          </w:p>
        </w:tc>
        <w:tc>
          <w:tcPr>
            <w:tcW w:w="957" w:type="dxa"/>
            <w:vMerge w:val="continue"/>
            <w:tcBorders>
              <w:left w:val="single" w:color="auto" w:sz="4" w:space="0"/>
              <w:bottom w:val="single" w:color="auto" w:sz="4" w:space="0"/>
              <w:right w:val="single" w:color="auto" w:sz="4" w:space="0"/>
            </w:tcBorders>
            <w:shd w:val="clear" w:color="auto" w:fill="auto"/>
            <w:vAlign w:val="center"/>
          </w:tcPr>
          <w:p w14:paraId="5B6D1FA2">
            <w:pPr>
              <w:spacing w:line="260" w:lineRule="exact"/>
              <w:jc w:val="center"/>
              <w:rPr>
                <w:rFonts w:hint="eastAsia" w:ascii="宋体" w:hAnsi="宋体" w:eastAsia="宋体" w:cs="宋体"/>
                <w:bCs/>
                <w:sz w:val="21"/>
                <w:szCs w:val="21"/>
              </w:rPr>
            </w:pPr>
          </w:p>
        </w:tc>
        <w:tc>
          <w:tcPr>
            <w:tcW w:w="2924" w:type="dxa"/>
            <w:vMerge w:val="continue"/>
            <w:tcBorders>
              <w:left w:val="single" w:color="auto" w:sz="4" w:space="0"/>
              <w:bottom w:val="single" w:color="auto" w:sz="4" w:space="0"/>
              <w:right w:val="single" w:color="auto" w:sz="4" w:space="0"/>
            </w:tcBorders>
            <w:shd w:val="clear" w:color="auto" w:fill="auto"/>
            <w:noWrap/>
            <w:vAlign w:val="center"/>
          </w:tcPr>
          <w:p w14:paraId="50B66BBD">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bottom w:val="single" w:color="auto" w:sz="4" w:space="0"/>
              <w:right w:val="single" w:color="auto" w:sz="4" w:space="0"/>
            </w:tcBorders>
            <w:vAlign w:val="center"/>
          </w:tcPr>
          <w:p w14:paraId="5271F703">
            <w:pPr>
              <w:spacing w:line="260" w:lineRule="exact"/>
              <w:rPr>
                <w:rFonts w:hint="eastAsia" w:ascii="宋体" w:hAnsi="宋体" w:eastAsia="宋体" w:cs="宋体"/>
                <w:bCs/>
                <w:sz w:val="21"/>
                <w:szCs w:val="21"/>
              </w:rPr>
            </w:pPr>
          </w:p>
        </w:tc>
        <w:tc>
          <w:tcPr>
            <w:tcW w:w="589" w:type="dxa"/>
            <w:vMerge w:val="continue"/>
            <w:tcBorders>
              <w:left w:val="single" w:color="auto" w:sz="4" w:space="0"/>
              <w:bottom w:val="single" w:color="auto" w:sz="4" w:space="0"/>
              <w:right w:val="single" w:color="auto" w:sz="4" w:space="0"/>
            </w:tcBorders>
            <w:shd w:val="clear" w:color="auto" w:fill="auto"/>
            <w:vAlign w:val="center"/>
          </w:tcPr>
          <w:p w14:paraId="756A2164">
            <w:pPr>
              <w:spacing w:line="260" w:lineRule="exact"/>
              <w:rPr>
                <w:rFonts w:hint="eastAsia" w:ascii="宋体" w:hAnsi="宋体" w:eastAsia="宋体" w:cs="宋体"/>
                <w:bCs/>
                <w:sz w:val="21"/>
                <w:szCs w:val="21"/>
              </w:rPr>
            </w:pPr>
          </w:p>
        </w:tc>
      </w:tr>
      <w:tr w14:paraId="3DB8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665" w:type="dxa"/>
            <w:vMerge w:val="restart"/>
            <w:tcBorders>
              <w:left w:val="single" w:color="auto" w:sz="4" w:space="0"/>
              <w:right w:val="single" w:color="auto" w:sz="4" w:space="0"/>
            </w:tcBorders>
            <w:shd w:val="clear" w:color="auto" w:fill="auto"/>
            <w:vAlign w:val="center"/>
          </w:tcPr>
          <w:p w14:paraId="5C8675D6">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应急救援</w:t>
            </w: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108AA190">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保持24小时维保电话畅通（须明确1人为联系人）。</w:t>
            </w:r>
          </w:p>
        </w:tc>
        <w:tc>
          <w:tcPr>
            <w:tcW w:w="957" w:type="dxa"/>
            <w:vMerge w:val="restart"/>
            <w:tcBorders>
              <w:left w:val="single" w:color="auto" w:sz="4" w:space="0"/>
              <w:right w:val="single" w:color="auto" w:sz="4" w:space="0"/>
            </w:tcBorders>
            <w:shd w:val="clear" w:color="auto" w:fill="auto"/>
            <w:vAlign w:val="center"/>
          </w:tcPr>
          <w:p w14:paraId="18D4EAD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w:t>
            </w:r>
          </w:p>
        </w:tc>
        <w:tc>
          <w:tcPr>
            <w:tcW w:w="2924" w:type="dxa"/>
            <w:vMerge w:val="restart"/>
            <w:tcBorders>
              <w:top w:val="single" w:color="auto" w:sz="4" w:space="0"/>
              <w:left w:val="single" w:color="auto" w:sz="4" w:space="0"/>
              <w:right w:val="single" w:color="auto" w:sz="4" w:space="0"/>
            </w:tcBorders>
            <w:shd w:val="clear" w:color="auto" w:fill="auto"/>
            <w:noWrap/>
            <w:vAlign w:val="center"/>
          </w:tcPr>
          <w:p w14:paraId="5F679A57">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1.电话关机，欠费停机，1小时内未能联系上的，每次扣1分。</w:t>
            </w:r>
          </w:p>
          <w:p w14:paraId="63751188">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2.电话无人接听的，每次扣1分。</w:t>
            </w:r>
          </w:p>
          <w:p w14:paraId="405567C7">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3.更换了联系人的未及时通知甲方的，每次扣1分。</w:t>
            </w:r>
          </w:p>
          <w:p w14:paraId="593AD8B4">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4.未按规定时间内到达维保现场，解决排除故障扣2分。</w:t>
            </w:r>
          </w:p>
          <w:p w14:paraId="241CC366">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5.因救援排险不及时造成隐患及损失，扣3分。</w:t>
            </w:r>
          </w:p>
          <w:p w14:paraId="0CF43E04">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6.若因故不能及时修复而影响消防系统正常运作，未能书面通知甲方，扣2分。</w:t>
            </w:r>
          </w:p>
        </w:tc>
        <w:tc>
          <w:tcPr>
            <w:tcW w:w="1164" w:type="dxa"/>
            <w:vMerge w:val="restart"/>
            <w:tcBorders>
              <w:top w:val="single" w:color="auto" w:sz="4" w:space="0"/>
              <w:left w:val="single" w:color="auto" w:sz="4" w:space="0"/>
              <w:right w:val="single" w:color="auto" w:sz="4" w:space="0"/>
            </w:tcBorders>
            <w:vAlign w:val="center"/>
          </w:tcPr>
          <w:p w14:paraId="69F933CD">
            <w:pPr>
              <w:spacing w:line="260" w:lineRule="exact"/>
              <w:rPr>
                <w:rFonts w:hint="eastAsia" w:ascii="宋体" w:hAnsi="宋体" w:eastAsia="宋体" w:cs="宋体"/>
                <w:bCs/>
                <w:sz w:val="21"/>
                <w:szCs w:val="21"/>
              </w:rPr>
            </w:pPr>
          </w:p>
        </w:tc>
        <w:tc>
          <w:tcPr>
            <w:tcW w:w="589" w:type="dxa"/>
            <w:vMerge w:val="restart"/>
            <w:tcBorders>
              <w:top w:val="single" w:color="auto" w:sz="4" w:space="0"/>
              <w:left w:val="single" w:color="auto" w:sz="4" w:space="0"/>
              <w:right w:val="single" w:color="auto" w:sz="4" w:space="0"/>
            </w:tcBorders>
            <w:shd w:val="clear" w:color="auto" w:fill="auto"/>
            <w:vAlign w:val="center"/>
          </w:tcPr>
          <w:p w14:paraId="13E7E1D6">
            <w:pPr>
              <w:spacing w:line="260" w:lineRule="exact"/>
              <w:rPr>
                <w:rFonts w:hint="eastAsia" w:ascii="宋体" w:hAnsi="宋体" w:eastAsia="宋体" w:cs="宋体"/>
                <w:bCs/>
                <w:sz w:val="21"/>
                <w:szCs w:val="21"/>
              </w:rPr>
            </w:pPr>
          </w:p>
        </w:tc>
      </w:tr>
      <w:tr w14:paraId="495F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8" w:hRule="atLeast"/>
          <w:jc w:val="center"/>
        </w:trPr>
        <w:tc>
          <w:tcPr>
            <w:tcW w:w="665" w:type="dxa"/>
            <w:vMerge w:val="continue"/>
            <w:tcBorders>
              <w:left w:val="single" w:color="auto" w:sz="4" w:space="0"/>
              <w:bottom w:val="single" w:color="auto" w:sz="4" w:space="0"/>
              <w:right w:val="single" w:color="auto" w:sz="4" w:space="0"/>
            </w:tcBorders>
            <w:shd w:val="clear" w:color="auto" w:fill="auto"/>
            <w:vAlign w:val="center"/>
          </w:tcPr>
          <w:p w14:paraId="2DC0AD09">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0673FE80">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一般故障应在接到报修通知后2小时内到达现场维修处理；如遇紧急情况或系统发生重大故障的，应在接到通知后30分钟内到达现场进行抢修，并迅速恢复使用；若因故不能即时修复而影响消防系统正常运作，应书面通知甲方。</w:t>
            </w:r>
          </w:p>
        </w:tc>
        <w:tc>
          <w:tcPr>
            <w:tcW w:w="957" w:type="dxa"/>
            <w:vMerge w:val="continue"/>
            <w:tcBorders>
              <w:left w:val="single" w:color="auto" w:sz="4" w:space="0"/>
              <w:bottom w:val="single" w:color="auto" w:sz="4" w:space="0"/>
              <w:right w:val="single" w:color="auto" w:sz="4" w:space="0"/>
            </w:tcBorders>
            <w:shd w:val="clear" w:color="auto" w:fill="auto"/>
            <w:vAlign w:val="center"/>
          </w:tcPr>
          <w:p w14:paraId="340488D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color w:val="000000"/>
                <w:kern w:val="0"/>
                <w:sz w:val="21"/>
                <w:szCs w:val="21"/>
                <w:lang w:val="en-US" w:eastAsia="zh-CN"/>
              </w:rPr>
            </w:pPr>
          </w:p>
        </w:tc>
        <w:tc>
          <w:tcPr>
            <w:tcW w:w="2924" w:type="dxa"/>
            <w:vMerge w:val="continue"/>
            <w:tcBorders>
              <w:left w:val="single" w:color="auto" w:sz="4" w:space="0"/>
              <w:bottom w:val="single" w:color="auto" w:sz="4" w:space="0"/>
              <w:right w:val="single" w:color="auto" w:sz="4" w:space="0"/>
            </w:tcBorders>
            <w:shd w:val="clear" w:color="auto" w:fill="auto"/>
            <w:noWrap/>
            <w:vAlign w:val="center"/>
          </w:tcPr>
          <w:p w14:paraId="3EF655E1">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p>
        </w:tc>
        <w:tc>
          <w:tcPr>
            <w:tcW w:w="1164" w:type="dxa"/>
            <w:vMerge w:val="continue"/>
            <w:tcBorders>
              <w:left w:val="single" w:color="auto" w:sz="4" w:space="0"/>
              <w:bottom w:val="single" w:color="auto" w:sz="4" w:space="0"/>
              <w:right w:val="single" w:color="auto" w:sz="4" w:space="0"/>
            </w:tcBorders>
            <w:vAlign w:val="center"/>
          </w:tcPr>
          <w:p w14:paraId="276D33C8">
            <w:pPr>
              <w:spacing w:line="260" w:lineRule="exact"/>
              <w:rPr>
                <w:rFonts w:hint="eastAsia" w:ascii="宋体" w:hAnsi="宋体" w:eastAsia="宋体" w:cs="宋体"/>
                <w:bCs/>
                <w:sz w:val="21"/>
                <w:szCs w:val="21"/>
              </w:rPr>
            </w:pPr>
          </w:p>
        </w:tc>
        <w:tc>
          <w:tcPr>
            <w:tcW w:w="589" w:type="dxa"/>
            <w:vMerge w:val="continue"/>
            <w:tcBorders>
              <w:left w:val="single" w:color="auto" w:sz="4" w:space="0"/>
              <w:bottom w:val="single" w:color="auto" w:sz="4" w:space="0"/>
              <w:right w:val="single" w:color="auto" w:sz="4" w:space="0"/>
            </w:tcBorders>
            <w:shd w:val="clear" w:color="auto" w:fill="auto"/>
            <w:vAlign w:val="center"/>
          </w:tcPr>
          <w:p w14:paraId="310DACB7">
            <w:pPr>
              <w:spacing w:line="260" w:lineRule="exact"/>
              <w:rPr>
                <w:rFonts w:hint="eastAsia" w:ascii="宋体" w:hAnsi="宋体" w:eastAsia="宋体" w:cs="宋体"/>
                <w:bCs/>
                <w:sz w:val="21"/>
                <w:szCs w:val="21"/>
              </w:rPr>
            </w:pPr>
          </w:p>
        </w:tc>
      </w:tr>
      <w:tr w14:paraId="07717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5" w:hRule="atLeast"/>
          <w:jc w:val="center"/>
        </w:trPr>
        <w:tc>
          <w:tcPr>
            <w:tcW w:w="665" w:type="dxa"/>
            <w:tcBorders>
              <w:left w:val="single" w:color="auto" w:sz="4" w:space="0"/>
              <w:bottom w:val="single" w:color="auto" w:sz="4" w:space="0"/>
              <w:right w:val="single" w:color="auto" w:sz="4" w:space="0"/>
            </w:tcBorders>
            <w:shd w:val="clear" w:color="auto" w:fill="auto"/>
            <w:vAlign w:val="center"/>
          </w:tcPr>
          <w:p w14:paraId="3CD2B670">
            <w:pPr>
              <w:keepNext w:val="0"/>
              <w:keepLines w:val="0"/>
              <w:widowControl/>
              <w:suppressLineNumbers w:val="0"/>
              <w:jc w:val="center"/>
              <w:textAlignment w:val="center"/>
              <w:rPr>
                <w:rFonts w:hint="eastAsia" w:ascii="宋体" w:hAnsi="宋体" w:eastAsia="宋体" w:cs="宋体"/>
                <w:bCs/>
                <w:sz w:val="21"/>
                <w:szCs w:val="21"/>
                <w:highlight w:val="yellow"/>
              </w:rPr>
            </w:pPr>
            <w:r>
              <w:rPr>
                <w:rFonts w:hint="eastAsia" w:ascii="宋体" w:hAnsi="宋体" w:eastAsia="宋体" w:cs="宋体"/>
                <w:color w:val="000000"/>
                <w:kern w:val="0"/>
                <w:sz w:val="21"/>
                <w:szCs w:val="21"/>
                <w:lang w:val="en-US" w:eastAsia="zh-CN"/>
              </w:rPr>
              <w:t>维保人员表现</w:t>
            </w:r>
          </w:p>
        </w:tc>
        <w:tc>
          <w:tcPr>
            <w:tcW w:w="3279" w:type="dxa"/>
            <w:tcBorders>
              <w:top w:val="single" w:color="auto" w:sz="4" w:space="0"/>
              <w:left w:val="single" w:color="auto" w:sz="4" w:space="0"/>
              <w:bottom w:val="single" w:color="auto" w:sz="4" w:space="0"/>
              <w:right w:val="single" w:color="auto" w:sz="4" w:space="0"/>
            </w:tcBorders>
            <w:shd w:val="clear" w:color="auto" w:fill="auto"/>
            <w:vAlign w:val="center"/>
          </w:tcPr>
          <w:p w14:paraId="24440914">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消防维保单位施工人员现场操作规范及要求。</w:t>
            </w:r>
          </w:p>
        </w:tc>
        <w:tc>
          <w:tcPr>
            <w:tcW w:w="957" w:type="dxa"/>
            <w:tcBorders>
              <w:left w:val="single" w:color="auto" w:sz="4" w:space="0"/>
              <w:bottom w:val="single" w:color="auto" w:sz="4" w:space="0"/>
              <w:right w:val="single" w:color="auto" w:sz="4" w:space="0"/>
            </w:tcBorders>
            <w:shd w:val="clear" w:color="auto" w:fill="auto"/>
            <w:vAlign w:val="center"/>
          </w:tcPr>
          <w:p w14:paraId="5929BA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w:t>
            </w:r>
          </w:p>
        </w:tc>
        <w:tc>
          <w:tcPr>
            <w:tcW w:w="29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99795D">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 xml:space="preserve">1.维保操作不规范存在安全隐患，每发现1次扣1分。                                                   2.未按照维保要求条款严格执行，每发现1次扣1分。  </w:t>
            </w:r>
            <w:r>
              <w:rPr>
                <w:rFonts w:hint="eastAsia" w:ascii="宋体" w:hAnsi="宋体" w:eastAsia="宋体" w:cs="宋体"/>
                <w:color w:val="000000"/>
                <w:kern w:val="0"/>
                <w:sz w:val="21"/>
                <w:szCs w:val="21"/>
                <w:lang w:val="en-US" w:eastAsia="zh-CN"/>
              </w:rPr>
              <w:br w:type="textWrapping"/>
            </w:r>
            <w:r>
              <w:rPr>
                <w:rFonts w:hint="eastAsia" w:ascii="宋体" w:hAnsi="宋体" w:eastAsia="宋体" w:cs="宋体"/>
                <w:color w:val="000000"/>
                <w:kern w:val="0"/>
                <w:sz w:val="21"/>
                <w:szCs w:val="21"/>
                <w:lang w:val="en-US" w:eastAsia="zh-CN"/>
              </w:rPr>
              <w:t xml:space="preserve">3.维保人员态度不好不配工作，每次扣1分。                  </w:t>
            </w:r>
            <w:r>
              <w:rPr>
                <w:rFonts w:hint="eastAsia" w:ascii="宋体" w:hAnsi="宋体" w:eastAsia="宋体" w:cs="宋体"/>
                <w:color w:val="000000"/>
                <w:kern w:val="0"/>
                <w:sz w:val="21"/>
                <w:szCs w:val="21"/>
                <w:lang w:val="en-US" w:eastAsia="zh-CN"/>
              </w:rPr>
              <w:br w:type="textWrapping"/>
            </w:r>
            <w:r>
              <w:rPr>
                <w:rFonts w:hint="eastAsia" w:ascii="宋体" w:hAnsi="宋体" w:eastAsia="宋体" w:cs="宋体"/>
                <w:color w:val="000000"/>
                <w:kern w:val="0"/>
                <w:sz w:val="21"/>
                <w:szCs w:val="21"/>
                <w:lang w:val="en-US" w:eastAsia="zh-CN"/>
              </w:rPr>
              <w:t xml:space="preserve">4.维修，改造项目未按工期完成每次扣2分。                </w:t>
            </w:r>
          </w:p>
        </w:tc>
        <w:tc>
          <w:tcPr>
            <w:tcW w:w="1164" w:type="dxa"/>
            <w:tcBorders>
              <w:top w:val="single" w:color="auto" w:sz="4" w:space="0"/>
              <w:left w:val="single" w:color="auto" w:sz="4" w:space="0"/>
              <w:bottom w:val="single" w:color="auto" w:sz="4" w:space="0"/>
              <w:right w:val="single" w:color="auto" w:sz="4" w:space="0"/>
            </w:tcBorders>
            <w:vAlign w:val="center"/>
          </w:tcPr>
          <w:p w14:paraId="5F05D189">
            <w:pPr>
              <w:spacing w:line="260" w:lineRule="exact"/>
              <w:rPr>
                <w:rFonts w:hint="eastAsia" w:ascii="宋体" w:hAnsi="宋体" w:eastAsia="宋体" w:cs="宋体"/>
                <w:bCs/>
                <w:sz w:val="21"/>
                <w:szCs w:val="21"/>
              </w:rPr>
            </w:pPr>
          </w:p>
        </w:tc>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14:paraId="380B4E11">
            <w:pPr>
              <w:spacing w:line="260" w:lineRule="exact"/>
              <w:rPr>
                <w:rFonts w:hint="eastAsia" w:ascii="宋体" w:hAnsi="宋体" w:eastAsia="宋体" w:cs="宋体"/>
                <w:bCs/>
                <w:sz w:val="21"/>
                <w:szCs w:val="21"/>
              </w:rPr>
            </w:pPr>
          </w:p>
        </w:tc>
      </w:tr>
      <w:tr w14:paraId="602C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39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F87EF0">
            <w:pPr>
              <w:spacing w:line="260" w:lineRule="exact"/>
              <w:jc w:val="center"/>
              <w:rPr>
                <w:rFonts w:hint="eastAsia" w:ascii="宋体" w:hAnsi="宋体" w:eastAsia="宋体" w:cs="宋体"/>
                <w:b/>
                <w:bCs/>
                <w:sz w:val="32"/>
                <w:szCs w:val="32"/>
              </w:rPr>
            </w:pPr>
            <w:r>
              <w:rPr>
                <w:rFonts w:hint="eastAsia" w:ascii="宋体" w:hAnsi="宋体" w:eastAsia="宋体" w:cs="宋体"/>
                <w:b/>
                <w:bCs/>
                <w:color w:val="000000"/>
                <w:kern w:val="0"/>
                <w:sz w:val="32"/>
                <w:szCs w:val="32"/>
                <w:lang w:val="en-US" w:eastAsia="zh-CN"/>
              </w:rPr>
              <w:t>合计</w:t>
            </w:r>
          </w:p>
        </w:tc>
        <w:tc>
          <w:tcPr>
            <w:tcW w:w="563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EFD7DB1">
            <w:pPr>
              <w:spacing w:line="260" w:lineRule="exact"/>
              <w:jc w:val="center"/>
              <w:rPr>
                <w:rFonts w:hint="eastAsia" w:ascii="宋体" w:hAnsi="宋体" w:eastAsia="宋体" w:cs="宋体"/>
                <w:bCs/>
                <w:sz w:val="32"/>
                <w:szCs w:val="32"/>
              </w:rPr>
            </w:pPr>
            <w:r>
              <w:rPr>
                <w:rFonts w:hint="eastAsia" w:ascii="宋体" w:hAnsi="宋体" w:eastAsia="宋体" w:cs="宋体"/>
                <w:b/>
                <w:bCs/>
                <w:color w:val="000000"/>
                <w:kern w:val="0"/>
                <w:sz w:val="32"/>
                <w:szCs w:val="32"/>
                <w:lang w:val="en-US" w:eastAsia="zh-CN"/>
              </w:rPr>
              <w:t>100</w:t>
            </w:r>
          </w:p>
        </w:tc>
      </w:tr>
    </w:tbl>
    <w:p w14:paraId="091555EB">
      <w:pPr>
        <w:widowControl w:val="0"/>
        <w:autoSpaceDE w:val="0"/>
        <w:autoSpaceDN w:val="0"/>
        <w:adjustRightInd w:val="0"/>
        <w:rPr>
          <w:rFonts w:hint="default" w:ascii="宋体" w:hAnsi="宋体" w:eastAsia="宋体" w:cs="宋体"/>
          <w:color w:val="000000"/>
          <w:sz w:val="28"/>
          <w:szCs w:val="28"/>
          <w:lang w:val="en-US" w:eastAsia="zh-CN" w:bidi="ar-SA"/>
        </w:rPr>
      </w:pPr>
    </w:p>
    <w:p w14:paraId="3740D53A"/>
    <w:sectPr>
      <w:pgSz w:w="11906" w:h="16838"/>
      <w:pgMar w:top="1020" w:right="1123" w:bottom="1043"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76DEE"/>
    <w:rsid w:val="4CB76D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2026-07-14T09:59:00Z</dcterms:created>
  <dc:creator>Lily</dc:creator>
  <cp:lastModifiedBy>Lily</cp:lastModifiedBy>
  <dcterms:modified xsi:type="dcterms:W3CDTF">2026-07-14T10:00:18Z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3F801613E0C0409AB343F73D49514EAA_11</vt:lpwstr>
  </property>
  <property fmtid="{D5CDD505-2E9C-101B-9397-08002B2CF9AE}" pid="4" name="KSOTemplateDocerSaveRecord">
    <vt:lpwstr>eyJoZGlkIjoiZjMxODI1ZDk1NTM3ZThjZDIyMDM0N2Q4Njc3ODMwMjMiLCJ1c2VySWQiOiIyNjI5MDY5MzEifQ==</vt:lpwstr>
  </property>
</Properties>
</file>