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E19289">
      <w:pPr>
        <w:jc w:val="center"/>
        <w:rPr>
          <w:b/>
          <w:sz w:val="36"/>
          <w:szCs w:val="36"/>
        </w:rPr>
      </w:pPr>
      <w:r>
        <w:rPr>
          <w:rFonts w:hint="eastAsia"/>
          <w:b/>
          <w:sz w:val="36"/>
          <w:szCs w:val="36"/>
        </w:rPr>
        <w:t>用户需求</w:t>
      </w:r>
    </w:p>
    <w:p w14:paraId="04819BE7">
      <w:pPr>
        <w:keepNext w:val="0"/>
        <w:keepLines w:val="0"/>
        <w:pageBreakBefore w:val="0"/>
        <w:widowControl w:val="0"/>
        <w:kinsoku/>
        <w:wordWrap/>
        <w:overflowPunct/>
        <w:topLinePunct w:val="0"/>
        <w:autoSpaceDE/>
        <w:autoSpaceDN/>
        <w:bidi w:val="0"/>
        <w:adjustRightInd/>
        <w:snapToGrid/>
        <w:spacing w:line="360" w:lineRule="auto"/>
        <w:textAlignment w:val="auto"/>
        <w:rPr>
          <w:b/>
          <w:sz w:val="24"/>
          <w:szCs w:val="24"/>
        </w:rPr>
      </w:pPr>
      <w:r>
        <w:rPr>
          <w:b/>
        </w:rPr>
        <w:t>一、</w:t>
      </w:r>
      <w:r>
        <w:rPr>
          <w:b/>
          <w:sz w:val="24"/>
          <w:szCs w:val="24"/>
        </w:rPr>
        <w:t>项目基本要求</w:t>
      </w:r>
    </w:p>
    <w:p w14:paraId="61E58A5F">
      <w:pPr>
        <w:pStyle w:val="12"/>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firstLine="420"/>
        <w:textAlignment w:val="auto"/>
        <w:rPr>
          <w:sz w:val="24"/>
          <w:szCs w:val="24"/>
        </w:rPr>
      </w:pPr>
      <w:r>
        <w:rPr>
          <w:rFonts w:hint="eastAsia"/>
          <w:sz w:val="24"/>
          <w:szCs w:val="24"/>
        </w:rPr>
        <w:t>项目名称：中山市小榄人民医院</w:t>
      </w:r>
      <w:r>
        <w:rPr>
          <w:rFonts w:hint="eastAsia"/>
          <w:sz w:val="24"/>
          <w:szCs w:val="24"/>
          <w:lang w:val="en-US" w:eastAsia="zh-CN"/>
        </w:rPr>
        <w:t>盐</w:t>
      </w:r>
      <w:r>
        <w:rPr>
          <w:rFonts w:hint="eastAsia"/>
          <w:sz w:val="24"/>
          <w:szCs w:val="24"/>
        </w:rPr>
        <w:t>类协议供货（一年）</w:t>
      </w:r>
    </w:p>
    <w:p w14:paraId="371AF69A">
      <w:pPr>
        <w:pStyle w:val="12"/>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firstLine="420"/>
        <w:textAlignment w:val="auto"/>
        <w:rPr>
          <w:sz w:val="24"/>
          <w:szCs w:val="24"/>
        </w:rPr>
      </w:pPr>
      <w:r>
        <w:rPr>
          <w:rFonts w:hint="eastAsia"/>
          <w:sz w:val="24"/>
          <w:szCs w:val="24"/>
        </w:rPr>
        <w:t>项目预算：¥</w:t>
      </w:r>
      <w:r>
        <w:rPr>
          <w:rFonts w:hint="eastAsia"/>
          <w:sz w:val="24"/>
          <w:szCs w:val="24"/>
          <w:lang w:val="en-US" w:eastAsia="zh-CN"/>
        </w:rPr>
        <w:t>123410</w:t>
      </w:r>
      <w:r>
        <w:rPr>
          <w:rFonts w:hint="eastAsia"/>
          <w:sz w:val="24"/>
          <w:szCs w:val="24"/>
        </w:rPr>
        <w:t>.00元</w:t>
      </w:r>
    </w:p>
    <w:p w14:paraId="1672BF29">
      <w:pPr>
        <w:pStyle w:val="12"/>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firstLine="420"/>
        <w:textAlignment w:val="auto"/>
        <w:rPr>
          <w:sz w:val="24"/>
          <w:szCs w:val="24"/>
        </w:rPr>
      </w:pPr>
      <w:r>
        <w:rPr>
          <w:rFonts w:hint="eastAsia"/>
          <w:sz w:val="24"/>
          <w:szCs w:val="24"/>
        </w:rPr>
        <w:t>未经采购人同意，成交供应商不得以任何方式转包或分包本项目。</w:t>
      </w:r>
    </w:p>
    <w:p w14:paraId="2EB135C7">
      <w:pPr>
        <w:pStyle w:val="12"/>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firstLine="420"/>
        <w:textAlignment w:val="auto"/>
        <w:rPr>
          <w:sz w:val="24"/>
          <w:szCs w:val="24"/>
        </w:rPr>
      </w:pPr>
      <w:r>
        <w:rPr>
          <w:rFonts w:hint="eastAsia"/>
          <w:sz w:val="24"/>
          <w:szCs w:val="24"/>
        </w:rPr>
        <w:t>如果在供货、安装、调试、培训等工作中出现的任何遗漏，均由成交供应商负责，采购人将不再支付任何费用。</w:t>
      </w:r>
    </w:p>
    <w:p w14:paraId="4C2B7CE3">
      <w:pPr>
        <w:pStyle w:val="12"/>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firstLine="420"/>
        <w:textAlignment w:val="auto"/>
        <w:rPr>
          <w:rFonts w:ascii="宋体" w:hAnsi="宋体" w:cs="宋体"/>
          <w:sz w:val="24"/>
          <w:szCs w:val="24"/>
        </w:rPr>
      </w:pPr>
      <w:r>
        <w:rPr>
          <w:rFonts w:hint="eastAsia"/>
          <w:sz w:val="24"/>
          <w:szCs w:val="24"/>
        </w:rPr>
        <w:t>本项目自合同签订之日起，协议供货时间为</w:t>
      </w:r>
      <w:r>
        <w:rPr>
          <w:rFonts w:hint="eastAsia"/>
          <w:b/>
          <w:bCs/>
          <w:sz w:val="24"/>
          <w:szCs w:val="24"/>
          <w:u w:val="single"/>
        </w:rPr>
        <w:t>1</w:t>
      </w:r>
      <w:r>
        <w:rPr>
          <w:rFonts w:hint="eastAsia"/>
          <w:sz w:val="24"/>
          <w:szCs w:val="24"/>
        </w:rPr>
        <w:t>年。本次采购为协议供货资格的取得，并不代表货物已售出，采购人无法预计也无法保证向成交供应商的品种及数量。采购人按照本单位使用情况下单所需物品数量，成交供应商不得对采购人所采购物品数量作要求或质疑。项目以协议供货期限到期或采购累计金额达到项目预算金额为结束时间点（按先达到的为准）。</w:t>
      </w:r>
    </w:p>
    <w:p w14:paraId="41571E25">
      <w:pPr>
        <w:pStyle w:val="12"/>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firstLine="420"/>
        <w:textAlignment w:val="auto"/>
        <w:rPr>
          <w:sz w:val="24"/>
          <w:szCs w:val="24"/>
        </w:rPr>
      </w:pPr>
      <w:r>
        <w:rPr>
          <w:rFonts w:hint="eastAsia" w:asciiTheme="minorEastAsia" w:hAnsiTheme="minorEastAsia"/>
          <w:sz w:val="24"/>
          <w:szCs w:val="24"/>
        </w:rPr>
        <w:t>★</w:t>
      </w:r>
      <w:r>
        <w:rPr>
          <w:rFonts w:hint="eastAsia" w:ascii="宋体" w:hAnsi="宋体" w:cs="宋体"/>
          <w:sz w:val="24"/>
          <w:szCs w:val="24"/>
        </w:rPr>
        <w:t>在供货期内，如个别产品遇到停产情况</w:t>
      </w:r>
      <w:r>
        <w:rPr>
          <w:sz w:val="24"/>
          <w:szCs w:val="24"/>
        </w:rPr>
        <w:t>或难以寻找货源</w:t>
      </w:r>
      <w:r>
        <w:rPr>
          <w:rFonts w:hint="eastAsia" w:ascii="宋体" w:hAnsi="宋体" w:cs="宋体"/>
          <w:sz w:val="24"/>
          <w:szCs w:val="24"/>
        </w:rPr>
        <w:t>的，</w:t>
      </w:r>
      <w:r>
        <w:rPr>
          <w:sz w:val="24"/>
          <w:szCs w:val="24"/>
        </w:rPr>
        <w:t>成交供应商应优先寻找市面上同品牌同型号的货物供应，若在市面上已无货源供应，</w:t>
      </w:r>
      <w:r>
        <w:rPr>
          <w:rFonts w:hint="eastAsia" w:ascii="宋体" w:hAnsi="宋体" w:cs="宋体"/>
          <w:sz w:val="24"/>
          <w:szCs w:val="24"/>
        </w:rPr>
        <w:t>成交供应商需提前15天书面告知采购人并经采购人同意后，提供等同于或优于原参数的产品供采购人使用，不得断供，否则视为成交供应商违约。（如遇紧急情况，供货时间由成交供应商与采购人双方协商确定）</w:t>
      </w:r>
    </w:p>
    <w:p w14:paraId="0BF7CAD6">
      <w:pPr>
        <w:pStyle w:val="12"/>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firstLine="420"/>
        <w:textAlignment w:val="auto"/>
        <w:rPr>
          <w:rFonts w:ascii="宋体" w:hAnsi="宋体" w:cs="宋体"/>
          <w:sz w:val="24"/>
          <w:szCs w:val="24"/>
        </w:rPr>
      </w:pPr>
      <w:r>
        <w:rPr>
          <w:rFonts w:hint="eastAsia" w:asciiTheme="minorEastAsia" w:hAnsiTheme="minorEastAsia"/>
          <w:sz w:val="24"/>
          <w:szCs w:val="24"/>
        </w:rPr>
        <w:t>★</w:t>
      </w:r>
      <w:r>
        <w:rPr>
          <w:rFonts w:hint="eastAsia" w:ascii="宋体" w:hAnsi="宋体" w:cs="宋体"/>
          <w:sz w:val="24"/>
          <w:szCs w:val="24"/>
        </w:rPr>
        <w:t>具有独立承担民事责任的能力：在中华人民共和国境内注册的法人或其他组织或自然人， 投标（响应）时提交有效的营业执照（或事业法人登记证或身份证等相关证明） 副本复印件。分公司投标的，须提供总公司和分公司营业执照副本复印件，总公司出具给分公司的授权书。</w:t>
      </w:r>
    </w:p>
    <w:p w14:paraId="2E237BA8">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b/>
          <w:sz w:val="24"/>
          <w:szCs w:val="24"/>
        </w:rPr>
      </w:pPr>
      <w:r>
        <w:rPr>
          <w:rFonts w:hint="eastAsia" w:asciiTheme="minorHAnsi" w:hAnsiTheme="minorHAnsi" w:eastAsiaTheme="minorEastAsia" w:cstheme="minorBidi"/>
          <w:b/>
          <w:kern w:val="2"/>
          <w:sz w:val="24"/>
          <w:szCs w:val="24"/>
          <w:lang w:val="en-US" w:eastAsia="zh-CN" w:bidi="ar-SA"/>
        </w:rPr>
        <w:t>二、</w:t>
      </w:r>
      <w:r>
        <w:rPr>
          <w:rFonts w:hint="eastAsia"/>
          <w:b/>
          <w:sz w:val="24"/>
          <w:szCs w:val="24"/>
        </w:rPr>
        <w:t>项目采购清单（含税）</w:t>
      </w:r>
    </w:p>
    <w:tbl>
      <w:tblPr>
        <w:tblStyle w:val="8"/>
        <w:tblW w:w="91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9"/>
        <w:gridCol w:w="1375"/>
        <w:gridCol w:w="3626"/>
        <w:gridCol w:w="1588"/>
        <w:gridCol w:w="1909"/>
      </w:tblGrid>
      <w:tr w14:paraId="55B9E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699" w:type="dxa"/>
            <w:shd w:val="clear" w:color="auto" w:fill="auto"/>
            <w:noWrap/>
            <w:vAlign w:val="center"/>
          </w:tcPr>
          <w:p w14:paraId="606C5DD7">
            <w:pPr>
              <w:widowControl/>
              <w:jc w:val="center"/>
              <w:rPr>
                <w:rFonts w:hint="eastAsia" w:asciiTheme="minorEastAsia" w:hAnsiTheme="minorEastAsia" w:eastAsiaTheme="minorEastAsia" w:cstheme="minorEastAsia"/>
                <w:b/>
                <w:bCs/>
                <w:color w:val="000000"/>
                <w:kern w:val="0"/>
                <w:sz w:val="21"/>
                <w:szCs w:val="21"/>
              </w:rPr>
            </w:pPr>
            <w:r>
              <w:rPr>
                <w:rFonts w:hint="eastAsia" w:asciiTheme="minorEastAsia" w:hAnsiTheme="minorEastAsia" w:eastAsiaTheme="minorEastAsia" w:cstheme="minorEastAsia"/>
                <w:b/>
                <w:bCs/>
                <w:color w:val="000000"/>
                <w:kern w:val="0"/>
                <w:sz w:val="21"/>
                <w:szCs w:val="21"/>
              </w:rPr>
              <w:t>序号</w:t>
            </w:r>
          </w:p>
        </w:tc>
        <w:tc>
          <w:tcPr>
            <w:tcW w:w="1375" w:type="dxa"/>
            <w:shd w:val="clear" w:color="auto" w:fill="auto"/>
            <w:noWrap/>
            <w:vAlign w:val="center"/>
          </w:tcPr>
          <w:p w14:paraId="74638C4B">
            <w:pPr>
              <w:widowControl/>
              <w:jc w:val="center"/>
              <w:rPr>
                <w:rFonts w:hint="eastAsia" w:asciiTheme="minorEastAsia" w:hAnsiTheme="minorEastAsia" w:eastAsiaTheme="minorEastAsia" w:cstheme="minorEastAsia"/>
                <w:b/>
                <w:bCs/>
                <w:color w:val="000000"/>
                <w:kern w:val="0"/>
                <w:sz w:val="21"/>
                <w:szCs w:val="21"/>
              </w:rPr>
            </w:pPr>
            <w:r>
              <w:rPr>
                <w:rFonts w:hint="eastAsia" w:asciiTheme="minorEastAsia" w:hAnsiTheme="minorEastAsia" w:eastAsiaTheme="minorEastAsia" w:cstheme="minorEastAsia"/>
                <w:b/>
                <w:bCs/>
                <w:color w:val="000000"/>
                <w:kern w:val="0"/>
                <w:sz w:val="21"/>
                <w:szCs w:val="21"/>
              </w:rPr>
              <w:t>采购物品</w:t>
            </w:r>
          </w:p>
        </w:tc>
        <w:tc>
          <w:tcPr>
            <w:tcW w:w="3626" w:type="dxa"/>
            <w:shd w:val="clear" w:color="000000" w:fill="FFFFFF"/>
            <w:vAlign w:val="center"/>
          </w:tcPr>
          <w:p w14:paraId="480BC6E7">
            <w:pPr>
              <w:widowControl/>
              <w:jc w:val="center"/>
              <w:rPr>
                <w:rFonts w:hint="eastAsia" w:asciiTheme="minorEastAsia" w:hAnsiTheme="minorEastAsia" w:eastAsiaTheme="minorEastAsia" w:cstheme="minorEastAsia"/>
                <w:b/>
                <w:bCs/>
                <w:color w:val="000000"/>
                <w:kern w:val="0"/>
                <w:sz w:val="21"/>
                <w:szCs w:val="21"/>
                <w:lang w:val="en-US" w:eastAsia="zh-CN"/>
              </w:rPr>
            </w:pPr>
            <w:r>
              <w:rPr>
                <w:rFonts w:hint="eastAsia" w:asciiTheme="minorEastAsia" w:hAnsiTheme="minorEastAsia" w:eastAsiaTheme="minorEastAsia" w:cstheme="minorEastAsia"/>
                <w:b/>
                <w:bCs/>
                <w:color w:val="000000"/>
                <w:kern w:val="0"/>
                <w:sz w:val="21"/>
                <w:szCs w:val="21"/>
              </w:rPr>
              <w:t>规格</w:t>
            </w:r>
            <w:r>
              <w:rPr>
                <w:rFonts w:hint="eastAsia" w:asciiTheme="minorEastAsia" w:hAnsiTheme="minorEastAsia" w:eastAsiaTheme="minorEastAsia" w:cstheme="minorEastAsia"/>
                <w:b/>
                <w:bCs/>
                <w:color w:val="000000"/>
                <w:kern w:val="0"/>
                <w:sz w:val="21"/>
                <w:szCs w:val="21"/>
                <w:lang w:val="en-US" w:eastAsia="zh-CN"/>
              </w:rPr>
              <w:t>参数</w:t>
            </w:r>
          </w:p>
        </w:tc>
        <w:tc>
          <w:tcPr>
            <w:tcW w:w="1588" w:type="dxa"/>
            <w:shd w:val="clear" w:color="000000" w:fill="FFFFFF"/>
            <w:vAlign w:val="center"/>
          </w:tcPr>
          <w:p w14:paraId="66F2A59A">
            <w:pPr>
              <w:widowControl/>
              <w:jc w:val="center"/>
              <w:rPr>
                <w:rFonts w:hint="eastAsia" w:asciiTheme="minorEastAsia" w:hAnsiTheme="minorEastAsia" w:eastAsiaTheme="minorEastAsia" w:cstheme="minorEastAsia"/>
                <w:b/>
                <w:bCs/>
                <w:color w:val="000000"/>
                <w:kern w:val="0"/>
                <w:sz w:val="21"/>
                <w:szCs w:val="21"/>
                <w:lang w:val="en-US" w:eastAsia="zh-CN"/>
              </w:rPr>
            </w:pPr>
            <w:r>
              <w:rPr>
                <w:rFonts w:hint="eastAsia" w:asciiTheme="minorEastAsia" w:hAnsiTheme="minorEastAsia" w:eastAsiaTheme="minorEastAsia" w:cstheme="minorEastAsia"/>
                <w:b/>
                <w:bCs/>
                <w:color w:val="000000"/>
                <w:kern w:val="0"/>
                <w:sz w:val="21"/>
                <w:szCs w:val="21"/>
                <w:lang w:val="en-US" w:eastAsia="zh-CN"/>
              </w:rPr>
              <w:t>全年预估用量</w:t>
            </w:r>
          </w:p>
        </w:tc>
        <w:tc>
          <w:tcPr>
            <w:tcW w:w="1909" w:type="dxa"/>
            <w:shd w:val="clear" w:color="000000" w:fill="FFFFFF"/>
            <w:vAlign w:val="center"/>
          </w:tcPr>
          <w:p w14:paraId="0918DDDA">
            <w:pPr>
              <w:widowControl/>
              <w:jc w:val="center"/>
              <w:rPr>
                <w:rFonts w:hint="eastAsia" w:asciiTheme="minorEastAsia" w:hAnsiTheme="minorEastAsia" w:eastAsiaTheme="minorEastAsia" w:cstheme="minorEastAsia"/>
                <w:b/>
                <w:bCs/>
                <w:color w:val="000000"/>
                <w:kern w:val="0"/>
                <w:sz w:val="21"/>
                <w:szCs w:val="21"/>
                <w:lang w:val="en-US" w:eastAsia="zh-CN"/>
              </w:rPr>
            </w:pPr>
            <w:r>
              <w:rPr>
                <w:rFonts w:hint="eastAsia" w:asciiTheme="minorEastAsia" w:hAnsiTheme="minorEastAsia" w:cstheme="minorEastAsia"/>
                <w:b/>
                <w:bCs/>
                <w:color w:val="000000"/>
                <w:kern w:val="0"/>
                <w:sz w:val="21"/>
                <w:szCs w:val="21"/>
                <w:lang w:val="en-US" w:eastAsia="zh-CN"/>
              </w:rPr>
              <w:t>上限</w:t>
            </w:r>
            <w:r>
              <w:rPr>
                <w:rFonts w:hint="eastAsia" w:asciiTheme="minorEastAsia" w:hAnsiTheme="minorEastAsia" w:eastAsiaTheme="minorEastAsia" w:cstheme="minorEastAsia"/>
                <w:b/>
                <w:bCs/>
                <w:color w:val="000000"/>
                <w:kern w:val="0"/>
                <w:sz w:val="21"/>
                <w:szCs w:val="21"/>
                <w:lang w:val="en-US" w:eastAsia="zh-CN"/>
              </w:rPr>
              <w:t>单价（元/KG）</w:t>
            </w:r>
          </w:p>
        </w:tc>
      </w:tr>
      <w:tr w14:paraId="34926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699" w:type="dxa"/>
            <w:shd w:val="clear" w:color="auto" w:fill="auto"/>
            <w:noWrap/>
            <w:vAlign w:val="center"/>
          </w:tcPr>
          <w:p w14:paraId="1F6FC2D6">
            <w:pPr>
              <w:widowControl/>
              <w:jc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1</w:t>
            </w:r>
          </w:p>
        </w:tc>
        <w:tc>
          <w:tcPr>
            <w:tcW w:w="1375" w:type="dxa"/>
            <w:shd w:val="clear" w:color="auto" w:fill="auto"/>
            <w:vAlign w:val="center"/>
          </w:tcPr>
          <w:p w14:paraId="56D19BC6">
            <w:pPr>
              <w:widowControl/>
              <w:jc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工业细盐</w:t>
            </w:r>
          </w:p>
        </w:tc>
        <w:tc>
          <w:tcPr>
            <w:tcW w:w="3626" w:type="dxa"/>
            <w:shd w:val="clear" w:color="auto" w:fill="auto"/>
            <w:vAlign w:val="center"/>
          </w:tcPr>
          <w:p w14:paraId="539FBD4E">
            <w:pPr>
              <w:pStyle w:val="3"/>
              <w:ind w:left="0" w:leftChars="0"/>
              <w:jc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50kg/袋</w:t>
            </w:r>
          </w:p>
          <w:p w14:paraId="3D4C1FFE">
            <w:pPr>
              <w:pStyle w:val="3"/>
              <w:ind w:left="0" w:leftChars="0"/>
              <w:jc w:val="center"/>
              <w:rPr>
                <w:rFonts w:hint="eastAsia" w:asciiTheme="minorEastAsia" w:hAnsiTheme="minorEastAsia" w:eastAsiaTheme="minorEastAsia" w:cstheme="minorEastAsia"/>
                <w:color w:val="000000"/>
                <w:kern w:val="0"/>
                <w:sz w:val="21"/>
                <w:szCs w:val="21"/>
              </w:rPr>
            </w:pPr>
            <w:r>
              <w:rPr>
                <w:rFonts w:hint="eastAsia" w:ascii="宋体" w:hAnsi="宋体" w:eastAsia="宋体" w:cs="宋体"/>
                <w:color w:val="000000"/>
                <w:kern w:val="0"/>
                <w:sz w:val="21"/>
                <w:szCs w:val="21"/>
              </w:rPr>
              <w:t>★</w:t>
            </w:r>
            <w:r>
              <w:rPr>
                <w:rFonts w:hint="eastAsia" w:asciiTheme="minorEastAsia" w:hAnsiTheme="minorEastAsia" w:eastAsiaTheme="minorEastAsia" w:cstheme="minorEastAsia"/>
                <w:color w:val="000000"/>
                <w:kern w:val="0"/>
                <w:sz w:val="21"/>
                <w:szCs w:val="21"/>
              </w:rPr>
              <w:t>氯化钠，≥98.50g/100g;</w:t>
            </w:r>
          </w:p>
          <w:p w14:paraId="20A38F59">
            <w:pPr>
              <w:pStyle w:val="3"/>
              <w:ind w:left="0" w:leftChars="0"/>
              <w:jc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水分，≤0.50g/100g；</w:t>
            </w:r>
          </w:p>
          <w:p w14:paraId="3E8B0326">
            <w:pPr>
              <w:pStyle w:val="3"/>
              <w:ind w:left="0" w:leftChars="0"/>
              <w:jc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硫酸根，≤0.50g/100g；</w:t>
            </w:r>
          </w:p>
          <w:p w14:paraId="38B82131">
            <w:pPr>
              <w:pStyle w:val="3"/>
              <w:ind w:left="0" w:leftChars="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kern w:val="0"/>
                <w:sz w:val="21"/>
                <w:szCs w:val="21"/>
              </w:rPr>
              <w:t>钙镁离子总量，≤0.40g/100g</w:t>
            </w:r>
          </w:p>
        </w:tc>
        <w:tc>
          <w:tcPr>
            <w:tcW w:w="1588" w:type="dxa"/>
            <w:shd w:val="clear" w:color="auto" w:fill="auto"/>
            <w:vAlign w:val="center"/>
          </w:tcPr>
          <w:p w14:paraId="5DA3AEB4">
            <w:pPr>
              <w:widowControl/>
              <w:jc w:val="center"/>
              <w:rPr>
                <w:rFonts w:hint="default" w:asciiTheme="minorEastAsia" w:hAnsiTheme="minorEastAsia" w:eastAsiaTheme="minorEastAsia" w:cstheme="minorEastAsia"/>
                <w:color w:val="000000"/>
                <w:kern w:val="0"/>
                <w:sz w:val="21"/>
                <w:szCs w:val="21"/>
                <w:lang w:val="en-US" w:eastAsia="zh-CN"/>
              </w:rPr>
            </w:pPr>
            <w:r>
              <w:rPr>
                <w:rFonts w:hint="eastAsia" w:asciiTheme="minorEastAsia" w:hAnsiTheme="minorEastAsia" w:cstheme="minorEastAsia"/>
                <w:color w:val="000000"/>
                <w:kern w:val="0"/>
                <w:sz w:val="21"/>
                <w:szCs w:val="21"/>
                <w:lang w:val="en-US" w:eastAsia="zh-CN"/>
              </w:rPr>
              <w:t>65000KG</w:t>
            </w:r>
          </w:p>
        </w:tc>
        <w:tc>
          <w:tcPr>
            <w:tcW w:w="1909" w:type="dxa"/>
            <w:shd w:val="clear" w:color="auto" w:fill="auto"/>
            <w:vAlign w:val="center"/>
          </w:tcPr>
          <w:p w14:paraId="6068733B">
            <w:pPr>
              <w:widowControl/>
              <w:jc w:val="center"/>
              <w:rPr>
                <w:rFonts w:hint="default"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lang w:val="en-US" w:eastAsia="zh-CN" w:bidi="ar-SA"/>
              </w:rPr>
              <w:t>0.80</w:t>
            </w:r>
          </w:p>
        </w:tc>
      </w:tr>
      <w:tr w14:paraId="779AD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699" w:type="dxa"/>
            <w:shd w:val="clear" w:color="auto" w:fill="auto"/>
            <w:noWrap/>
            <w:vAlign w:val="center"/>
          </w:tcPr>
          <w:p w14:paraId="54A6C290">
            <w:pPr>
              <w:widowControl/>
              <w:jc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w:t>
            </w:r>
          </w:p>
        </w:tc>
        <w:tc>
          <w:tcPr>
            <w:tcW w:w="1375" w:type="dxa"/>
            <w:shd w:val="clear" w:color="auto" w:fill="auto"/>
            <w:vAlign w:val="center"/>
          </w:tcPr>
          <w:p w14:paraId="14AAB911">
            <w:pPr>
              <w:widowControl/>
              <w:jc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未加碘精制食用盐</w:t>
            </w:r>
          </w:p>
        </w:tc>
        <w:tc>
          <w:tcPr>
            <w:tcW w:w="3626" w:type="dxa"/>
            <w:shd w:val="clear" w:color="auto" w:fill="auto"/>
            <w:vAlign w:val="center"/>
          </w:tcPr>
          <w:p w14:paraId="32C5CE4B">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50kg/袋</w:t>
            </w:r>
          </w:p>
          <w:p w14:paraId="5C42D771">
            <w:pPr>
              <w:jc w:val="center"/>
              <w:rPr>
                <w:rFonts w:hint="eastAsia" w:asciiTheme="minorEastAsia" w:hAnsiTheme="minorEastAsia" w:eastAsiaTheme="minorEastAsia" w:cstheme="minorEastAsia"/>
                <w:sz w:val="21"/>
                <w:szCs w:val="21"/>
                <w:lang w:val="en-US" w:eastAsia="zh-CN"/>
              </w:rPr>
            </w:pPr>
            <w:r>
              <w:rPr>
                <w:rFonts w:hint="eastAsia" w:ascii="宋体" w:hAnsi="宋体" w:eastAsia="宋体" w:cs="宋体"/>
                <w:color w:val="000000"/>
                <w:kern w:val="0"/>
                <w:sz w:val="21"/>
                <w:szCs w:val="21"/>
              </w:rPr>
              <w:t>★</w:t>
            </w:r>
            <w:r>
              <w:rPr>
                <w:rFonts w:hint="eastAsia" w:asciiTheme="minorEastAsia" w:hAnsiTheme="minorEastAsia" w:eastAsiaTheme="minorEastAsia" w:cstheme="minorEastAsia"/>
                <w:sz w:val="21"/>
                <w:szCs w:val="21"/>
                <w:lang w:val="en-US" w:eastAsia="zh-CN"/>
              </w:rPr>
              <w:t>氯化钠，≥98.50g/100g;</w:t>
            </w:r>
          </w:p>
          <w:p w14:paraId="6F4C297A">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硫酸根，≤0.60g/100g；</w:t>
            </w:r>
          </w:p>
          <w:p w14:paraId="38E56D02">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水分，≤0.50g/100g；</w:t>
            </w:r>
          </w:p>
          <w:p w14:paraId="1818017A">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水不溶物，≤0.07g/100g；</w:t>
            </w:r>
          </w:p>
          <w:p w14:paraId="41723EC0">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白度，≥75度；</w:t>
            </w:r>
          </w:p>
          <w:p w14:paraId="632BCE6E">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粒度（0.15-0.85mm筛间物）≥75g/100g;</w:t>
            </w:r>
          </w:p>
          <w:p w14:paraId="6580FAE9">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碘强化剂（以I计），＜5mg/kg;</w:t>
            </w:r>
          </w:p>
          <w:p w14:paraId="500515C7">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亚铁氰化钾（以【Fe(CN)6】4-计）≤10mg/kg；</w:t>
            </w:r>
          </w:p>
          <w:p w14:paraId="6966F385">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总砷（以As计），≤0.5mg/kg；</w:t>
            </w:r>
          </w:p>
          <w:p w14:paraId="7A946FA4">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铅（以Pb计），≤2.0mg/kg；</w:t>
            </w:r>
          </w:p>
          <w:p w14:paraId="59DC21ED">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镉（以Cd计），≤0.5mg/kg；</w:t>
            </w:r>
          </w:p>
          <w:p w14:paraId="73C6D1F2">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总汞（以Hg计），≤0.1mg/kg；</w:t>
            </w:r>
          </w:p>
          <w:p w14:paraId="62F9B074">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钡（以Ba计），≤15mg/kg。</w:t>
            </w:r>
          </w:p>
        </w:tc>
        <w:tc>
          <w:tcPr>
            <w:tcW w:w="1588" w:type="dxa"/>
            <w:shd w:val="clear" w:color="auto" w:fill="auto"/>
            <w:vAlign w:val="center"/>
          </w:tcPr>
          <w:p w14:paraId="77B13011">
            <w:pPr>
              <w:widowControl/>
              <w:jc w:val="center"/>
              <w:rPr>
                <w:rFonts w:hint="default" w:asciiTheme="minorEastAsia" w:hAnsiTheme="minorEastAsia" w:eastAsiaTheme="minorEastAsia" w:cstheme="minorEastAsia"/>
                <w:color w:val="000000"/>
                <w:kern w:val="0"/>
                <w:sz w:val="21"/>
                <w:szCs w:val="21"/>
                <w:lang w:val="en-US" w:eastAsia="zh-CN"/>
              </w:rPr>
            </w:pPr>
            <w:r>
              <w:rPr>
                <w:rFonts w:hint="eastAsia" w:asciiTheme="minorEastAsia" w:hAnsiTheme="minorEastAsia" w:cstheme="minorEastAsia"/>
                <w:color w:val="000000"/>
                <w:kern w:val="0"/>
                <w:sz w:val="21"/>
                <w:szCs w:val="21"/>
                <w:lang w:val="en-US" w:eastAsia="zh-CN"/>
              </w:rPr>
              <w:t>6000KG</w:t>
            </w:r>
          </w:p>
        </w:tc>
        <w:tc>
          <w:tcPr>
            <w:tcW w:w="1909" w:type="dxa"/>
            <w:shd w:val="clear" w:color="auto" w:fill="auto"/>
            <w:vAlign w:val="center"/>
          </w:tcPr>
          <w:p w14:paraId="0AD67DB1">
            <w:pPr>
              <w:widowControl/>
              <w:jc w:val="center"/>
              <w:rPr>
                <w:rFonts w:hint="default"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lang w:val="en-US" w:eastAsia="zh-CN" w:bidi="ar-SA"/>
              </w:rPr>
              <w:t>0.80</w:t>
            </w:r>
          </w:p>
        </w:tc>
      </w:tr>
      <w:tr w14:paraId="069C6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699" w:type="dxa"/>
            <w:shd w:val="clear" w:color="auto" w:fill="auto"/>
            <w:noWrap/>
            <w:vAlign w:val="center"/>
          </w:tcPr>
          <w:p w14:paraId="6BE54CFC">
            <w:pPr>
              <w:widowControl/>
              <w:jc w:val="center"/>
              <w:rPr>
                <w:rFonts w:hint="eastAsia" w:asciiTheme="minorEastAsia" w:hAnsiTheme="minorEastAsia" w:eastAsiaTheme="minorEastAsia" w:cstheme="minorEastAsia"/>
                <w:color w:val="000000"/>
                <w:kern w:val="0"/>
                <w:sz w:val="21"/>
                <w:szCs w:val="21"/>
                <w:lang w:eastAsia="zh-CN"/>
              </w:rPr>
            </w:pPr>
            <w:r>
              <w:rPr>
                <w:rFonts w:hint="eastAsia" w:asciiTheme="minorEastAsia" w:hAnsiTheme="minorEastAsia" w:eastAsiaTheme="minorEastAsia" w:cstheme="minorEastAsia"/>
                <w:color w:val="000000"/>
                <w:kern w:val="0"/>
                <w:sz w:val="21"/>
                <w:szCs w:val="21"/>
                <w:lang w:val="en-US" w:eastAsia="zh-CN"/>
              </w:rPr>
              <w:t>3</w:t>
            </w:r>
          </w:p>
        </w:tc>
        <w:tc>
          <w:tcPr>
            <w:tcW w:w="1375" w:type="dxa"/>
            <w:shd w:val="clear" w:color="auto" w:fill="auto"/>
            <w:vAlign w:val="center"/>
          </w:tcPr>
          <w:p w14:paraId="1CF93A6D">
            <w:pPr>
              <w:widowControl/>
              <w:jc w:val="center"/>
              <w:rPr>
                <w:rFonts w:hint="eastAsia" w:asciiTheme="minorEastAsia" w:hAnsiTheme="minorEastAsia" w:eastAsiaTheme="minorEastAsia" w:cstheme="minorEastAsia"/>
                <w:color w:val="000000"/>
                <w:kern w:val="0"/>
                <w:sz w:val="21"/>
                <w:szCs w:val="21"/>
                <w:lang w:eastAsia="zh-CN"/>
              </w:rPr>
            </w:pPr>
            <w:r>
              <w:rPr>
                <w:rFonts w:hint="eastAsia" w:asciiTheme="minorEastAsia" w:hAnsiTheme="minorEastAsia" w:eastAsiaTheme="minorEastAsia" w:cstheme="minorEastAsia"/>
                <w:color w:val="000000"/>
                <w:kern w:val="0"/>
                <w:sz w:val="21"/>
                <w:szCs w:val="21"/>
              </w:rPr>
              <w:t>离子交换树脂再生剂（软水盐）</w:t>
            </w:r>
          </w:p>
        </w:tc>
        <w:tc>
          <w:tcPr>
            <w:tcW w:w="3626" w:type="dxa"/>
            <w:shd w:val="clear" w:color="auto" w:fill="auto"/>
            <w:vAlign w:val="center"/>
          </w:tcPr>
          <w:p w14:paraId="5A5568F9">
            <w:pPr>
              <w:pStyle w:val="3"/>
              <w:ind w:left="0" w:leftChars="0"/>
              <w:jc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10kg/袋</w:t>
            </w:r>
          </w:p>
          <w:p w14:paraId="086570B3">
            <w:pPr>
              <w:pStyle w:val="3"/>
              <w:ind w:left="0" w:leftChars="0"/>
              <w:jc w:val="center"/>
              <w:rPr>
                <w:rFonts w:hint="eastAsia" w:asciiTheme="minorEastAsia" w:hAnsiTheme="minorEastAsia" w:eastAsiaTheme="minorEastAsia" w:cstheme="minorEastAsia"/>
                <w:color w:val="000000"/>
                <w:kern w:val="0"/>
                <w:sz w:val="21"/>
                <w:szCs w:val="21"/>
              </w:rPr>
            </w:pPr>
            <w:r>
              <w:rPr>
                <w:rFonts w:hint="eastAsia" w:ascii="宋体" w:hAnsi="宋体" w:eastAsia="宋体" w:cs="宋体"/>
                <w:color w:val="000000"/>
                <w:kern w:val="0"/>
                <w:sz w:val="21"/>
                <w:szCs w:val="21"/>
              </w:rPr>
              <w:t>★</w:t>
            </w:r>
            <w:r>
              <w:rPr>
                <w:rFonts w:hint="eastAsia" w:asciiTheme="minorEastAsia" w:hAnsiTheme="minorEastAsia" w:eastAsiaTheme="minorEastAsia" w:cstheme="minorEastAsia"/>
                <w:color w:val="000000"/>
                <w:kern w:val="0"/>
                <w:sz w:val="21"/>
                <w:szCs w:val="21"/>
              </w:rPr>
              <w:t>氯化钠，≥98.50g/100g;</w:t>
            </w:r>
          </w:p>
          <w:p w14:paraId="060D217C">
            <w:pPr>
              <w:pStyle w:val="3"/>
              <w:ind w:left="0" w:leftChars="0"/>
              <w:jc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水不溶物，≤0.5g/100g；</w:t>
            </w:r>
          </w:p>
          <w:p w14:paraId="2B12158B">
            <w:pPr>
              <w:pStyle w:val="3"/>
              <w:ind w:left="0" w:leftChars="0"/>
              <w:jc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硫酸根，≤0.50g/100g；</w:t>
            </w:r>
          </w:p>
          <w:p w14:paraId="0C4C2983">
            <w:pPr>
              <w:pStyle w:val="3"/>
              <w:ind w:left="0" w:leftChars="0"/>
              <w:jc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碘强化剂（以I计），≤0.50mg/kg；</w:t>
            </w:r>
          </w:p>
          <w:p w14:paraId="7D38399E">
            <w:pPr>
              <w:pStyle w:val="3"/>
              <w:ind w:left="0" w:leftChars="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kern w:val="0"/>
                <w:sz w:val="21"/>
                <w:szCs w:val="21"/>
              </w:rPr>
              <w:t>铅（以pb计），≤0.50mg/kg</w:t>
            </w:r>
          </w:p>
        </w:tc>
        <w:tc>
          <w:tcPr>
            <w:tcW w:w="1588" w:type="dxa"/>
            <w:shd w:val="clear" w:color="auto" w:fill="auto"/>
            <w:vAlign w:val="center"/>
          </w:tcPr>
          <w:p w14:paraId="79FE824F">
            <w:pPr>
              <w:widowControl/>
              <w:jc w:val="center"/>
              <w:rPr>
                <w:rFonts w:hint="default" w:asciiTheme="minorEastAsia" w:hAnsiTheme="minorEastAsia" w:eastAsiaTheme="minorEastAsia" w:cstheme="minorEastAsia"/>
                <w:color w:val="000000"/>
                <w:kern w:val="0"/>
                <w:sz w:val="21"/>
                <w:szCs w:val="21"/>
                <w:lang w:val="en-US" w:eastAsia="zh-CN"/>
              </w:rPr>
            </w:pPr>
            <w:r>
              <w:rPr>
                <w:rFonts w:hint="eastAsia" w:asciiTheme="minorEastAsia" w:hAnsiTheme="minorEastAsia" w:cstheme="minorEastAsia"/>
                <w:color w:val="000000"/>
                <w:kern w:val="0"/>
                <w:sz w:val="21"/>
                <w:szCs w:val="21"/>
                <w:lang w:val="en-US" w:eastAsia="zh-CN"/>
              </w:rPr>
              <w:t>16000KG</w:t>
            </w:r>
          </w:p>
        </w:tc>
        <w:tc>
          <w:tcPr>
            <w:tcW w:w="1909" w:type="dxa"/>
            <w:shd w:val="clear" w:color="auto" w:fill="auto"/>
            <w:vAlign w:val="center"/>
          </w:tcPr>
          <w:p w14:paraId="1166F77B">
            <w:pPr>
              <w:widowControl/>
              <w:jc w:val="center"/>
              <w:rPr>
                <w:rFonts w:hint="default"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lang w:val="en-US" w:eastAsia="zh-CN" w:bidi="ar-SA"/>
              </w:rPr>
              <w:t>2.00</w:t>
            </w:r>
          </w:p>
        </w:tc>
      </w:tr>
      <w:tr w14:paraId="2C8D5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699" w:type="dxa"/>
            <w:shd w:val="clear" w:color="auto" w:fill="auto"/>
            <w:noWrap/>
            <w:vAlign w:val="center"/>
          </w:tcPr>
          <w:p w14:paraId="7351CC4D">
            <w:pPr>
              <w:widowControl/>
              <w:jc w:val="center"/>
              <w:rPr>
                <w:rFonts w:hint="eastAsia" w:asciiTheme="minorEastAsia" w:hAnsiTheme="minorEastAsia" w:eastAsiaTheme="minorEastAsia" w:cstheme="minorEastAsia"/>
                <w:color w:val="000000"/>
                <w:kern w:val="0"/>
                <w:sz w:val="21"/>
                <w:szCs w:val="21"/>
                <w:lang w:eastAsia="zh-CN"/>
              </w:rPr>
            </w:pPr>
            <w:r>
              <w:rPr>
                <w:rFonts w:hint="eastAsia" w:asciiTheme="minorEastAsia" w:hAnsiTheme="minorEastAsia" w:eastAsiaTheme="minorEastAsia" w:cstheme="minorEastAsia"/>
                <w:color w:val="000000"/>
                <w:kern w:val="0"/>
                <w:sz w:val="21"/>
                <w:szCs w:val="21"/>
                <w:lang w:val="en-US" w:eastAsia="zh-CN"/>
              </w:rPr>
              <w:t>4</w:t>
            </w:r>
          </w:p>
        </w:tc>
        <w:tc>
          <w:tcPr>
            <w:tcW w:w="1375" w:type="dxa"/>
            <w:shd w:val="clear" w:color="auto" w:fill="auto"/>
            <w:vAlign w:val="center"/>
          </w:tcPr>
          <w:p w14:paraId="0B397FF7">
            <w:pPr>
              <w:widowControl/>
              <w:jc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无水柠檬酸</w:t>
            </w:r>
          </w:p>
        </w:tc>
        <w:tc>
          <w:tcPr>
            <w:tcW w:w="3626" w:type="dxa"/>
            <w:shd w:val="clear" w:color="auto" w:fill="auto"/>
            <w:vAlign w:val="center"/>
          </w:tcPr>
          <w:p w14:paraId="39895651">
            <w:pPr>
              <w:widowControl/>
              <w:jc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25kg/袋</w:t>
            </w:r>
          </w:p>
          <w:p w14:paraId="69AB4CE7">
            <w:pPr>
              <w:widowControl/>
              <w:jc w:val="center"/>
              <w:rPr>
                <w:rFonts w:hint="eastAsia" w:asciiTheme="minorEastAsia" w:hAnsiTheme="minorEastAsia" w:eastAsiaTheme="minorEastAsia" w:cstheme="minorEastAsia"/>
                <w:color w:val="000000"/>
                <w:kern w:val="0"/>
                <w:sz w:val="21"/>
                <w:szCs w:val="21"/>
                <w:lang w:val="en-US" w:eastAsia="zh-CN"/>
              </w:rPr>
            </w:pPr>
            <w:r>
              <w:rPr>
                <w:rFonts w:hint="eastAsia" w:ascii="宋体" w:hAnsi="宋体" w:eastAsia="宋体" w:cs="宋体"/>
                <w:color w:val="000000"/>
                <w:kern w:val="0"/>
                <w:sz w:val="21"/>
                <w:szCs w:val="21"/>
              </w:rPr>
              <w:t>★</w:t>
            </w:r>
            <w:r>
              <w:rPr>
                <w:rFonts w:hint="eastAsia" w:asciiTheme="minorEastAsia" w:hAnsiTheme="minorEastAsia" w:eastAsiaTheme="minorEastAsia" w:cstheme="minorEastAsia"/>
                <w:color w:val="000000"/>
                <w:kern w:val="0"/>
                <w:sz w:val="21"/>
                <w:szCs w:val="21"/>
                <w:lang w:val="en-US" w:eastAsia="zh-CN"/>
              </w:rPr>
              <w:t>柠檬酸含量，99.5-100.5%；</w:t>
            </w:r>
          </w:p>
          <w:p w14:paraId="79E06826">
            <w:pPr>
              <w:widowControl/>
              <w:jc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水分，≤0.5%；</w:t>
            </w:r>
          </w:p>
          <w:p w14:paraId="094482F3">
            <w:pPr>
              <w:widowControl/>
              <w:jc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易碳化物，≤1.0；</w:t>
            </w:r>
          </w:p>
          <w:p w14:paraId="05B22B31">
            <w:pPr>
              <w:widowControl/>
              <w:jc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硫酸灰分，≤0.05%；</w:t>
            </w:r>
          </w:p>
          <w:p w14:paraId="1FB5C620">
            <w:pPr>
              <w:widowControl/>
              <w:jc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硫酸盐，≤0.01%；</w:t>
            </w:r>
          </w:p>
          <w:p w14:paraId="29EA9278">
            <w:pPr>
              <w:widowControl/>
              <w:jc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氯化物，≤0.005%；</w:t>
            </w:r>
          </w:p>
          <w:p w14:paraId="6F7A3072">
            <w:pPr>
              <w:widowControl/>
              <w:jc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草酸盐，≤0.01%；</w:t>
            </w:r>
          </w:p>
          <w:p w14:paraId="0DBCE1F5">
            <w:pPr>
              <w:widowControl/>
              <w:jc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钙盐，≤0.02%；</w:t>
            </w:r>
          </w:p>
          <w:p w14:paraId="70E76396">
            <w:pPr>
              <w:widowControl/>
              <w:jc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铅，≤0.5mg/kg；</w:t>
            </w:r>
          </w:p>
          <w:p w14:paraId="3B6271E3">
            <w:pPr>
              <w:widowControl/>
              <w:jc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lang w:val="en-US" w:eastAsia="zh-CN"/>
              </w:rPr>
              <w:t>总砷，≤1.0mg/kg</w:t>
            </w:r>
          </w:p>
        </w:tc>
        <w:tc>
          <w:tcPr>
            <w:tcW w:w="1588" w:type="dxa"/>
            <w:shd w:val="clear" w:color="auto" w:fill="auto"/>
            <w:vAlign w:val="center"/>
          </w:tcPr>
          <w:p w14:paraId="4415F02E">
            <w:pPr>
              <w:widowControl/>
              <w:jc w:val="center"/>
              <w:rPr>
                <w:rFonts w:hint="default" w:asciiTheme="minorEastAsia" w:hAnsiTheme="minorEastAsia" w:eastAsiaTheme="minorEastAsia" w:cstheme="minorEastAsia"/>
                <w:color w:val="000000"/>
                <w:kern w:val="0"/>
                <w:sz w:val="21"/>
                <w:szCs w:val="21"/>
                <w:lang w:val="en-US" w:eastAsia="zh-CN"/>
              </w:rPr>
            </w:pPr>
            <w:r>
              <w:rPr>
                <w:rFonts w:hint="eastAsia" w:asciiTheme="minorEastAsia" w:hAnsiTheme="minorEastAsia" w:cstheme="minorEastAsia"/>
                <w:color w:val="000000"/>
                <w:kern w:val="0"/>
                <w:sz w:val="21"/>
                <w:szCs w:val="21"/>
                <w:lang w:val="en-US" w:eastAsia="zh-CN"/>
              </w:rPr>
              <w:t>600KG</w:t>
            </w:r>
          </w:p>
        </w:tc>
        <w:tc>
          <w:tcPr>
            <w:tcW w:w="1909" w:type="dxa"/>
            <w:shd w:val="clear" w:color="auto" w:fill="auto"/>
            <w:vAlign w:val="center"/>
          </w:tcPr>
          <w:p w14:paraId="1C8776FB">
            <w:pPr>
              <w:widowControl/>
              <w:jc w:val="center"/>
              <w:rPr>
                <w:rFonts w:hint="default" w:asciiTheme="minorEastAsia" w:hAnsiTheme="minorEastAsia" w:eastAsiaTheme="minorEastAsia" w:cstheme="minorEastAsia"/>
                <w:color w:val="000000"/>
                <w:kern w:val="0"/>
                <w:sz w:val="21"/>
                <w:szCs w:val="21"/>
                <w:lang w:val="en-US" w:eastAsia="zh-CN"/>
              </w:rPr>
            </w:pPr>
            <w:r>
              <w:rPr>
                <w:rFonts w:hint="eastAsia" w:asciiTheme="minorEastAsia" w:hAnsiTheme="minorEastAsia" w:cstheme="minorEastAsia"/>
                <w:color w:val="000000"/>
                <w:kern w:val="0"/>
                <w:sz w:val="21"/>
                <w:szCs w:val="21"/>
                <w:lang w:val="en-US" w:eastAsia="zh-CN"/>
              </w:rPr>
              <w:t>8.00</w:t>
            </w:r>
          </w:p>
        </w:tc>
      </w:tr>
      <w:tr w14:paraId="76C4C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699" w:type="dxa"/>
            <w:shd w:val="clear" w:color="auto" w:fill="auto"/>
            <w:noWrap/>
            <w:vAlign w:val="center"/>
          </w:tcPr>
          <w:p w14:paraId="50EC3896">
            <w:pPr>
              <w:widowControl/>
              <w:jc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5</w:t>
            </w:r>
          </w:p>
        </w:tc>
        <w:tc>
          <w:tcPr>
            <w:tcW w:w="1375" w:type="dxa"/>
            <w:shd w:val="clear" w:color="auto" w:fill="auto"/>
            <w:vAlign w:val="center"/>
          </w:tcPr>
          <w:p w14:paraId="11C3265B">
            <w:pPr>
              <w:widowControl/>
              <w:jc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工业氢氧化钠</w:t>
            </w:r>
          </w:p>
        </w:tc>
        <w:tc>
          <w:tcPr>
            <w:tcW w:w="3626" w:type="dxa"/>
            <w:shd w:val="clear" w:color="auto" w:fill="auto"/>
            <w:vAlign w:val="center"/>
          </w:tcPr>
          <w:p w14:paraId="59B27254">
            <w:pPr>
              <w:widowControl/>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25kg/袋</w:t>
            </w:r>
          </w:p>
          <w:p w14:paraId="08D246FE">
            <w:pPr>
              <w:widowControl/>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片状、固体颗粒均可</w:t>
            </w:r>
          </w:p>
          <w:p w14:paraId="66D631BF">
            <w:pPr>
              <w:widowControl/>
              <w:jc w:val="center"/>
              <w:rPr>
                <w:rFonts w:hint="eastAsia" w:asciiTheme="minorEastAsia" w:hAnsiTheme="minorEastAsia" w:eastAsiaTheme="minorEastAsia" w:cstheme="minorEastAsia"/>
                <w:sz w:val="21"/>
                <w:szCs w:val="21"/>
                <w:lang w:val="en-US" w:eastAsia="zh-CN"/>
              </w:rPr>
            </w:pPr>
            <w:r>
              <w:rPr>
                <w:rFonts w:hint="eastAsia" w:ascii="宋体" w:hAnsi="宋体" w:eastAsia="宋体" w:cs="宋体"/>
                <w:color w:val="000000"/>
                <w:kern w:val="0"/>
                <w:sz w:val="21"/>
                <w:szCs w:val="21"/>
              </w:rPr>
              <w:t>★</w:t>
            </w:r>
            <w:r>
              <w:rPr>
                <w:rFonts w:hint="eastAsia" w:asciiTheme="minorEastAsia" w:hAnsiTheme="minorEastAsia" w:eastAsiaTheme="minorEastAsia" w:cstheme="minorEastAsia"/>
                <w:sz w:val="21"/>
                <w:szCs w:val="21"/>
                <w:lang w:val="en-US" w:eastAsia="zh-CN"/>
              </w:rPr>
              <w:t>氢氧化钠含量，≥99%</w:t>
            </w:r>
          </w:p>
        </w:tc>
        <w:tc>
          <w:tcPr>
            <w:tcW w:w="1588" w:type="dxa"/>
            <w:shd w:val="clear" w:color="auto" w:fill="auto"/>
            <w:vAlign w:val="center"/>
          </w:tcPr>
          <w:p w14:paraId="21960077">
            <w:pPr>
              <w:widowControl/>
              <w:jc w:val="center"/>
              <w:rPr>
                <w:rFonts w:hint="default" w:asciiTheme="minorEastAsia" w:hAnsiTheme="minorEastAsia" w:eastAsiaTheme="minorEastAsia" w:cstheme="minorEastAsia"/>
                <w:color w:val="000000"/>
                <w:kern w:val="0"/>
                <w:sz w:val="21"/>
                <w:szCs w:val="21"/>
                <w:lang w:val="en-US" w:eastAsia="zh-CN"/>
              </w:rPr>
            </w:pPr>
            <w:r>
              <w:rPr>
                <w:rFonts w:hint="eastAsia" w:asciiTheme="minorEastAsia" w:hAnsiTheme="minorEastAsia" w:cstheme="minorEastAsia"/>
                <w:color w:val="000000"/>
                <w:kern w:val="0"/>
                <w:sz w:val="21"/>
                <w:szCs w:val="21"/>
                <w:lang w:val="en-US" w:eastAsia="zh-CN"/>
              </w:rPr>
              <w:t>350KG</w:t>
            </w:r>
          </w:p>
        </w:tc>
        <w:tc>
          <w:tcPr>
            <w:tcW w:w="1909" w:type="dxa"/>
            <w:shd w:val="clear" w:color="auto" w:fill="auto"/>
            <w:vAlign w:val="center"/>
          </w:tcPr>
          <w:p w14:paraId="7E089F86">
            <w:pPr>
              <w:widowControl/>
              <w:jc w:val="center"/>
              <w:rPr>
                <w:rFonts w:hint="default" w:asciiTheme="minorEastAsia" w:hAnsiTheme="minorEastAsia" w:eastAsiaTheme="minorEastAsia" w:cstheme="minorEastAsia"/>
                <w:color w:val="000000"/>
                <w:kern w:val="0"/>
                <w:sz w:val="21"/>
                <w:szCs w:val="21"/>
                <w:lang w:val="en-US" w:eastAsia="zh-CN"/>
              </w:rPr>
            </w:pPr>
            <w:r>
              <w:rPr>
                <w:rFonts w:hint="eastAsia" w:asciiTheme="minorEastAsia" w:hAnsiTheme="minorEastAsia" w:cstheme="minorEastAsia"/>
                <w:color w:val="000000"/>
                <w:kern w:val="0"/>
                <w:sz w:val="21"/>
                <w:szCs w:val="21"/>
                <w:lang w:val="en-US" w:eastAsia="zh-CN"/>
              </w:rPr>
              <w:t>6.20</w:t>
            </w:r>
          </w:p>
        </w:tc>
      </w:tr>
      <w:tr w14:paraId="49A13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699" w:type="dxa"/>
            <w:shd w:val="clear" w:color="auto" w:fill="auto"/>
            <w:noWrap/>
            <w:vAlign w:val="center"/>
          </w:tcPr>
          <w:p w14:paraId="5A94D5BF">
            <w:pPr>
              <w:widowControl/>
              <w:jc w:val="center"/>
              <w:rPr>
                <w:rFonts w:hint="default" w:asciiTheme="minorEastAsia" w:hAnsiTheme="minorEastAsia" w:eastAsiaTheme="minorEastAsia" w:cstheme="minorEastAsia"/>
                <w:color w:val="000000"/>
                <w:kern w:val="0"/>
                <w:sz w:val="21"/>
                <w:szCs w:val="21"/>
                <w:lang w:val="en-US" w:eastAsia="zh-CN"/>
              </w:rPr>
            </w:pPr>
            <w:r>
              <w:rPr>
                <w:rFonts w:hint="eastAsia" w:asciiTheme="minorEastAsia" w:hAnsiTheme="minorEastAsia" w:cstheme="minorEastAsia"/>
                <w:color w:val="000000"/>
                <w:kern w:val="0"/>
                <w:sz w:val="21"/>
                <w:szCs w:val="21"/>
                <w:lang w:val="en-US" w:eastAsia="zh-CN"/>
              </w:rPr>
              <w:t>6</w:t>
            </w:r>
          </w:p>
        </w:tc>
        <w:tc>
          <w:tcPr>
            <w:tcW w:w="1375" w:type="dxa"/>
            <w:shd w:val="clear" w:color="auto" w:fill="auto"/>
            <w:vAlign w:val="center"/>
          </w:tcPr>
          <w:p w14:paraId="36E93D5A">
            <w:pPr>
              <w:widowControl/>
              <w:jc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重金属捕捉剂</w:t>
            </w:r>
          </w:p>
        </w:tc>
        <w:tc>
          <w:tcPr>
            <w:tcW w:w="3626" w:type="dxa"/>
            <w:shd w:val="clear" w:color="auto" w:fill="auto"/>
            <w:vAlign w:val="center"/>
          </w:tcPr>
          <w:p w14:paraId="35493C59">
            <w:pPr>
              <w:widowControl/>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25kg/袋</w:t>
            </w:r>
          </w:p>
          <w:p w14:paraId="2861204C">
            <w:pPr>
              <w:widowControl/>
              <w:jc w:val="center"/>
              <w:rPr>
                <w:rFonts w:hint="eastAsia" w:asciiTheme="minorEastAsia" w:hAnsiTheme="minorEastAsia" w:eastAsiaTheme="minorEastAsia" w:cstheme="minorEastAsia"/>
                <w:sz w:val="21"/>
                <w:szCs w:val="21"/>
                <w:lang w:val="en-US" w:eastAsia="zh-CN"/>
              </w:rPr>
            </w:pPr>
            <w:r>
              <w:rPr>
                <w:rFonts w:hint="eastAsia" w:ascii="宋体" w:hAnsi="宋体" w:eastAsia="宋体" w:cs="宋体"/>
                <w:color w:val="000000"/>
                <w:kern w:val="0"/>
                <w:sz w:val="21"/>
                <w:szCs w:val="21"/>
              </w:rPr>
              <w:t>★</w:t>
            </w:r>
            <w:r>
              <w:rPr>
                <w:rFonts w:hint="eastAsia" w:asciiTheme="minorEastAsia" w:hAnsiTheme="minorEastAsia" w:eastAsiaTheme="minorEastAsia" w:cstheme="minorEastAsia"/>
                <w:sz w:val="21"/>
                <w:szCs w:val="21"/>
                <w:lang w:val="en-US" w:eastAsia="zh-CN"/>
              </w:rPr>
              <w:t>固体颗粒</w:t>
            </w:r>
          </w:p>
          <w:p w14:paraId="2C2F9A83">
            <w:pPr>
              <w:widowControl/>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S-100系列</w:t>
            </w:r>
          </w:p>
        </w:tc>
        <w:tc>
          <w:tcPr>
            <w:tcW w:w="1588" w:type="dxa"/>
            <w:shd w:val="clear" w:color="auto" w:fill="auto"/>
            <w:vAlign w:val="center"/>
          </w:tcPr>
          <w:p w14:paraId="2E0E6F39">
            <w:pPr>
              <w:widowControl/>
              <w:jc w:val="center"/>
              <w:rPr>
                <w:rFonts w:hint="default" w:asciiTheme="minorEastAsia" w:hAnsiTheme="minorEastAsia" w:eastAsiaTheme="minorEastAsia" w:cstheme="minorEastAsia"/>
                <w:color w:val="000000"/>
                <w:kern w:val="0"/>
                <w:sz w:val="21"/>
                <w:szCs w:val="21"/>
                <w:lang w:val="en-US" w:eastAsia="zh-CN"/>
              </w:rPr>
            </w:pPr>
            <w:r>
              <w:rPr>
                <w:rFonts w:hint="eastAsia" w:asciiTheme="minorEastAsia" w:hAnsiTheme="minorEastAsia" w:cstheme="minorEastAsia"/>
                <w:color w:val="000000"/>
                <w:kern w:val="0"/>
                <w:sz w:val="21"/>
                <w:szCs w:val="21"/>
                <w:lang w:val="en-US" w:eastAsia="zh-CN"/>
              </w:rPr>
              <w:t>350KG</w:t>
            </w:r>
          </w:p>
        </w:tc>
        <w:tc>
          <w:tcPr>
            <w:tcW w:w="1909" w:type="dxa"/>
            <w:shd w:val="clear" w:color="auto" w:fill="auto"/>
            <w:vAlign w:val="center"/>
          </w:tcPr>
          <w:p w14:paraId="006DD3D2">
            <w:pPr>
              <w:widowControl/>
              <w:jc w:val="center"/>
              <w:rPr>
                <w:rFonts w:hint="default" w:asciiTheme="minorEastAsia" w:hAnsiTheme="minorEastAsia" w:cstheme="minorEastAsia"/>
                <w:color w:val="000000"/>
                <w:kern w:val="0"/>
                <w:sz w:val="21"/>
                <w:szCs w:val="21"/>
                <w:lang w:val="en-US" w:eastAsia="zh-CN"/>
              </w:rPr>
            </w:pPr>
            <w:r>
              <w:rPr>
                <w:rFonts w:hint="eastAsia" w:asciiTheme="minorEastAsia" w:hAnsiTheme="minorEastAsia" w:cstheme="minorEastAsia"/>
                <w:color w:val="000000"/>
                <w:kern w:val="0"/>
                <w:sz w:val="21"/>
                <w:szCs w:val="21"/>
                <w:lang w:val="en-US" w:eastAsia="zh-CN"/>
              </w:rPr>
              <w:t>10.50</w:t>
            </w:r>
          </w:p>
        </w:tc>
      </w:tr>
      <w:tr w14:paraId="2B119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699" w:type="dxa"/>
            <w:shd w:val="clear" w:color="auto" w:fill="auto"/>
            <w:noWrap/>
            <w:vAlign w:val="center"/>
          </w:tcPr>
          <w:p w14:paraId="75FB31CC">
            <w:pPr>
              <w:widowControl/>
              <w:jc w:val="center"/>
              <w:rPr>
                <w:rFonts w:hint="default" w:asciiTheme="minorEastAsia" w:hAnsiTheme="minorEastAsia" w:eastAsiaTheme="minorEastAsia" w:cstheme="minorEastAsia"/>
                <w:color w:val="000000"/>
                <w:kern w:val="0"/>
                <w:sz w:val="21"/>
                <w:szCs w:val="21"/>
                <w:lang w:val="en-US" w:eastAsia="zh-CN"/>
              </w:rPr>
            </w:pPr>
            <w:r>
              <w:rPr>
                <w:rFonts w:hint="eastAsia" w:asciiTheme="minorEastAsia" w:hAnsiTheme="minorEastAsia" w:cstheme="minorEastAsia"/>
                <w:color w:val="000000"/>
                <w:kern w:val="0"/>
                <w:sz w:val="21"/>
                <w:szCs w:val="21"/>
                <w:lang w:val="en-US" w:eastAsia="zh-CN"/>
              </w:rPr>
              <w:t>7</w:t>
            </w:r>
          </w:p>
        </w:tc>
        <w:tc>
          <w:tcPr>
            <w:tcW w:w="1375" w:type="dxa"/>
            <w:shd w:val="clear" w:color="auto" w:fill="auto"/>
            <w:vAlign w:val="center"/>
          </w:tcPr>
          <w:p w14:paraId="40A067EA">
            <w:pPr>
              <w:widowControl/>
              <w:jc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聚合氯化铝（PAC）</w:t>
            </w:r>
          </w:p>
        </w:tc>
        <w:tc>
          <w:tcPr>
            <w:tcW w:w="3626" w:type="dxa"/>
            <w:shd w:val="clear" w:color="auto" w:fill="auto"/>
            <w:vAlign w:val="center"/>
          </w:tcPr>
          <w:p w14:paraId="52B32B7D">
            <w:pPr>
              <w:widowControl/>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25KG/袋</w:t>
            </w:r>
          </w:p>
          <w:p w14:paraId="2DE4EFF0">
            <w:pPr>
              <w:widowControl/>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又名絮凝剂</w:t>
            </w:r>
          </w:p>
          <w:p w14:paraId="1F2CDB66">
            <w:pPr>
              <w:widowControl/>
              <w:jc w:val="center"/>
              <w:rPr>
                <w:rFonts w:hint="eastAsia" w:asciiTheme="minorEastAsia" w:hAnsiTheme="minorEastAsia" w:eastAsiaTheme="minorEastAsia" w:cstheme="minorEastAsia"/>
                <w:sz w:val="21"/>
                <w:szCs w:val="21"/>
                <w:lang w:val="en-US" w:eastAsia="zh-CN"/>
              </w:rPr>
            </w:pPr>
            <w:r>
              <w:rPr>
                <w:rFonts w:hint="eastAsia" w:ascii="宋体" w:hAnsi="宋体" w:eastAsia="宋体" w:cs="宋体"/>
                <w:color w:val="000000"/>
                <w:kern w:val="0"/>
                <w:sz w:val="21"/>
                <w:szCs w:val="21"/>
              </w:rPr>
              <w:t>★</w:t>
            </w:r>
            <w:r>
              <w:rPr>
                <w:rFonts w:hint="eastAsia" w:asciiTheme="minorEastAsia" w:hAnsiTheme="minorEastAsia" w:eastAsiaTheme="minorEastAsia" w:cstheme="minorEastAsia"/>
                <w:sz w:val="21"/>
                <w:szCs w:val="21"/>
                <w:lang w:val="en-US" w:eastAsia="zh-CN"/>
              </w:rPr>
              <w:t>AL2O3含量，≥30%</w:t>
            </w:r>
          </w:p>
          <w:p w14:paraId="636C35E0">
            <w:pPr>
              <w:widowControl/>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固体颗粒</w:t>
            </w:r>
          </w:p>
        </w:tc>
        <w:tc>
          <w:tcPr>
            <w:tcW w:w="1588" w:type="dxa"/>
            <w:shd w:val="clear" w:color="auto" w:fill="auto"/>
            <w:vAlign w:val="center"/>
          </w:tcPr>
          <w:p w14:paraId="60B95822">
            <w:pPr>
              <w:widowControl/>
              <w:jc w:val="center"/>
              <w:rPr>
                <w:rFonts w:hint="default" w:asciiTheme="minorEastAsia" w:hAnsiTheme="minorEastAsia" w:eastAsiaTheme="minorEastAsia" w:cstheme="minorEastAsia"/>
                <w:color w:val="000000"/>
                <w:kern w:val="0"/>
                <w:sz w:val="21"/>
                <w:szCs w:val="21"/>
                <w:lang w:val="en-US" w:eastAsia="zh-CN"/>
              </w:rPr>
            </w:pPr>
            <w:r>
              <w:rPr>
                <w:rFonts w:hint="eastAsia" w:asciiTheme="minorEastAsia" w:hAnsiTheme="minorEastAsia" w:cstheme="minorEastAsia"/>
                <w:color w:val="000000"/>
                <w:kern w:val="0"/>
                <w:sz w:val="21"/>
                <w:szCs w:val="21"/>
                <w:lang w:val="en-US" w:eastAsia="zh-CN"/>
              </w:rPr>
              <w:t>350KG</w:t>
            </w:r>
          </w:p>
        </w:tc>
        <w:tc>
          <w:tcPr>
            <w:tcW w:w="1909" w:type="dxa"/>
            <w:shd w:val="clear" w:color="auto" w:fill="auto"/>
            <w:vAlign w:val="center"/>
          </w:tcPr>
          <w:p w14:paraId="67F3CDEF">
            <w:pPr>
              <w:widowControl/>
              <w:jc w:val="center"/>
              <w:rPr>
                <w:rFonts w:hint="default" w:asciiTheme="minorEastAsia" w:hAnsiTheme="minorEastAsia" w:cstheme="minorEastAsia"/>
                <w:color w:val="000000"/>
                <w:kern w:val="0"/>
                <w:sz w:val="21"/>
                <w:szCs w:val="21"/>
                <w:lang w:val="en-US" w:eastAsia="zh-CN"/>
              </w:rPr>
            </w:pPr>
            <w:r>
              <w:rPr>
                <w:rFonts w:hint="eastAsia" w:asciiTheme="minorEastAsia" w:hAnsiTheme="minorEastAsia" w:cstheme="minorEastAsia"/>
                <w:color w:val="000000"/>
                <w:kern w:val="0"/>
                <w:sz w:val="21"/>
                <w:szCs w:val="21"/>
                <w:lang w:val="en-US" w:eastAsia="zh-CN"/>
              </w:rPr>
              <w:t>3.50</w:t>
            </w:r>
          </w:p>
        </w:tc>
      </w:tr>
      <w:tr w14:paraId="0222C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699" w:type="dxa"/>
            <w:shd w:val="clear" w:color="auto" w:fill="auto"/>
            <w:noWrap/>
            <w:vAlign w:val="center"/>
          </w:tcPr>
          <w:p w14:paraId="0F2EFD18">
            <w:pPr>
              <w:widowControl/>
              <w:jc w:val="center"/>
              <w:rPr>
                <w:rFonts w:hint="default" w:asciiTheme="minorEastAsia" w:hAnsiTheme="minorEastAsia" w:eastAsiaTheme="minorEastAsia" w:cstheme="minorEastAsia"/>
                <w:color w:val="000000"/>
                <w:kern w:val="0"/>
                <w:sz w:val="21"/>
                <w:szCs w:val="21"/>
                <w:lang w:val="en-US" w:eastAsia="zh-CN"/>
              </w:rPr>
            </w:pPr>
            <w:r>
              <w:rPr>
                <w:rFonts w:hint="eastAsia" w:asciiTheme="minorEastAsia" w:hAnsiTheme="minorEastAsia" w:cstheme="minorEastAsia"/>
                <w:color w:val="000000"/>
                <w:kern w:val="0"/>
                <w:sz w:val="21"/>
                <w:szCs w:val="21"/>
                <w:lang w:val="en-US" w:eastAsia="zh-CN"/>
              </w:rPr>
              <w:t>8</w:t>
            </w:r>
          </w:p>
        </w:tc>
        <w:tc>
          <w:tcPr>
            <w:tcW w:w="1375" w:type="dxa"/>
            <w:shd w:val="clear" w:color="auto" w:fill="auto"/>
            <w:vAlign w:val="center"/>
          </w:tcPr>
          <w:p w14:paraId="2CF88FF4">
            <w:pPr>
              <w:widowControl/>
              <w:jc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聚丙烯酰胺（PAM）</w:t>
            </w:r>
          </w:p>
        </w:tc>
        <w:tc>
          <w:tcPr>
            <w:tcW w:w="3626" w:type="dxa"/>
            <w:shd w:val="clear" w:color="auto" w:fill="auto"/>
            <w:vAlign w:val="center"/>
          </w:tcPr>
          <w:p w14:paraId="303078BC">
            <w:pPr>
              <w:widowControl/>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25kg/袋</w:t>
            </w:r>
          </w:p>
          <w:p w14:paraId="27B7C78D">
            <w:pPr>
              <w:widowControl/>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又名助凝剂</w:t>
            </w:r>
          </w:p>
          <w:p w14:paraId="34E9ACD2">
            <w:pPr>
              <w:widowControl/>
              <w:jc w:val="center"/>
              <w:rPr>
                <w:rFonts w:hint="eastAsia" w:asciiTheme="minorEastAsia" w:hAnsiTheme="minorEastAsia" w:eastAsiaTheme="minorEastAsia" w:cstheme="minorEastAsia"/>
                <w:sz w:val="21"/>
                <w:szCs w:val="21"/>
                <w:lang w:val="en-US" w:eastAsia="zh-CN"/>
              </w:rPr>
            </w:pPr>
            <w:r>
              <w:rPr>
                <w:rFonts w:hint="eastAsia" w:ascii="宋体" w:hAnsi="宋体" w:eastAsia="宋体" w:cs="宋体"/>
                <w:color w:val="000000"/>
                <w:kern w:val="0"/>
                <w:sz w:val="21"/>
                <w:szCs w:val="21"/>
              </w:rPr>
              <w:t>★</w:t>
            </w:r>
            <w:r>
              <w:rPr>
                <w:rFonts w:hint="eastAsia" w:asciiTheme="minorEastAsia" w:hAnsiTheme="minorEastAsia" w:eastAsiaTheme="minorEastAsia" w:cstheme="minorEastAsia"/>
                <w:sz w:val="21"/>
                <w:szCs w:val="21"/>
                <w:lang w:val="en-US" w:eastAsia="zh-CN"/>
              </w:rPr>
              <w:t>阴离子</w:t>
            </w:r>
          </w:p>
          <w:p w14:paraId="53354E91">
            <w:pPr>
              <w:widowControl/>
              <w:jc w:val="center"/>
              <w:rPr>
                <w:rFonts w:hint="eastAsia" w:asciiTheme="minorEastAsia" w:hAnsiTheme="minorEastAsia" w:eastAsiaTheme="minorEastAsia" w:cstheme="minorEastAsia"/>
                <w:sz w:val="21"/>
                <w:szCs w:val="21"/>
                <w:lang w:val="en-US" w:eastAsia="zh-CN"/>
              </w:rPr>
            </w:pPr>
            <w:r>
              <w:rPr>
                <w:rFonts w:hint="eastAsia" w:ascii="宋体" w:hAnsi="宋体" w:eastAsia="宋体" w:cs="宋体"/>
                <w:color w:val="000000"/>
                <w:kern w:val="0"/>
                <w:sz w:val="21"/>
                <w:szCs w:val="21"/>
              </w:rPr>
              <w:t>★</w:t>
            </w:r>
            <w:r>
              <w:rPr>
                <w:rFonts w:hint="eastAsia" w:asciiTheme="minorEastAsia" w:hAnsiTheme="minorEastAsia" w:eastAsiaTheme="minorEastAsia" w:cstheme="minorEastAsia"/>
                <w:sz w:val="21"/>
                <w:szCs w:val="21"/>
                <w:lang w:val="en-US" w:eastAsia="zh-CN"/>
              </w:rPr>
              <w:t>分子量：2000万</w:t>
            </w:r>
          </w:p>
          <w:p w14:paraId="16562DCF">
            <w:pPr>
              <w:widowControl/>
              <w:jc w:val="center"/>
              <w:rPr>
                <w:rFonts w:hint="eastAsia" w:asciiTheme="minorEastAsia" w:hAnsiTheme="minorEastAsia" w:eastAsiaTheme="minorEastAsia" w:cstheme="minorEastAsia"/>
                <w:sz w:val="21"/>
                <w:szCs w:val="21"/>
                <w:lang w:val="en-US" w:eastAsia="zh-CN"/>
              </w:rPr>
            </w:pPr>
            <w:r>
              <w:rPr>
                <w:rFonts w:hint="eastAsia" w:ascii="宋体" w:hAnsi="宋体" w:eastAsia="宋体" w:cs="宋体"/>
                <w:color w:val="000000"/>
                <w:kern w:val="0"/>
                <w:sz w:val="21"/>
                <w:szCs w:val="21"/>
              </w:rPr>
              <w:t>★</w:t>
            </w:r>
            <w:r>
              <w:rPr>
                <w:rFonts w:hint="eastAsia" w:asciiTheme="minorEastAsia" w:hAnsiTheme="minorEastAsia" w:eastAsiaTheme="minorEastAsia" w:cstheme="minorEastAsia"/>
                <w:sz w:val="21"/>
                <w:szCs w:val="21"/>
                <w:lang w:val="en-US" w:eastAsia="zh-CN"/>
              </w:rPr>
              <w:t>含量，≥90%</w:t>
            </w:r>
          </w:p>
        </w:tc>
        <w:tc>
          <w:tcPr>
            <w:tcW w:w="1588" w:type="dxa"/>
            <w:shd w:val="clear" w:color="auto" w:fill="auto"/>
            <w:vAlign w:val="center"/>
          </w:tcPr>
          <w:p w14:paraId="0C65A091">
            <w:pPr>
              <w:widowControl/>
              <w:jc w:val="center"/>
              <w:rPr>
                <w:rFonts w:hint="default" w:asciiTheme="minorEastAsia" w:hAnsiTheme="minorEastAsia" w:eastAsiaTheme="minorEastAsia" w:cstheme="minorEastAsia"/>
                <w:color w:val="000000"/>
                <w:kern w:val="0"/>
                <w:sz w:val="21"/>
                <w:szCs w:val="21"/>
                <w:lang w:val="en-US" w:eastAsia="zh-CN"/>
              </w:rPr>
            </w:pPr>
            <w:r>
              <w:rPr>
                <w:rFonts w:hint="eastAsia" w:asciiTheme="minorEastAsia" w:hAnsiTheme="minorEastAsia" w:cstheme="minorEastAsia"/>
                <w:color w:val="000000"/>
                <w:kern w:val="0"/>
                <w:sz w:val="21"/>
                <w:szCs w:val="21"/>
                <w:lang w:val="en-US" w:eastAsia="zh-CN"/>
              </w:rPr>
              <w:t>75KG</w:t>
            </w:r>
          </w:p>
        </w:tc>
        <w:tc>
          <w:tcPr>
            <w:tcW w:w="1909" w:type="dxa"/>
            <w:shd w:val="clear" w:color="auto" w:fill="auto"/>
            <w:vAlign w:val="center"/>
          </w:tcPr>
          <w:p w14:paraId="554CE3C1">
            <w:pPr>
              <w:widowControl/>
              <w:jc w:val="center"/>
              <w:rPr>
                <w:rFonts w:hint="default" w:asciiTheme="minorEastAsia" w:hAnsiTheme="minorEastAsia" w:cstheme="minorEastAsia"/>
                <w:color w:val="000000"/>
                <w:kern w:val="0"/>
                <w:sz w:val="21"/>
                <w:szCs w:val="21"/>
                <w:lang w:val="en-US" w:eastAsia="zh-CN"/>
              </w:rPr>
            </w:pPr>
            <w:r>
              <w:rPr>
                <w:rFonts w:hint="eastAsia" w:asciiTheme="minorEastAsia" w:hAnsiTheme="minorEastAsia" w:cstheme="minorEastAsia"/>
                <w:color w:val="000000"/>
                <w:kern w:val="0"/>
                <w:sz w:val="21"/>
                <w:szCs w:val="21"/>
                <w:lang w:val="en-US" w:eastAsia="zh-CN"/>
              </w:rPr>
              <w:t>7.20</w:t>
            </w:r>
          </w:p>
        </w:tc>
      </w:tr>
      <w:tr w14:paraId="344E2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699" w:type="dxa"/>
            <w:shd w:val="clear" w:color="auto" w:fill="auto"/>
            <w:noWrap/>
            <w:vAlign w:val="center"/>
          </w:tcPr>
          <w:p w14:paraId="15488889">
            <w:pPr>
              <w:widowControl/>
              <w:jc w:val="center"/>
              <w:rPr>
                <w:rFonts w:hint="default" w:asciiTheme="minorEastAsia" w:hAnsiTheme="minorEastAsia" w:eastAsiaTheme="minorEastAsia" w:cstheme="minorEastAsia"/>
                <w:color w:val="000000"/>
                <w:kern w:val="0"/>
                <w:sz w:val="21"/>
                <w:szCs w:val="21"/>
                <w:lang w:val="en-US" w:eastAsia="zh-CN"/>
              </w:rPr>
            </w:pPr>
            <w:r>
              <w:rPr>
                <w:rFonts w:hint="eastAsia" w:asciiTheme="minorEastAsia" w:hAnsiTheme="minorEastAsia" w:cstheme="minorEastAsia"/>
                <w:color w:val="000000"/>
                <w:kern w:val="0"/>
                <w:sz w:val="21"/>
                <w:szCs w:val="21"/>
                <w:lang w:val="en-US" w:eastAsia="zh-CN"/>
              </w:rPr>
              <w:t>9</w:t>
            </w:r>
          </w:p>
        </w:tc>
        <w:tc>
          <w:tcPr>
            <w:tcW w:w="1375" w:type="dxa"/>
            <w:shd w:val="clear" w:color="auto" w:fill="auto"/>
            <w:vAlign w:val="center"/>
          </w:tcPr>
          <w:p w14:paraId="206B69D4">
            <w:pPr>
              <w:widowControl/>
              <w:jc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二氧化氯消毒剂</w:t>
            </w:r>
          </w:p>
        </w:tc>
        <w:tc>
          <w:tcPr>
            <w:tcW w:w="3626" w:type="dxa"/>
            <w:shd w:val="clear" w:color="auto" w:fill="auto"/>
            <w:vAlign w:val="center"/>
          </w:tcPr>
          <w:p w14:paraId="5E1910F8">
            <w:pPr>
              <w:widowControl/>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1kg/袋</w:t>
            </w:r>
          </w:p>
          <w:p w14:paraId="51036328">
            <w:pPr>
              <w:widowControl/>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固体粉末</w:t>
            </w:r>
          </w:p>
          <w:p w14:paraId="083612D4">
            <w:pPr>
              <w:widowControl/>
              <w:jc w:val="center"/>
              <w:rPr>
                <w:rFonts w:hint="eastAsia" w:asciiTheme="minorEastAsia" w:hAnsiTheme="minorEastAsia" w:eastAsiaTheme="minorEastAsia" w:cstheme="minorEastAsia"/>
                <w:sz w:val="21"/>
                <w:szCs w:val="21"/>
                <w:lang w:val="en-US" w:eastAsia="zh-CN"/>
              </w:rPr>
            </w:pPr>
            <w:r>
              <w:rPr>
                <w:rFonts w:hint="eastAsia" w:ascii="宋体" w:hAnsi="宋体" w:eastAsia="宋体" w:cs="宋体"/>
                <w:color w:val="000000"/>
                <w:kern w:val="0"/>
                <w:sz w:val="21"/>
                <w:szCs w:val="21"/>
              </w:rPr>
              <w:t>★</w:t>
            </w:r>
            <w:r>
              <w:rPr>
                <w:rFonts w:hint="eastAsia" w:asciiTheme="minorEastAsia" w:hAnsiTheme="minorEastAsia" w:eastAsiaTheme="minorEastAsia" w:cstheme="minorEastAsia"/>
                <w:sz w:val="21"/>
                <w:szCs w:val="21"/>
                <w:lang w:val="en-US" w:eastAsia="zh-CN"/>
              </w:rPr>
              <w:t>有效成份含量</w:t>
            </w:r>
            <w:r>
              <w:rPr>
                <w:rFonts w:hint="eastAsia" w:asciiTheme="minorEastAsia" w:hAnsiTheme="minorEastAsia" w:cstheme="minorEastAsia"/>
                <w:sz w:val="21"/>
                <w:szCs w:val="21"/>
                <w:lang w:val="en-US" w:eastAsia="zh-CN"/>
              </w:rPr>
              <w:t>≥</w:t>
            </w:r>
            <w:bookmarkStart w:id="0" w:name="_GoBack"/>
            <w:bookmarkEnd w:id="0"/>
            <w:r>
              <w:rPr>
                <w:rFonts w:hint="eastAsia" w:asciiTheme="minorEastAsia" w:hAnsiTheme="minorEastAsia" w:eastAsiaTheme="minorEastAsia" w:cstheme="minorEastAsia"/>
                <w:sz w:val="21"/>
                <w:szCs w:val="21"/>
                <w:lang w:val="en-US" w:eastAsia="zh-CN"/>
              </w:rPr>
              <w:t>10%</w:t>
            </w:r>
            <w:r>
              <w:rPr>
                <w:rFonts w:hint="eastAsia" w:asciiTheme="minorEastAsia" w:hAnsiTheme="minorEastAsia" w:cstheme="minorEastAsia"/>
                <w:sz w:val="21"/>
                <w:szCs w:val="21"/>
                <w:lang w:val="en-US" w:eastAsia="zh-CN"/>
              </w:rPr>
              <w:t>±1%（二氧化氯丙二酸法）或2.8±0.28%（五步碘法）</w:t>
            </w:r>
          </w:p>
          <w:p w14:paraId="1DF1386F">
            <w:pPr>
              <w:widowControl/>
              <w:jc w:val="center"/>
              <w:rPr>
                <w:rFonts w:hint="default"/>
                <w:lang w:val="en-US" w:eastAsia="zh-CN"/>
              </w:rPr>
            </w:pPr>
            <w:r>
              <w:rPr>
                <w:rFonts w:hint="eastAsia" w:ascii="宋体" w:hAnsi="宋体" w:eastAsia="宋体" w:cs="宋体"/>
                <w:color w:val="000000"/>
                <w:kern w:val="0"/>
                <w:sz w:val="21"/>
                <w:szCs w:val="21"/>
              </w:rPr>
              <w:t>★</w:t>
            </w:r>
            <w:r>
              <w:rPr>
                <w:rFonts w:hint="eastAsia" w:asciiTheme="minorEastAsia" w:hAnsiTheme="minorEastAsia" w:cstheme="minorEastAsia"/>
                <w:sz w:val="21"/>
                <w:szCs w:val="21"/>
                <w:lang w:val="en-US" w:eastAsia="zh-CN"/>
              </w:rPr>
              <w:t>医院污水用</w:t>
            </w:r>
          </w:p>
        </w:tc>
        <w:tc>
          <w:tcPr>
            <w:tcW w:w="1588" w:type="dxa"/>
            <w:shd w:val="clear" w:color="auto" w:fill="auto"/>
            <w:vAlign w:val="center"/>
          </w:tcPr>
          <w:p w14:paraId="0E09C729">
            <w:pPr>
              <w:widowControl/>
              <w:jc w:val="center"/>
              <w:rPr>
                <w:rFonts w:hint="default" w:asciiTheme="minorEastAsia" w:hAnsiTheme="minorEastAsia" w:eastAsiaTheme="minorEastAsia" w:cstheme="minorEastAsia"/>
                <w:color w:val="000000"/>
                <w:kern w:val="0"/>
                <w:sz w:val="21"/>
                <w:szCs w:val="21"/>
                <w:lang w:val="en-US" w:eastAsia="zh-CN"/>
              </w:rPr>
            </w:pPr>
            <w:r>
              <w:rPr>
                <w:rFonts w:hint="eastAsia" w:asciiTheme="minorEastAsia" w:hAnsiTheme="minorEastAsia" w:cstheme="minorEastAsia"/>
                <w:color w:val="000000"/>
                <w:kern w:val="0"/>
                <w:sz w:val="21"/>
                <w:szCs w:val="21"/>
                <w:lang w:val="en-US" w:eastAsia="zh-CN"/>
              </w:rPr>
              <w:t>150KG</w:t>
            </w:r>
          </w:p>
        </w:tc>
        <w:tc>
          <w:tcPr>
            <w:tcW w:w="1909" w:type="dxa"/>
            <w:shd w:val="clear" w:color="auto" w:fill="auto"/>
            <w:vAlign w:val="center"/>
          </w:tcPr>
          <w:p w14:paraId="59D1FFC6">
            <w:pPr>
              <w:widowControl/>
              <w:jc w:val="center"/>
              <w:rPr>
                <w:rFonts w:hint="default" w:asciiTheme="minorEastAsia" w:hAnsiTheme="minorEastAsia" w:cstheme="minorEastAsia"/>
                <w:color w:val="000000"/>
                <w:kern w:val="0"/>
                <w:sz w:val="21"/>
                <w:szCs w:val="21"/>
                <w:lang w:val="en-US" w:eastAsia="zh-CN"/>
              </w:rPr>
            </w:pPr>
            <w:r>
              <w:rPr>
                <w:rFonts w:hint="eastAsia" w:asciiTheme="minorEastAsia" w:hAnsiTheme="minorEastAsia" w:cstheme="minorEastAsia"/>
                <w:color w:val="000000"/>
                <w:kern w:val="0"/>
                <w:sz w:val="21"/>
                <w:szCs w:val="21"/>
                <w:lang w:val="en-US" w:eastAsia="zh-CN"/>
              </w:rPr>
              <w:t>52.00</w:t>
            </w:r>
          </w:p>
        </w:tc>
      </w:tr>
      <w:tr w14:paraId="2A4A8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699" w:type="dxa"/>
            <w:shd w:val="clear" w:color="auto" w:fill="auto"/>
            <w:noWrap/>
            <w:vAlign w:val="center"/>
          </w:tcPr>
          <w:p w14:paraId="5B386F35">
            <w:pPr>
              <w:widowControl/>
              <w:jc w:val="center"/>
              <w:rPr>
                <w:rFonts w:hint="default" w:asciiTheme="minorEastAsia" w:hAnsiTheme="minorEastAsia" w:eastAsiaTheme="minorEastAsia" w:cstheme="minorEastAsia"/>
                <w:color w:val="000000"/>
                <w:kern w:val="0"/>
                <w:sz w:val="21"/>
                <w:szCs w:val="21"/>
                <w:lang w:val="en-US" w:eastAsia="zh-CN"/>
              </w:rPr>
            </w:pPr>
            <w:r>
              <w:rPr>
                <w:rFonts w:hint="eastAsia" w:asciiTheme="minorEastAsia" w:hAnsiTheme="minorEastAsia" w:cstheme="minorEastAsia"/>
                <w:color w:val="000000"/>
                <w:kern w:val="0"/>
                <w:sz w:val="21"/>
                <w:szCs w:val="21"/>
                <w:lang w:val="en-US" w:eastAsia="zh-CN"/>
              </w:rPr>
              <w:t>10</w:t>
            </w:r>
          </w:p>
        </w:tc>
        <w:tc>
          <w:tcPr>
            <w:tcW w:w="1375" w:type="dxa"/>
            <w:shd w:val="clear" w:color="auto" w:fill="auto"/>
            <w:vAlign w:val="center"/>
          </w:tcPr>
          <w:p w14:paraId="01233F56">
            <w:pPr>
              <w:widowControl/>
              <w:jc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二氧化氯消毒剂Ⅱ型A剂</w:t>
            </w:r>
          </w:p>
        </w:tc>
        <w:tc>
          <w:tcPr>
            <w:tcW w:w="3626" w:type="dxa"/>
            <w:shd w:val="clear" w:color="auto" w:fill="auto"/>
            <w:vAlign w:val="center"/>
          </w:tcPr>
          <w:p w14:paraId="7E4BA78F">
            <w:pPr>
              <w:widowControl/>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1kg/袋</w:t>
            </w:r>
          </w:p>
          <w:p w14:paraId="438DD801">
            <w:pPr>
              <w:widowControl/>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固体粉末</w:t>
            </w:r>
          </w:p>
          <w:p w14:paraId="2D829366">
            <w:pPr>
              <w:widowControl/>
              <w:jc w:val="center"/>
              <w:rPr>
                <w:rFonts w:hint="eastAsia" w:asciiTheme="minorEastAsia" w:hAnsiTheme="minorEastAsia" w:eastAsiaTheme="minorEastAsia" w:cstheme="minorEastAsia"/>
                <w:sz w:val="21"/>
                <w:szCs w:val="21"/>
                <w:lang w:val="en-US" w:eastAsia="zh-CN"/>
              </w:rPr>
            </w:pPr>
            <w:r>
              <w:rPr>
                <w:rFonts w:hint="eastAsia" w:ascii="宋体" w:hAnsi="宋体" w:eastAsia="宋体" w:cs="宋体"/>
                <w:color w:val="000000"/>
                <w:kern w:val="0"/>
                <w:sz w:val="21"/>
                <w:szCs w:val="21"/>
              </w:rPr>
              <w:t>★</w:t>
            </w:r>
            <w:r>
              <w:rPr>
                <w:rFonts w:hint="eastAsia" w:asciiTheme="minorEastAsia" w:hAnsiTheme="minorEastAsia" w:eastAsiaTheme="minorEastAsia" w:cstheme="minorEastAsia"/>
                <w:sz w:val="21"/>
                <w:szCs w:val="21"/>
                <w:lang w:val="en-US" w:eastAsia="zh-CN"/>
              </w:rPr>
              <w:t>二氧化氯含量，</w:t>
            </w:r>
            <w:r>
              <w:rPr>
                <w:rFonts w:hint="eastAsia" w:asciiTheme="minorEastAsia" w:hAnsiTheme="minorEastAsia" w:cstheme="minorEastAsia"/>
                <w:sz w:val="21"/>
                <w:szCs w:val="21"/>
                <w:lang w:val="en-US" w:eastAsia="zh-CN"/>
              </w:rPr>
              <w:t>48</w:t>
            </w:r>
            <w:r>
              <w:rPr>
                <w:rFonts w:hint="eastAsia" w:asciiTheme="minorEastAsia" w:hAnsiTheme="minorEastAsia" w:eastAsiaTheme="minorEastAsia" w:cstheme="minorEastAsia"/>
                <w:sz w:val="21"/>
                <w:szCs w:val="21"/>
                <w:lang w:val="en-US" w:eastAsia="zh-CN"/>
              </w:rPr>
              <w:t>%±</w:t>
            </w:r>
            <w:r>
              <w:rPr>
                <w:rFonts w:hint="eastAsia" w:asciiTheme="minorEastAsia" w:hAnsiTheme="minorEastAsia" w:cstheme="minorEastAsia"/>
                <w:sz w:val="21"/>
                <w:szCs w:val="21"/>
                <w:lang w:val="en-US" w:eastAsia="zh-CN"/>
              </w:rPr>
              <w:t>4.8</w:t>
            </w:r>
            <w:r>
              <w:rPr>
                <w:rFonts w:hint="eastAsia" w:asciiTheme="minorEastAsia" w:hAnsiTheme="minorEastAsia" w:eastAsiaTheme="minorEastAsia" w:cstheme="minorEastAsia"/>
                <w:sz w:val="21"/>
                <w:szCs w:val="21"/>
                <w:lang w:val="en-US" w:eastAsia="zh-CN"/>
              </w:rPr>
              <w:t>%</w:t>
            </w:r>
            <w:r>
              <w:rPr>
                <w:rFonts w:hint="eastAsia" w:asciiTheme="minorEastAsia" w:hAnsiTheme="minorEastAsia" w:cstheme="minorEastAsia"/>
                <w:sz w:val="21"/>
                <w:szCs w:val="21"/>
                <w:lang w:val="en-US" w:eastAsia="zh-CN"/>
              </w:rPr>
              <w:t>（二氧化氯丙二酸法）或9±0.9%（五步碘法）</w:t>
            </w:r>
          </w:p>
          <w:p w14:paraId="1034E858">
            <w:pPr>
              <w:widowControl/>
              <w:jc w:val="center"/>
              <w:rPr>
                <w:rFonts w:hint="default" w:eastAsia="宋体" w:asciiTheme="minorEastAsia" w:hAnsiTheme="minorEastAsia" w:cstheme="minorEastAsia"/>
                <w:sz w:val="21"/>
                <w:szCs w:val="21"/>
                <w:lang w:val="en-US" w:eastAsia="zh-CN"/>
              </w:rPr>
            </w:pPr>
            <w:r>
              <w:rPr>
                <w:rFonts w:hint="eastAsia" w:ascii="宋体" w:hAnsi="宋体" w:eastAsia="宋体" w:cs="宋体"/>
                <w:color w:val="000000"/>
                <w:kern w:val="0"/>
                <w:sz w:val="21"/>
                <w:szCs w:val="21"/>
              </w:rPr>
              <w:t>★</w:t>
            </w:r>
            <w:r>
              <w:rPr>
                <w:rFonts w:hint="eastAsia" w:ascii="宋体" w:hAnsi="宋体" w:eastAsia="宋体" w:cs="宋体"/>
                <w:color w:val="000000"/>
                <w:kern w:val="0"/>
                <w:sz w:val="21"/>
                <w:szCs w:val="21"/>
                <w:lang w:val="en-US" w:eastAsia="zh-CN"/>
              </w:rPr>
              <w:t>医院污水用</w:t>
            </w:r>
          </w:p>
        </w:tc>
        <w:tc>
          <w:tcPr>
            <w:tcW w:w="1588" w:type="dxa"/>
            <w:shd w:val="clear" w:color="auto" w:fill="auto"/>
            <w:vAlign w:val="center"/>
          </w:tcPr>
          <w:p w14:paraId="735D8278">
            <w:pPr>
              <w:widowControl/>
              <w:jc w:val="center"/>
              <w:rPr>
                <w:rFonts w:hint="default" w:asciiTheme="minorEastAsia" w:hAnsiTheme="minorEastAsia" w:eastAsiaTheme="minorEastAsia" w:cstheme="minorEastAsia"/>
                <w:color w:val="000000"/>
                <w:kern w:val="0"/>
                <w:sz w:val="21"/>
                <w:szCs w:val="21"/>
                <w:lang w:val="en-US" w:eastAsia="zh-CN"/>
              </w:rPr>
            </w:pPr>
            <w:r>
              <w:rPr>
                <w:rFonts w:hint="eastAsia" w:asciiTheme="minorEastAsia" w:hAnsiTheme="minorEastAsia" w:cstheme="minorEastAsia"/>
                <w:color w:val="000000"/>
                <w:kern w:val="0"/>
                <w:sz w:val="21"/>
                <w:szCs w:val="21"/>
                <w:lang w:val="en-US" w:eastAsia="zh-CN"/>
              </w:rPr>
              <w:t>150KG</w:t>
            </w:r>
          </w:p>
        </w:tc>
        <w:tc>
          <w:tcPr>
            <w:tcW w:w="1909" w:type="dxa"/>
            <w:shd w:val="clear" w:color="auto" w:fill="auto"/>
            <w:vAlign w:val="center"/>
          </w:tcPr>
          <w:p w14:paraId="259C9B61">
            <w:pPr>
              <w:widowControl/>
              <w:jc w:val="center"/>
              <w:rPr>
                <w:rFonts w:hint="default" w:asciiTheme="minorEastAsia" w:hAnsiTheme="minorEastAsia" w:cstheme="minorEastAsia"/>
                <w:color w:val="000000"/>
                <w:kern w:val="0"/>
                <w:sz w:val="21"/>
                <w:szCs w:val="21"/>
                <w:lang w:val="en-US" w:eastAsia="zh-CN"/>
              </w:rPr>
            </w:pPr>
            <w:r>
              <w:rPr>
                <w:rFonts w:hint="eastAsia" w:asciiTheme="minorEastAsia" w:hAnsiTheme="minorEastAsia" w:cstheme="minorEastAsia"/>
                <w:color w:val="000000"/>
                <w:kern w:val="0"/>
                <w:sz w:val="21"/>
                <w:szCs w:val="21"/>
                <w:lang w:val="en-US" w:eastAsia="zh-CN"/>
              </w:rPr>
              <w:t>48.00</w:t>
            </w:r>
          </w:p>
        </w:tc>
      </w:tr>
      <w:tr w14:paraId="3FE96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699" w:type="dxa"/>
            <w:shd w:val="clear" w:color="auto" w:fill="auto"/>
            <w:noWrap/>
            <w:vAlign w:val="center"/>
          </w:tcPr>
          <w:p w14:paraId="2489E29C">
            <w:pPr>
              <w:widowControl/>
              <w:jc w:val="center"/>
              <w:rPr>
                <w:rFonts w:hint="default" w:asciiTheme="minorEastAsia" w:hAnsiTheme="minorEastAsia" w:eastAsiaTheme="minorEastAsia" w:cstheme="minorEastAsia"/>
                <w:color w:val="000000"/>
                <w:kern w:val="0"/>
                <w:sz w:val="21"/>
                <w:szCs w:val="21"/>
                <w:lang w:val="en-US" w:eastAsia="zh-CN"/>
              </w:rPr>
            </w:pPr>
            <w:r>
              <w:rPr>
                <w:rFonts w:hint="eastAsia" w:asciiTheme="minorEastAsia" w:hAnsiTheme="minorEastAsia" w:cstheme="minorEastAsia"/>
                <w:color w:val="000000"/>
                <w:kern w:val="0"/>
                <w:sz w:val="21"/>
                <w:szCs w:val="21"/>
                <w:lang w:val="en-US" w:eastAsia="zh-CN"/>
              </w:rPr>
              <w:t>11</w:t>
            </w:r>
          </w:p>
        </w:tc>
        <w:tc>
          <w:tcPr>
            <w:tcW w:w="1375" w:type="dxa"/>
            <w:shd w:val="clear" w:color="auto" w:fill="auto"/>
            <w:vAlign w:val="center"/>
          </w:tcPr>
          <w:p w14:paraId="0FAF11B2">
            <w:pPr>
              <w:widowControl/>
              <w:jc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二氧化氯消毒剂Ⅱ型B剂</w:t>
            </w:r>
          </w:p>
        </w:tc>
        <w:tc>
          <w:tcPr>
            <w:tcW w:w="3626" w:type="dxa"/>
            <w:shd w:val="clear" w:color="auto" w:fill="auto"/>
            <w:vAlign w:val="center"/>
          </w:tcPr>
          <w:p w14:paraId="47EE0DC3">
            <w:pPr>
              <w:widowControl/>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1kg/袋</w:t>
            </w:r>
          </w:p>
          <w:p w14:paraId="20A5E42B">
            <w:pPr>
              <w:widowControl/>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固体粉末</w:t>
            </w:r>
          </w:p>
          <w:p w14:paraId="23E60BAF">
            <w:pPr>
              <w:widowControl/>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A剂配套活化剂</w:t>
            </w:r>
          </w:p>
          <w:p w14:paraId="0321C28B">
            <w:pPr>
              <w:widowControl/>
              <w:jc w:val="center"/>
              <w:rPr>
                <w:rFonts w:hint="eastAsia"/>
                <w:lang w:val="en-US" w:eastAsia="zh-CN"/>
              </w:rPr>
            </w:pPr>
            <w:r>
              <w:rPr>
                <w:rFonts w:hint="eastAsia" w:ascii="宋体" w:hAnsi="宋体" w:eastAsia="宋体" w:cs="宋体"/>
                <w:color w:val="000000"/>
                <w:kern w:val="0"/>
                <w:sz w:val="21"/>
                <w:szCs w:val="21"/>
              </w:rPr>
              <w:t>★</w:t>
            </w:r>
            <w:r>
              <w:rPr>
                <w:rFonts w:hint="eastAsia" w:ascii="宋体" w:hAnsi="宋体" w:eastAsia="宋体" w:cs="宋体"/>
                <w:color w:val="000000"/>
                <w:kern w:val="0"/>
                <w:sz w:val="21"/>
                <w:szCs w:val="21"/>
                <w:lang w:val="en-US" w:eastAsia="zh-CN"/>
              </w:rPr>
              <w:t>医院污水用</w:t>
            </w:r>
          </w:p>
        </w:tc>
        <w:tc>
          <w:tcPr>
            <w:tcW w:w="1588" w:type="dxa"/>
            <w:shd w:val="clear" w:color="auto" w:fill="auto"/>
            <w:vAlign w:val="center"/>
          </w:tcPr>
          <w:p w14:paraId="4B6F17D9">
            <w:pPr>
              <w:widowControl/>
              <w:jc w:val="center"/>
              <w:rPr>
                <w:rFonts w:hint="default" w:asciiTheme="minorEastAsia" w:hAnsiTheme="minorEastAsia" w:eastAsiaTheme="minorEastAsia" w:cstheme="minorEastAsia"/>
                <w:color w:val="000000"/>
                <w:kern w:val="0"/>
                <w:sz w:val="21"/>
                <w:szCs w:val="21"/>
                <w:lang w:val="en-US" w:eastAsia="zh-CN"/>
              </w:rPr>
            </w:pPr>
            <w:r>
              <w:rPr>
                <w:rFonts w:hint="eastAsia" w:asciiTheme="minorEastAsia" w:hAnsiTheme="minorEastAsia" w:cstheme="minorEastAsia"/>
                <w:color w:val="000000"/>
                <w:kern w:val="0"/>
                <w:sz w:val="21"/>
                <w:szCs w:val="21"/>
                <w:lang w:val="en-US" w:eastAsia="zh-CN"/>
              </w:rPr>
              <w:t>150KG</w:t>
            </w:r>
          </w:p>
        </w:tc>
        <w:tc>
          <w:tcPr>
            <w:tcW w:w="1909" w:type="dxa"/>
            <w:shd w:val="clear" w:color="auto" w:fill="auto"/>
            <w:vAlign w:val="center"/>
          </w:tcPr>
          <w:p w14:paraId="303D57E1">
            <w:pPr>
              <w:widowControl/>
              <w:jc w:val="center"/>
              <w:rPr>
                <w:rFonts w:hint="default" w:asciiTheme="minorEastAsia" w:hAnsiTheme="minorEastAsia" w:cstheme="minorEastAsia"/>
                <w:color w:val="000000"/>
                <w:kern w:val="0"/>
                <w:sz w:val="21"/>
                <w:szCs w:val="21"/>
                <w:lang w:val="en-US" w:eastAsia="zh-CN"/>
              </w:rPr>
            </w:pPr>
            <w:r>
              <w:rPr>
                <w:rFonts w:hint="eastAsia" w:asciiTheme="minorEastAsia" w:hAnsiTheme="minorEastAsia" w:cstheme="minorEastAsia"/>
                <w:color w:val="000000"/>
                <w:kern w:val="0"/>
                <w:sz w:val="21"/>
                <w:szCs w:val="21"/>
                <w:lang w:val="en-US" w:eastAsia="zh-CN"/>
              </w:rPr>
              <w:t>48.00</w:t>
            </w:r>
          </w:p>
        </w:tc>
      </w:tr>
    </w:tbl>
    <w:p w14:paraId="3E084802">
      <w:pPr>
        <w:pStyle w:val="12"/>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备注：1、全年预估用量仅为参考用量，非实际用量。</w:t>
      </w:r>
    </w:p>
    <w:p w14:paraId="0462D4AC">
      <w:pPr>
        <w:pStyle w:val="1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720" w:firstLineChars="300"/>
        <w:textAlignment w:val="auto"/>
        <w:rPr>
          <w:rFonts w:hint="eastAsia" w:asciiTheme="minorEastAsia" w:hAnsiTheme="minorEastAsia" w:eastAsiaTheme="minorEastAsia" w:cstheme="minorEastAsia"/>
          <w:sz w:val="24"/>
          <w:szCs w:val="24"/>
          <w:lang w:val="en-US" w:eastAsia="zh-CN"/>
        </w:rPr>
      </w:pPr>
      <w:r>
        <w:rPr>
          <w:rFonts w:hint="eastAsia" w:ascii="宋体" w:hAnsi="宋体" w:eastAsia="宋体" w:cs="宋体"/>
          <w:kern w:val="2"/>
          <w:sz w:val="24"/>
          <w:szCs w:val="24"/>
          <w:lang w:val="en-US" w:eastAsia="zh-CN" w:bidi="ar-SA"/>
        </w:rPr>
        <w:t>★</w:t>
      </w:r>
      <w:r>
        <w:rPr>
          <w:rFonts w:hint="eastAsia" w:asciiTheme="minorEastAsia" w:hAnsiTheme="minorEastAsia" w:eastAsiaTheme="minorEastAsia" w:cstheme="minorEastAsia"/>
          <w:kern w:val="2"/>
          <w:sz w:val="24"/>
          <w:szCs w:val="24"/>
          <w:lang w:val="en-US" w:eastAsia="zh-CN" w:bidi="ar-SA"/>
        </w:rPr>
        <w:t>2、</w:t>
      </w:r>
      <w:r>
        <w:rPr>
          <w:rFonts w:hint="eastAsia" w:asciiTheme="minorEastAsia" w:hAnsiTheme="minorEastAsia" w:eastAsiaTheme="minorEastAsia" w:cstheme="minorEastAsia"/>
          <w:sz w:val="24"/>
          <w:szCs w:val="24"/>
          <w:lang w:val="en-US" w:eastAsia="zh-CN"/>
        </w:rPr>
        <w:t>需提供上述表格内物品的检验报告。</w:t>
      </w:r>
    </w:p>
    <w:p w14:paraId="70DF8CF4">
      <w:pPr>
        <w:keepNext w:val="0"/>
        <w:keepLines w:val="0"/>
        <w:pageBreakBefore w:val="0"/>
        <w:kinsoku/>
        <w:wordWrap/>
        <w:overflowPunct/>
        <w:topLinePunct w:val="0"/>
        <w:autoSpaceDE/>
        <w:autoSpaceDN/>
        <w:bidi w:val="0"/>
        <w:adjustRightInd/>
        <w:snapToGrid/>
        <w:spacing w:line="360" w:lineRule="auto"/>
        <w:textAlignment w:val="auto"/>
        <w:rPr>
          <w:b/>
          <w:sz w:val="24"/>
          <w:szCs w:val="24"/>
        </w:rPr>
      </w:pPr>
      <w:r>
        <w:rPr>
          <w:rFonts w:hint="eastAsia"/>
          <w:b/>
          <w:sz w:val="24"/>
          <w:szCs w:val="24"/>
          <w:lang w:val="en-US" w:eastAsia="zh-CN"/>
        </w:rPr>
        <w:t>三</w:t>
      </w:r>
      <w:r>
        <w:rPr>
          <w:rFonts w:hint="eastAsia"/>
          <w:b/>
          <w:sz w:val="24"/>
          <w:szCs w:val="24"/>
        </w:rPr>
        <w:t>、包装、装卸、运输、保管及保险</w:t>
      </w:r>
    </w:p>
    <w:p w14:paraId="607DC86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szCs w:val="24"/>
        </w:rPr>
      </w:pPr>
      <w:r>
        <w:rPr>
          <w:rFonts w:hint="eastAsia" w:ascii="宋体" w:hAnsi="宋体" w:cs="宋体"/>
          <w:sz w:val="24"/>
          <w:szCs w:val="24"/>
        </w:rPr>
        <w:t>1、成交供应商所供货物包装质量必须符合国家相关标准，货物的包装均应有良好的防锈、防腐</w:t>
      </w:r>
      <w:r>
        <w:rPr>
          <w:rFonts w:hint="eastAsia" w:ascii="宋体" w:hAnsi="宋体" w:cs="宋体"/>
          <w:sz w:val="24"/>
          <w:szCs w:val="24"/>
          <w:lang w:eastAsia="zh-CN"/>
        </w:rPr>
        <w:t>、</w:t>
      </w:r>
      <w:r>
        <w:rPr>
          <w:rFonts w:hint="eastAsia" w:ascii="宋体" w:hAnsi="宋体" w:cs="宋体"/>
          <w:sz w:val="24"/>
          <w:szCs w:val="24"/>
          <w:lang w:val="en-US" w:eastAsia="zh-CN"/>
        </w:rPr>
        <w:t>防水</w:t>
      </w:r>
      <w:r>
        <w:rPr>
          <w:rFonts w:hint="eastAsia" w:ascii="宋体" w:hAnsi="宋体" w:cs="宋体"/>
          <w:sz w:val="24"/>
          <w:szCs w:val="24"/>
        </w:rPr>
        <w:t>的措施，货物要求有包装保护运至现场。凡由于包装不良造成的损失和由此产生的费用均由成交供应商承担。</w:t>
      </w:r>
    </w:p>
    <w:p w14:paraId="659CE73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rPr>
      </w:pPr>
      <w:r>
        <w:rPr>
          <w:rFonts w:hint="eastAsia" w:ascii="宋体" w:hAnsi="宋体" w:cs="宋体"/>
          <w:sz w:val="24"/>
          <w:szCs w:val="24"/>
        </w:rPr>
        <w:t>2、成交供应商负责根据用户指定的地点，将货物送到现场过程中的全部运输，包括装卸车、货物现场的搬运，由此产生的费用均由成交供应商承担。</w:t>
      </w:r>
    </w:p>
    <w:p w14:paraId="6E0C040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sz w:val="24"/>
          <w:szCs w:val="24"/>
          <w:lang w:val="en-US" w:eastAsia="zh-CN"/>
        </w:rPr>
      </w:pPr>
      <w:r>
        <w:rPr>
          <w:rFonts w:hint="eastAsia"/>
          <w:sz w:val="24"/>
          <w:szCs w:val="24"/>
          <w:lang w:val="en-US" w:eastAsia="zh-CN"/>
        </w:rPr>
        <w:t>3、成交供应商须指定一名固定项目负责人，配备固定的运输司机及车辆，熟悉采购人的送货地点。</w:t>
      </w:r>
    </w:p>
    <w:p w14:paraId="7CE5258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szCs w:val="24"/>
        </w:rPr>
      </w:pPr>
      <w:r>
        <w:rPr>
          <w:rFonts w:hint="eastAsia" w:ascii="宋体" w:hAnsi="宋体" w:cs="宋体"/>
          <w:sz w:val="24"/>
          <w:szCs w:val="24"/>
          <w:lang w:val="en-US" w:eastAsia="zh-CN"/>
        </w:rPr>
        <w:t>4</w:t>
      </w:r>
      <w:r>
        <w:rPr>
          <w:rFonts w:hint="eastAsia" w:ascii="宋体" w:hAnsi="宋体" w:cs="宋体"/>
          <w:sz w:val="24"/>
          <w:szCs w:val="24"/>
        </w:rPr>
        <w:t>、如货物运输过程中因事故造成货物短缺、损坏，成交供应商应及时安排换货，以保证合同货物及时交付，换货的相关费用由成交供应商承担。</w:t>
      </w:r>
    </w:p>
    <w:p w14:paraId="0A56A7F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szCs w:val="24"/>
        </w:rPr>
      </w:pPr>
      <w:r>
        <w:rPr>
          <w:rFonts w:hint="eastAsia" w:ascii="宋体" w:hAnsi="宋体" w:cs="宋体"/>
          <w:sz w:val="24"/>
          <w:szCs w:val="24"/>
          <w:lang w:val="en-US" w:eastAsia="zh-CN"/>
        </w:rPr>
        <w:t>5</w:t>
      </w:r>
      <w:r>
        <w:rPr>
          <w:rFonts w:hint="eastAsia" w:ascii="宋体" w:hAnsi="宋体" w:cs="宋体"/>
          <w:sz w:val="24"/>
          <w:szCs w:val="24"/>
        </w:rPr>
        <w:t>、货物的质量保险由成交供应商负责，成交供应商负责其派出的现场服务人员人身意外保险。</w:t>
      </w:r>
    </w:p>
    <w:p w14:paraId="0F9B8F75">
      <w:pPr>
        <w:keepNext w:val="0"/>
        <w:keepLines w:val="0"/>
        <w:pageBreakBefore w:val="0"/>
        <w:kinsoku/>
        <w:wordWrap/>
        <w:overflowPunct/>
        <w:topLinePunct w:val="0"/>
        <w:autoSpaceDE/>
        <w:autoSpaceDN/>
        <w:bidi w:val="0"/>
        <w:adjustRightInd/>
        <w:snapToGrid/>
        <w:spacing w:line="360" w:lineRule="auto"/>
        <w:textAlignment w:val="auto"/>
        <w:rPr>
          <w:b/>
          <w:sz w:val="24"/>
          <w:szCs w:val="24"/>
        </w:rPr>
      </w:pPr>
      <w:r>
        <w:rPr>
          <w:rFonts w:hint="eastAsia"/>
          <w:b/>
          <w:sz w:val="24"/>
          <w:szCs w:val="24"/>
          <w:lang w:val="en-US" w:eastAsia="zh-CN"/>
        </w:rPr>
        <w:t>四</w:t>
      </w:r>
      <w:r>
        <w:rPr>
          <w:rFonts w:hint="eastAsia"/>
          <w:b/>
          <w:sz w:val="24"/>
          <w:szCs w:val="24"/>
        </w:rPr>
        <w:t>、验收</w:t>
      </w:r>
    </w:p>
    <w:p w14:paraId="54BE9923">
      <w:pPr>
        <w:pStyle w:val="12"/>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sz w:val="24"/>
          <w:szCs w:val="24"/>
        </w:rPr>
      </w:pPr>
      <w:r>
        <w:rPr>
          <w:rFonts w:hint="default" w:asciiTheme="minorHAnsi" w:hAnsiTheme="minorHAnsi" w:eastAsiaTheme="minorEastAsia" w:cstheme="minorBidi"/>
          <w:kern w:val="2"/>
          <w:sz w:val="24"/>
          <w:szCs w:val="24"/>
          <w:lang w:val="en-US" w:eastAsia="zh-CN" w:bidi="ar-SA"/>
        </w:rPr>
        <w:t>1、</w:t>
      </w:r>
      <w:r>
        <w:rPr>
          <w:rFonts w:hint="eastAsia"/>
          <w:sz w:val="24"/>
          <w:szCs w:val="24"/>
        </w:rPr>
        <w:t>成交供应商将货物送货至采购人指定地点后，由采购人按照采购合同、采购文件要求和响应文件承诺进行核对，根据国家相关法律法规，对货物的规格参数和质量标准进行检查验收。</w:t>
      </w:r>
    </w:p>
    <w:p w14:paraId="7C63D655">
      <w:pPr>
        <w:pStyle w:val="12"/>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sz w:val="24"/>
          <w:szCs w:val="24"/>
        </w:rPr>
      </w:pPr>
      <w:r>
        <w:rPr>
          <w:rFonts w:hint="default" w:asciiTheme="minorHAnsi" w:hAnsiTheme="minorHAnsi" w:eastAsiaTheme="minorEastAsia" w:cstheme="minorBidi"/>
          <w:kern w:val="2"/>
          <w:sz w:val="24"/>
          <w:szCs w:val="24"/>
          <w:lang w:val="en-US" w:eastAsia="zh-CN" w:bidi="ar-SA"/>
        </w:rPr>
        <w:t>2、</w:t>
      </w:r>
      <w:r>
        <w:rPr>
          <w:rFonts w:hint="eastAsia"/>
          <w:sz w:val="24"/>
          <w:szCs w:val="24"/>
        </w:rPr>
        <w:t>货物在验收过程中发现所交付的货物有短缺、次品、损坏或其他不符合磋</w:t>
      </w:r>
      <w:r>
        <w:rPr>
          <w:rFonts w:hint="eastAsia"/>
          <w:sz w:val="24"/>
          <w:szCs w:val="24"/>
          <w:lang w:val="en-US" w:eastAsia="zh-CN"/>
        </w:rPr>
        <w:t>需求</w:t>
      </w:r>
      <w:r>
        <w:rPr>
          <w:rFonts w:hint="eastAsia"/>
          <w:sz w:val="24"/>
          <w:szCs w:val="24"/>
        </w:rPr>
        <w:t>文件、合同规定之情形者，采购人有权拒付该批物品的费用，并由成交供应商承担由此发生的一切费用和损失。</w:t>
      </w:r>
    </w:p>
    <w:p w14:paraId="063E2F5A">
      <w:pPr>
        <w:pStyle w:val="12"/>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sz w:val="24"/>
          <w:szCs w:val="24"/>
        </w:rPr>
      </w:pPr>
      <w:r>
        <w:rPr>
          <w:rFonts w:hint="default" w:asciiTheme="minorHAnsi" w:hAnsiTheme="minorHAnsi" w:eastAsiaTheme="minorEastAsia" w:cstheme="minorBidi"/>
          <w:kern w:val="2"/>
          <w:sz w:val="24"/>
          <w:szCs w:val="24"/>
          <w:lang w:val="en-US" w:eastAsia="zh-CN" w:bidi="ar-SA"/>
        </w:rPr>
        <w:t>3、</w:t>
      </w:r>
      <w:r>
        <w:rPr>
          <w:rFonts w:hint="eastAsia"/>
          <w:sz w:val="24"/>
          <w:szCs w:val="24"/>
        </w:rPr>
        <w:t>所有货物在使用过程中发现以次充好或使用假冒伪劣产品的，成交供应商除无条件更换货物</w:t>
      </w:r>
      <w:r>
        <w:rPr>
          <w:rFonts w:hint="eastAsia"/>
          <w:sz w:val="24"/>
          <w:szCs w:val="24"/>
          <w:lang w:val="en-US" w:eastAsia="zh-CN"/>
        </w:rPr>
        <w:t>并按假一赔三进行赔偿</w:t>
      </w:r>
      <w:r>
        <w:rPr>
          <w:rFonts w:hint="eastAsia"/>
          <w:sz w:val="24"/>
          <w:szCs w:val="24"/>
        </w:rPr>
        <w:t>。此种情况超过2次或以上的，履约保证金不予以退还，采购人有权单方终止合同。</w:t>
      </w:r>
    </w:p>
    <w:p w14:paraId="160F19DD">
      <w:pPr>
        <w:keepNext w:val="0"/>
        <w:keepLines w:val="0"/>
        <w:pageBreakBefore w:val="0"/>
        <w:kinsoku/>
        <w:wordWrap/>
        <w:overflowPunct/>
        <w:topLinePunct w:val="0"/>
        <w:autoSpaceDE/>
        <w:autoSpaceDN/>
        <w:bidi w:val="0"/>
        <w:adjustRightInd/>
        <w:snapToGrid/>
        <w:spacing w:line="360" w:lineRule="auto"/>
        <w:textAlignment w:val="auto"/>
        <w:rPr>
          <w:b/>
          <w:sz w:val="24"/>
          <w:szCs w:val="24"/>
        </w:rPr>
      </w:pPr>
      <w:r>
        <w:rPr>
          <w:rFonts w:hint="eastAsia"/>
          <w:b/>
          <w:sz w:val="24"/>
          <w:szCs w:val="24"/>
          <w:lang w:val="en-US" w:eastAsia="zh-CN"/>
        </w:rPr>
        <w:t>五</w:t>
      </w:r>
      <w:r>
        <w:rPr>
          <w:rFonts w:hint="eastAsia"/>
          <w:b/>
          <w:sz w:val="24"/>
          <w:szCs w:val="24"/>
        </w:rPr>
        <w:t>、投标报价要求</w:t>
      </w:r>
    </w:p>
    <w:p w14:paraId="6364BAF2">
      <w:pPr>
        <w:pStyle w:val="12"/>
        <w:keepNext w:val="0"/>
        <w:keepLines w:val="0"/>
        <w:pageBreakBefore w:val="0"/>
        <w:numPr>
          <w:ilvl w:val="0"/>
          <w:numId w:val="2"/>
        </w:numPr>
        <w:kinsoku/>
        <w:wordWrap/>
        <w:overflowPunct/>
        <w:topLinePunct w:val="0"/>
        <w:autoSpaceDE/>
        <w:autoSpaceDN/>
        <w:bidi w:val="0"/>
        <w:adjustRightInd/>
        <w:snapToGrid/>
        <w:spacing w:line="360" w:lineRule="auto"/>
        <w:ind w:left="0" w:firstLine="420"/>
        <w:textAlignment w:val="auto"/>
        <w:rPr>
          <w:rFonts w:asciiTheme="minorEastAsia" w:hAnsiTheme="minorEastAsia"/>
          <w:sz w:val="24"/>
          <w:szCs w:val="24"/>
        </w:rPr>
      </w:pPr>
      <w:r>
        <w:rPr>
          <w:rFonts w:hint="eastAsia" w:asciiTheme="minorEastAsia" w:hAnsiTheme="minorEastAsia"/>
          <w:sz w:val="24"/>
          <w:szCs w:val="24"/>
        </w:rPr>
        <w:t>★供应商对采购物品的单价报出统一的投标下浮率，下浮率在0%（含本数）-100%（含本数）范围内取值，若报价超出此范围则投标无效。</w:t>
      </w:r>
    </w:p>
    <w:p w14:paraId="06364EDB">
      <w:pPr>
        <w:pStyle w:val="12"/>
        <w:keepNext w:val="0"/>
        <w:keepLines w:val="0"/>
        <w:pageBreakBefore w:val="0"/>
        <w:numPr>
          <w:ilvl w:val="0"/>
          <w:numId w:val="2"/>
        </w:numPr>
        <w:kinsoku/>
        <w:wordWrap/>
        <w:overflowPunct/>
        <w:topLinePunct w:val="0"/>
        <w:autoSpaceDE/>
        <w:autoSpaceDN/>
        <w:bidi w:val="0"/>
        <w:adjustRightInd/>
        <w:snapToGrid/>
        <w:spacing w:line="360" w:lineRule="auto"/>
        <w:ind w:left="0" w:firstLine="420"/>
        <w:textAlignment w:val="auto"/>
        <w:rPr>
          <w:sz w:val="24"/>
          <w:szCs w:val="24"/>
        </w:rPr>
      </w:pPr>
      <w:r>
        <w:rPr>
          <w:rFonts w:hint="eastAsia"/>
          <w:sz w:val="24"/>
          <w:szCs w:val="24"/>
        </w:rPr>
        <w:t>供应商报价应为人民币含税全包价，包含货物、包装费、运杂费、保险费、卸车费、配合费、检测费、配送费、税金及供应商认为需要的所有费用，采购人不再单独支付其他费用。</w:t>
      </w:r>
    </w:p>
    <w:p w14:paraId="5A82CC17">
      <w:pPr>
        <w:pStyle w:val="12"/>
        <w:keepNext w:val="0"/>
        <w:keepLines w:val="0"/>
        <w:pageBreakBefore w:val="0"/>
        <w:numPr>
          <w:ilvl w:val="0"/>
          <w:numId w:val="2"/>
        </w:numPr>
        <w:kinsoku/>
        <w:wordWrap/>
        <w:overflowPunct/>
        <w:topLinePunct w:val="0"/>
        <w:autoSpaceDE/>
        <w:autoSpaceDN/>
        <w:bidi w:val="0"/>
        <w:adjustRightInd/>
        <w:snapToGrid/>
        <w:spacing w:line="360" w:lineRule="auto"/>
        <w:ind w:left="0" w:firstLine="420"/>
        <w:textAlignment w:val="auto"/>
        <w:rPr>
          <w:sz w:val="24"/>
          <w:szCs w:val="24"/>
        </w:rPr>
      </w:pPr>
      <w:r>
        <w:rPr>
          <w:rFonts w:hint="eastAsia" w:asciiTheme="minorEastAsia" w:hAnsiTheme="minorEastAsia"/>
          <w:sz w:val="24"/>
          <w:szCs w:val="24"/>
        </w:rPr>
        <w:t>★协议供货期间的价格：各类货物实际供货价=单价上限值×（1-投标下浮率）。在合同期内，</w:t>
      </w:r>
      <w:r>
        <w:rPr>
          <w:rFonts w:hint="eastAsia" w:ascii="宋体" w:hAnsi="宋体" w:cs="宋体"/>
          <w:bCs/>
          <w:sz w:val="24"/>
          <w:szCs w:val="24"/>
        </w:rPr>
        <w:t>成交价即是合同期间的最终价格，</w:t>
      </w:r>
      <w:r>
        <w:rPr>
          <w:rFonts w:hint="eastAsia" w:asciiTheme="minorEastAsia" w:hAnsiTheme="minorEastAsia"/>
          <w:sz w:val="24"/>
          <w:szCs w:val="24"/>
        </w:rPr>
        <w:t>成交价（1-下浮率）不再随着市场同类商品市场价格的调整而进行调整。</w:t>
      </w:r>
    </w:p>
    <w:p w14:paraId="381FBD24">
      <w:pPr>
        <w:keepNext w:val="0"/>
        <w:keepLines w:val="0"/>
        <w:pageBreakBefore w:val="0"/>
        <w:kinsoku/>
        <w:wordWrap/>
        <w:overflowPunct/>
        <w:topLinePunct w:val="0"/>
        <w:autoSpaceDE/>
        <w:autoSpaceDN/>
        <w:bidi w:val="0"/>
        <w:adjustRightInd/>
        <w:snapToGrid/>
        <w:spacing w:line="360" w:lineRule="auto"/>
        <w:textAlignment w:val="auto"/>
        <w:rPr>
          <w:rFonts w:asciiTheme="minorEastAsia" w:hAnsiTheme="minorEastAsia"/>
          <w:b/>
          <w:sz w:val="24"/>
          <w:szCs w:val="24"/>
        </w:rPr>
      </w:pPr>
      <w:r>
        <w:rPr>
          <w:rFonts w:hint="eastAsia" w:asciiTheme="minorEastAsia" w:hAnsiTheme="minorEastAsia"/>
          <w:b/>
          <w:sz w:val="24"/>
          <w:szCs w:val="24"/>
          <w:lang w:val="en-US" w:eastAsia="zh-CN"/>
        </w:rPr>
        <w:t>六</w:t>
      </w:r>
      <w:r>
        <w:rPr>
          <w:rFonts w:hint="eastAsia" w:asciiTheme="minorEastAsia" w:hAnsiTheme="minorEastAsia"/>
          <w:b/>
          <w:sz w:val="24"/>
          <w:szCs w:val="24"/>
        </w:rPr>
        <w:t>、交货方式及交货地点</w:t>
      </w:r>
    </w:p>
    <w:p w14:paraId="48AC0E6B">
      <w:pPr>
        <w:pStyle w:val="12"/>
        <w:keepNext w:val="0"/>
        <w:keepLines w:val="0"/>
        <w:pageBreakBefore w:val="0"/>
        <w:numPr>
          <w:ilvl w:val="0"/>
          <w:numId w:val="3"/>
        </w:numPr>
        <w:kinsoku/>
        <w:wordWrap/>
        <w:overflowPunct/>
        <w:topLinePunct w:val="0"/>
        <w:autoSpaceDE/>
        <w:autoSpaceDN/>
        <w:bidi w:val="0"/>
        <w:adjustRightInd/>
        <w:snapToGrid/>
        <w:spacing w:line="360" w:lineRule="auto"/>
        <w:ind w:left="0" w:firstLine="420"/>
        <w:textAlignment w:val="auto"/>
        <w:rPr>
          <w:rFonts w:asciiTheme="minorEastAsia" w:hAnsiTheme="minorEastAsia"/>
          <w:sz w:val="24"/>
          <w:szCs w:val="24"/>
        </w:rPr>
      </w:pPr>
      <w:r>
        <w:rPr>
          <w:rFonts w:hint="eastAsia" w:asciiTheme="minorEastAsia" w:hAnsiTheme="minorEastAsia"/>
          <w:sz w:val="24"/>
          <w:szCs w:val="24"/>
        </w:rPr>
        <w:t>▲交货方式：一年内分批交货，非紧急货物在接到采购人通知后</w:t>
      </w:r>
      <w:r>
        <w:rPr>
          <w:rFonts w:hint="eastAsia" w:asciiTheme="minorEastAsia" w:hAnsiTheme="minorEastAsia"/>
          <w:sz w:val="24"/>
          <w:szCs w:val="24"/>
          <w:lang w:val="en-US" w:eastAsia="zh-CN"/>
        </w:rPr>
        <w:t>3</w:t>
      </w:r>
      <w:r>
        <w:rPr>
          <w:rFonts w:hint="eastAsia" w:asciiTheme="minorEastAsia" w:hAnsiTheme="minorEastAsia"/>
          <w:sz w:val="24"/>
          <w:szCs w:val="24"/>
        </w:rPr>
        <w:t>个工作日内将所需货物送至交货地点，紧急货物在接到采购人通知后2小时内将所需货物送至交货地点。</w:t>
      </w:r>
    </w:p>
    <w:p w14:paraId="33272C53">
      <w:pPr>
        <w:pStyle w:val="12"/>
        <w:keepNext w:val="0"/>
        <w:keepLines w:val="0"/>
        <w:pageBreakBefore w:val="0"/>
        <w:numPr>
          <w:ilvl w:val="0"/>
          <w:numId w:val="3"/>
        </w:numPr>
        <w:kinsoku/>
        <w:wordWrap/>
        <w:overflowPunct/>
        <w:topLinePunct w:val="0"/>
        <w:autoSpaceDE/>
        <w:autoSpaceDN/>
        <w:bidi w:val="0"/>
        <w:adjustRightInd/>
        <w:snapToGrid/>
        <w:spacing w:line="360" w:lineRule="auto"/>
        <w:ind w:left="0" w:firstLine="420"/>
        <w:textAlignment w:val="auto"/>
        <w:rPr>
          <w:sz w:val="24"/>
          <w:szCs w:val="24"/>
        </w:rPr>
      </w:pPr>
      <w:r>
        <w:rPr>
          <w:rFonts w:hint="eastAsia"/>
          <w:sz w:val="24"/>
          <w:szCs w:val="24"/>
        </w:rPr>
        <w:t>交货地点：按采购人指定地点。</w:t>
      </w:r>
    </w:p>
    <w:p w14:paraId="46AB35FA">
      <w:pPr>
        <w:keepNext w:val="0"/>
        <w:keepLines w:val="0"/>
        <w:pageBreakBefore w:val="0"/>
        <w:kinsoku/>
        <w:wordWrap/>
        <w:overflowPunct/>
        <w:topLinePunct w:val="0"/>
        <w:autoSpaceDE/>
        <w:autoSpaceDN/>
        <w:bidi w:val="0"/>
        <w:adjustRightInd/>
        <w:snapToGrid/>
        <w:spacing w:line="360" w:lineRule="auto"/>
        <w:textAlignment w:val="auto"/>
        <w:rPr>
          <w:b/>
          <w:sz w:val="24"/>
          <w:szCs w:val="24"/>
        </w:rPr>
      </w:pPr>
      <w:r>
        <w:rPr>
          <w:rFonts w:hint="eastAsia"/>
          <w:b/>
          <w:sz w:val="24"/>
          <w:szCs w:val="24"/>
          <w:lang w:val="en-US" w:eastAsia="zh-CN"/>
        </w:rPr>
        <w:t>七</w:t>
      </w:r>
      <w:r>
        <w:rPr>
          <w:rFonts w:hint="eastAsia"/>
          <w:b/>
          <w:sz w:val="24"/>
          <w:szCs w:val="24"/>
        </w:rPr>
        <w:t>、质保期及售后服务要求</w:t>
      </w:r>
    </w:p>
    <w:p w14:paraId="487973AC">
      <w:pPr>
        <w:pStyle w:val="12"/>
        <w:keepNext w:val="0"/>
        <w:keepLines w:val="0"/>
        <w:pageBreakBefore w:val="0"/>
        <w:numPr>
          <w:ilvl w:val="0"/>
          <w:numId w:val="4"/>
        </w:numPr>
        <w:kinsoku/>
        <w:wordWrap/>
        <w:overflowPunct/>
        <w:topLinePunct w:val="0"/>
        <w:autoSpaceDE/>
        <w:autoSpaceDN/>
        <w:bidi w:val="0"/>
        <w:adjustRightInd/>
        <w:snapToGrid/>
        <w:spacing w:line="360" w:lineRule="auto"/>
        <w:ind w:left="0" w:firstLine="420"/>
        <w:textAlignment w:val="auto"/>
        <w:rPr>
          <w:sz w:val="24"/>
          <w:szCs w:val="24"/>
        </w:rPr>
      </w:pPr>
      <w:r>
        <w:rPr>
          <w:rFonts w:hint="eastAsia"/>
          <w:sz w:val="24"/>
          <w:szCs w:val="24"/>
        </w:rPr>
        <w:t>成交供应商所提供的货物应是全新正品，其质量、规格满足用户需求，且必须符合国家行业生产及经营标准，货真价实，均能提供相应的合格证明资料。</w:t>
      </w:r>
    </w:p>
    <w:p w14:paraId="351958C2">
      <w:pPr>
        <w:pStyle w:val="12"/>
        <w:keepNext w:val="0"/>
        <w:keepLines w:val="0"/>
        <w:pageBreakBefore w:val="0"/>
        <w:numPr>
          <w:ilvl w:val="0"/>
          <w:numId w:val="4"/>
        </w:numPr>
        <w:kinsoku/>
        <w:wordWrap/>
        <w:overflowPunct/>
        <w:topLinePunct w:val="0"/>
        <w:autoSpaceDE/>
        <w:autoSpaceDN/>
        <w:bidi w:val="0"/>
        <w:adjustRightInd/>
        <w:snapToGrid/>
        <w:spacing w:line="360" w:lineRule="auto"/>
        <w:ind w:left="0" w:firstLine="420"/>
        <w:textAlignment w:val="auto"/>
        <w:rPr>
          <w:sz w:val="24"/>
          <w:szCs w:val="24"/>
        </w:rPr>
      </w:pPr>
      <w:r>
        <w:rPr>
          <w:rFonts w:hint="eastAsia" w:ascii="宋体" w:hAnsi="宋体" w:cs="宋体"/>
          <w:sz w:val="24"/>
          <w:szCs w:val="24"/>
        </w:rPr>
        <w:t>因成交供应商所供应的货物质量问题造成采购人设备故障或出现严重事故的，由成交供应商负责维修，所造成的一切损失及责任由成交供应承担。</w:t>
      </w:r>
    </w:p>
    <w:p w14:paraId="4538C450">
      <w:pPr>
        <w:pStyle w:val="12"/>
        <w:keepNext w:val="0"/>
        <w:keepLines w:val="0"/>
        <w:pageBreakBefore w:val="0"/>
        <w:numPr>
          <w:ilvl w:val="0"/>
          <w:numId w:val="4"/>
        </w:numPr>
        <w:kinsoku/>
        <w:wordWrap/>
        <w:overflowPunct/>
        <w:topLinePunct w:val="0"/>
        <w:autoSpaceDE/>
        <w:autoSpaceDN/>
        <w:bidi w:val="0"/>
        <w:adjustRightInd/>
        <w:snapToGrid/>
        <w:spacing w:line="360" w:lineRule="auto"/>
        <w:ind w:left="0" w:firstLine="420"/>
        <w:textAlignment w:val="auto"/>
        <w:rPr>
          <w:sz w:val="24"/>
          <w:szCs w:val="24"/>
        </w:rPr>
      </w:pPr>
      <w:r>
        <w:rPr>
          <w:rFonts w:hint="eastAsia" w:asciiTheme="minorEastAsia" w:hAnsiTheme="minorEastAsia"/>
          <w:sz w:val="24"/>
          <w:szCs w:val="24"/>
        </w:rPr>
        <w:t>▲货物在质保期内如有质量问题时，成交供应商必须对采购人提出的质量异议在1小时内予以响应并针对问题提出解决办法，2小时内到达现场，</w:t>
      </w:r>
      <w:r>
        <w:rPr>
          <w:rFonts w:hint="eastAsia" w:ascii="宋体" w:hAnsi="宋体" w:cs="宋体"/>
          <w:sz w:val="24"/>
          <w:szCs w:val="24"/>
        </w:rPr>
        <w:t>解决问题的时限为到达现场后3小时内。</w:t>
      </w:r>
      <w:r>
        <w:rPr>
          <w:rFonts w:hint="eastAsia" w:asciiTheme="minorEastAsia" w:hAnsiTheme="minorEastAsia"/>
          <w:sz w:val="24"/>
          <w:szCs w:val="24"/>
        </w:rPr>
        <w:t>如到场后3小时内仍无法解决或需更换的，成交供应商应另行提供等同或优于原参数的产品供采购人使用。未能及时完成修理或更换的，采购人有权自行购买更换，所支付费用从履约保证金中扣除。</w:t>
      </w:r>
    </w:p>
    <w:p w14:paraId="2968A462">
      <w:pPr>
        <w:pStyle w:val="12"/>
        <w:keepNext w:val="0"/>
        <w:keepLines w:val="0"/>
        <w:pageBreakBefore w:val="0"/>
        <w:numPr>
          <w:ilvl w:val="0"/>
          <w:numId w:val="4"/>
        </w:numPr>
        <w:kinsoku/>
        <w:wordWrap/>
        <w:overflowPunct/>
        <w:topLinePunct w:val="0"/>
        <w:autoSpaceDE/>
        <w:autoSpaceDN/>
        <w:bidi w:val="0"/>
        <w:adjustRightInd/>
        <w:snapToGrid/>
        <w:spacing w:line="360" w:lineRule="auto"/>
        <w:ind w:left="0" w:firstLine="420"/>
        <w:textAlignment w:val="auto"/>
        <w:rPr>
          <w:rFonts w:ascii="宋体" w:hAnsi="宋体" w:cs="宋体"/>
          <w:b/>
          <w:sz w:val="24"/>
          <w:szCs w:val="24"/>
        </w:rPr>
      </w:pPr>
      <w:r>
        <w:rPr>
          <w:rFonts w:hint="eastAsia" w:asciiTheme="minorEastAsia" w:hAnsiTheme="minorEastAsia"/>
          <w:sz w:val="24"/>
          <w:szCs w:val="24"/>
        </w:rPr>
        <w:t>▲</w:t>
      </w:r>
      <w:r>
        <w:rPr>
          <w:rFonts w:hint="eastAsia" w:ascii="宋体" w:hAnsi="宋体" w:cs="宋体"/>
          <w:sz w:val="24"/>
          <w:szCs w:val="24"/>
        </w:rPr>
        <w:t>质保期内，成交供应商提供24小时响应服务。成交供应商需</w:t>
      </w:r>
      <w:r>
        <w:rPr>
          <w:rFonts w:hint="eastAsia" w:asciiTheme="minorEastAsia" w:hAnsiTheme="minorEastAsia"/>
          <w:sz w:val="24"/>
          <w:szCs w:val="24"/>
        </w:rPr>
        <w:t>指定一名人员为本项目负责人，负责人要保证服务电话24小时保持畅通。</w:t>
      </w:r>
    </w:p>
    <w:p w14:paraId="18878FBD">
      <w:pPr>
        <w:pStyle w:val="12"/>
        <w:keepNext w:val="0"/>
        <w:keepLines w:val="0"/>
        <w:pageBreakBefore w:val="0"/>
        <w:numPr>
          <w:ilvl w:val="0"/>
          <w:numId w:val="4"/>
        </w:numPr>
        <w:kinsoku/>
        <w:wordWrap/>
        <w:overflowPunct/>
        <w:topLinePunct w:val="0"/>
        <w:autoSpaceDE/>
        <w:autoSpaceDN/>
        <w:bidi w:val="0"/>
        <w:adjustRightInd/>
        <w:snapToGrid/>
        <w:spacing w:line="360" w:lineRule="auto"/>
        <w:ind w:left="0" w:firstLine="420"/>
        <w:textAlignment w:val="auto"/>
        <w:rPr>
          <w:sz w:val="24"/>
          <w:szCs w:val="24"/>
        </w:rPr>
      </w:pPr>
      <w:r>
        <w:rPr>
          <w:rFonts w:hint="eastAsia" w:ascii="宋体" w:hAnsi="宋体" w:cs="宋体"/>
          <w:bCs/>
          <w:sz w:val="24"/>
          <w:szCs w:val="24"/>
        </w:rPr>
        <w:t>★质保期：当次所送货物质保期为验收合格之日起壹年，质保期内成交供应商须提供“包退、包换、包修”的质量“三包”服务。货物如不符合国家的有关质量标准、磋商文件参数要求的，采购人有权拒收，成交供应商应无条件退换货物，退换期限为5个自然日内，由此产生的一切费用由成交供应商承担，如造成采购人经济损失的，采购人有权进行索赔。</w:t>
      </w:r>
    </w:p>
    <w:p w14:paraId="27F84F00">
      <w:pPr>
        <w:keepNext w:val="0"/>
        <w:keepLines w:val="0"/>
        <w:pageBreakBefore w:val="0"/>
        <w:kinsoku/>
        <w:wordWrap/>
        <w:overflowPunct/>
        <w:topLinePunct w:val="0"/>
        <w:autoSpaceDE/>
        <w:autoSpaceDN/>
        <w:bidi w:val="0"/>
        <w:adjustRightInd/>
        <w:snapToGrid/>
        <w:spacing w:line="360" w:lineRule="auto"/>
        <w:textAlignment w:val="auto"/>
        <w:rPr>
          <w:rFonts w:asciiTheme="minorEastAsia" w:hAnsiTheme="minorEastAsia"/>
          <w:b/>
          <w:sz w:val="24"/>
          <w:szCs w:val="24"/>
        </w:rPr>
      </w:pPr>
      <w:r>
        <w:rPr>
          <w:rFonts w:hint="eastAsia" w:asciiTheme="minorEastAsia" w:hAnsiTheme="minorEastAsia"/>
          <w:b/>
          <w:sz w:val="24"/>
          <w:szCs w:val="24"/>
          <w:lang w:val="en-US" w:eastAsia="zh-CN"/>
        </w:rPr>
        <w:t>八</w:t>
      </w:r>
      <w:r>
        <w:rPr>
          <w:rFonts w:hint="eastAsia" w:asciiTheme="minorEastAsia" w:hAnsiTheme="minorEastAsia"/>
          <w:b/>
          <w:sz w:val="24"/>
          <w:szCs w:val="24"/>
        </w:rPr>
        <w:t>、付款方式</w:t>
      </w:r>
    </w:p>
    <w:p w14:paraId="6D3660A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 xml:space="preserve">1、签订合同后 5 个工作日内成交供应商需向采购人交合同总金额的 5%作为履约保证金。保证金的退还为最后一批送货验收合格后一个月内一次性退还。如有违约事项，采购人根据约定条款扣款，剩余款项予以无息退还。 </w:t>
      </w:r>
    </w:p>
    <w:p w14:paraId="7B81AD9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 xml:space="preserve">2、合同签订后，供货期内采购人可按照实际使用需要分批次要求成交供应商供货。合同无预付款，每批次订货无预付款。 </w:t>
      </w:r>
    </w:p>
    <w:p w14:paraId="2534688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 xml:space="preserve">3、按月结算。成交供应商接到采购人的下单通知后，按采购人要求的品种及数量提供货物，经双方确认验收合格后，成交供应商开具该批次所供货物的有效全额普通发票（含税），采购人在收到发票并审核无误后一个月内付款给成交供应商。 </w:t>
      </w:r>
    </w:p>
    <w:p w14:paraId="5954F0E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4、成交供应商须开具与响应文件中报价人名称、响应报价一致的普通发票。</w:t>
      </w:r>
    </w:p>
    <w:p w14:paraId="5D2CEE99">
      <w:pPr>
        <w:keepNext w:val="0"/>
        <w:keepLines w:val="0"/>
        <w:pageBreakBefore w:val="0"/>
        <w:kinsoku/>
        <w:wordWrap/>
        <w:overflowPunct/>
        <w:topLinePunct w:val="0"/>
        <w:autoSpaceDE/>
        <w:autoSpaceDN/>
        <w:bidi w:val="0"/>
        <w:adjustRightInd/>
        <w:snapToGrid/>
        <w:spacing w:line="360" w:lineRule="auto"/>
        <w:textAlignment w:val="auto"/>
        <w:rPr>
          <w:b/>
          <w:sz w:val="24"/>
          <w:szCs w:val="24"/>
        </w:rPr>
      </w:pPr>
      <w:r>
        <w:rPr>
          <w:rFonts w:hint="eastAsia"/>
          <w:b/>
          <w:sz w:val="24"/>
          <w:szCs w:val="24"/>
          <w:lang w:val="en-US" w:eastAsia="zh-CN"/>
        </w:rPr>
        <w:t>九</w:t>
      </w:r>
      <w:r>
        <w:rPr>
          <w:rFonts w:hint="eastAsia"/>
          <w:b/>
          <w:sz w:val="24"/>
          <w:szCs w:val="24"/>
        </w:rPr>
        <w:t>、违约</w:t>
      </w:r>
    </w:p>
    <w:p w14:paraId="070139F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cstheme="minorEastAsia"/>
          <w:bCs/>
          <w:sz w:val="24"/>
          <w:szCs w:val="24"/>
          <w:lang w:val="en-US" w:eastAsia="zh-CN"/>
        </w:rPr>
        <w:t>1</w:t>
      </w:r>
      <w:r>
        <w:rPr>
          <w:rFonts w:hint="eastAsia" w:asciiTheme="minorEastAsia" w:hAnsiTheme="minorEastAsia" w:eastAsiaTheme="minorEastAsia" w:cstheme="minorEastAsia"/>
          <w:bCs/>
          <w:sz w:val="24"/>
          <w:szCs w:val="24"/>
        </w:rPr>
        <w:t>、</w:t>
      </w:r>
      <w:r>
        <w:rPr>
          <w:rFonts w:hint="eastAsia" w:asciiTheme="minorEastAsia" w:hAnsiTheme="minorEastAsia" w:eastAsiaTheme="minorEastAsia" w:cstheme="minorEastAsia"/>
          <w:color w:val="000000"/>
          <w:kern w:val="0"/>
          <w:sz w:val="24"/>
          <w:szCs w:val="24"/>
          <w:lang w:val="en-US" w:eastAsia="zh-CN" w:bidi="ar"/>
        </w:rPr>
        <w:t>采购人应在合同规定时间内，按合同执行进度向成交供应商支付货款，</w:t>
      </w:r>
      <w:r>
        <w:rPr>
          <w:rFonts w:hint="eastAsia" w:asciiTheme="minorEastAsia" w:hAnsiTheme="minorEastAsia" w:cstheme="minorEastAsia"/>
          <w:color w:val="000000"/>
          <w:kern w:val="0"/>
          <w:sz w:val="24"/>
          <w:szCs w:val="24"/>
          <w:lang w:val="en-US" w:eastAsia="zh-CN" w:bidi="ar"/>
        </w:rPr>
        <w:t>逾期支付的，甲方向乙方按合同订立时全国银行间同业拆借中心公布的一年期贷款市场报价利率支付违约金</w:t>
      </w:r>
      <w:r>
        <w:rPr>
          <w:rFonts w:hint="eastAsia" w:asciiTheme="minorEastAsia" w:hAnsiTheme="minorEastAsia" w:eastAsiaTheme="minorEastAsia" w:cstheme="minorEastAsia"/>
          <w:color w:val="000000"/>
          <w:kern w:val="0"/>
          <w:sz w:val="24"/>
          <w:szCs w:val="24"/>
          <w:lang w:val="en-US" w:eastAsia="zh-CN" w:bidi="ar"/>
        </w:rPr>
        <w:t xml:space="preserve">。 </w:t>
      </w:r>
    </w:p>
    <w:p w14:paraId="3935E69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cstheme="minorEastAsia"/>
          <w:color w:val="000000"/>
          <w:kern w:val="0"/>
          <w:sz w:val="24"/>
          <w:szCs w:val="24"/>
          <w:lang w:val="en-US" w:eastAsia="zh-CN" w:bidi="ar"/>
        </w:rPr>
        <w:t>2</w:t>
      </w:r>
      <w:r>
        <w:rPr>
          <w:rFonts w:hint="eastAsia" w:asciiTheme="minorEastAsia" w:hAnsiTheme="minorEastAsia" w:eastAsiaTheme="minorEastAsia" w:cstheme="minorEastAsia"/>
          <w:color w:val="000000"/>
          <w:kern w:val="0"/>
          <w:sz w:val="24"/>
          <w:szCs w:val="24"/>
          <w:lang w:val="en-US" w:eastAsia="zh-CN" w:bidi="ar"/>
        </w:rPr>
        <w:t xml:space="preserve">、成交供应商未能按时交货，或未能在交货之日起 </w:t>
      </w:r>
      <w:r>
        <w:rPr>
          <w:rFonts w:hint="eastAsia" w:asciiTheme="minorEastAsia" w:hAnsiTheme="minorEastAsia" w:cstheme="minorEastAsia"/>
          <w:color w:val="000000"/>
          <w:kern w:val="0"/>
          <w:sz w:val="24"/>
          <w:szCs w:val="24"/>
          <w:lang w:val="en-US" w:eastAsia="zh-CN" w:bidi="ar"/>
        </w:rPr>
        <w:t>1</w:t>
      </w:r>
      <w:r>
        <w:rPr>
          <w:rFonts w:hint="eastAsia" w:asciiTheme="minorEastAsia" w:hAnsiTheme="minorEastAsia" w:eastAsiaTheme="minorEastAsia" w:cstheme="minorEastAsia"/>
          <w:color w:val="000000"/>
          <w:kern w:val="0"/>
          <w:sz w:val="24"/>
          <w:szCs w:val="24"/>
          <w:lang w:val="en-US" w:eastAsia="zh-CN" w:bidi="ar"/>
        </w:rPr>
        <w:t>0 天内提供该项目验收相关所必须的合法有效的文件，每拖延一天，须向采购人支付当次送货批次金额金额的 5‰的违约金。</w:t>
      </w:r>
      <w:r>
        <w:rPr>
          <w:rFonts w:hint="eastAsia" w:ascii="宋体" w:hAnsi="宋体" w:eastAsia="宋体" w:cs="Times New Roman"/>
          <w:color w:val="auto"/>
          <w:sz w:val="24"/>
          <w:szCs w:val="24"/>
          <w:highlight w:val="none"/>
          <w:lang w:val="en-US" w:eastAsia="zh-CN"/>
        </w:rPr>
        <w:t>如拖延10个自然日成交供应商仍未履行的，则视为成交供应商不能交货，则按合同总价30%支付违约金给采购人。同时，采购人有权单方面解除合同且履约保证金不再退还。如上述违约金及履约保证金的金额仍不足以补偿采购人因成交供应商违约造成的损失，采购人有权进一步向成交供应商提出索赔。</w:t>
      </w:r>
      <w:r>
        <w:rPr>
          <w:rFonts w:hint="eastAsia" w:asciiTheme="minorEastAsia" w:hAnsiTheme="minorEastAsia" w:eastAsiaTheme="minorEastAsia" w:cstheme="minorEastAsia"/>
          <w:color w:val="auto"/>
          <w:kern w:val="0"/>
          <w:sz w:val="24"/>
          <w:szCs w:val="24"/>
          <w:lang w:val="en-US" w:eastAsia="zh-CN" w:bidi="ar"/>
        </w:rPr>
        <w:t xml:space="preserve"> </w:t>
      </w:r>
    </w:p>
    <w:p w14:paraId="2DACBC87">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cstheme="minorEastAsia"/>
          <w:color w:val="000000"/>
          <w:kern w:val="0"/>
          <w:sz w:val="24"/>
          <w:szCs w:val="24"/>
          <w:lang w:val="en-US" w:eastAsia="zh-CN" w:bidi="ar"/>
        </w:rPr>
        <w:t>3</w:t>
      </w:r>
      <w:r>
        <w:rPr>
          <w:rFonts w:hint="eastAsia" w:asciiTheme="minorEastAsia" w:hAnsiTheme="minorEastAsia" w:eastAsiaTheme="minorEastAsia" w:cstheme="minorEastAsia"/>
          <w:color w:val="000000"/>
          <w:kern w:val="0"/>
          <w:sz w:val="24"/>
          <w:szCs w:val="24"/>
          <w:lang w:val="en-US" w:eastAsia="zh-CN" w:bidi="ar"/>
        </w:rPr>
        <w:t xml:space="preserve">、成交供应商交付的货物不符合合同规定的，采购人有权拒收，成交供应商向采购人 </w:t>
      </w:r>
    </w:p>
    <w:p w14:paraId="7D10E993">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支付合同金</w:t>
      </w:r>
      <w:r>
        <w:rPr>
          <w:rFonts w:hint="eastAsia" w:asciiTheme="minorEastAsia" w:hAnsiTheme="minorEastAsia" w:eastAsiaTheme="minorEastAsia" w:cstheme="minorEastAsia"/>
          <w:color w:val="auto"/>
          <w:kern w:val="0"/>
          <w:sz w:val="24"/>
          <w:szCs w:val="24"/>
          <w:lang w:val="en-US" w:eastAsia="zh-CN" w:bidi="ar"/>
        </w:rPr>
        <w:t>额的</w:t>
      </w:r>
      <w:r>
        <w:rPr>
          <w:rFonts w:hint="eastAsia" w:asciiTheme="minorEastAsia" w:hAnsiTheme="minorEastAsia" w:cstheme="minorEastAsia"/>
          <w:color w:val="auto"/>
          <w:kern w:val="0"/>
          <w:sz w:val="24"/>
          <w:szCs w:val="24"/>
          <w:lang w:val="en-US" w:eastAsia="zh-CN" w:bidi="ar"/>
        </w:rPr>
        <w:t>20</w:t>
      </w:r>
      <w:r>
        <w:rPr>
          <w:rFonts w:hint="eastAsia" w:asciiTheme="minorEastAsia" w:hAnsiTheme="minorEastAsia" w:eastAsiaTheme="minorEastAsia" w:cstheme="minorEastAsia"/>
          <w:color w:val="auto"/>
          <w:kern w:val="0"/>
          <w:sz w:val="24"/>
          <w:szCs w:val="24"/>
          <w:lang w:val="en-US" w:eastAsia="zh-CN" w:bidi="ar"/>
        </w:rPr>
        <w:t xml:space="preserve">％的违约金。 </w:t>
      </w:r>
    </w:p>
    <w:p w14:paraId="7C7D755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4、采购人无正当理由拒收货物的，采购人向成交供应商支付当次送货批次金额金额的 5‰的违约金。 </w:t>
      </w:r>
    </w:p>
    <w:p w14:paraId="008F4BE7">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5、所有货物在使用过程中发现以次充好或使用假冒伪劣产品的，</w:t>
      </w:r>
      <w:r>
        <w:rPr>
          <w:rFonts w:hint="eastAsia" w:ascii="宋体" w:hAnsi="宋体" w:eastAsia="宋体" w:cs="Times New Roman"/>
          <w:color w:val="auto"/>
          <w:sz w:val="24"/>
          <w:szCs w:val="24"/>
          <w:highlight w:val="none"/>
          <w:lang w:val="en-US" w:eastAsia="zh-CN"/>
        </w:rPr>
        <w:t>成交供应商须无条件更换货物并按假一赔三进行赔偿</w:t>
      </w:r>
      <w:r>
        <w:rPr>
          <w:rFonts w:hint="eastAsia" w:asciiTheme="minorEastAsia" w:hAnsiTheme="minorEastAsia" w:eastAsiaTheme="minorEastAsia" w:cstheme="minorEastAsia"/>
          <w:color w:val="000000"/>
          <w:kern w:val="0"/>
          <w:sz w:val="24"/>
          <w:szCs w:val="24"/>
          <w:lang w:val="en-US" w:eastAsia="zh-CN" w:bidi="ar"/>
        </w:rPr>
        <w:t>。此种情况超过2次或以上的，履约保证金不予以退还，采购人有权单方终止合同。</w:t>
      </w:r>
    </w:p>
    <w:p w14:paraId="7946B24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6、因质量问题发生争议时，由地级市或以上的质检部门进行相关鉴定，鉴定费用先由成交供应商垫付，鉴定结果符合质量技术要求，发生的所有鉴定费用由采购人承担；鉴定结果不符合质量技术要求，发生的所有鉴定费由成交供应商承担。</w:t>
      </w:r>
    </w:p>
    <w:p w14:paraId="143EF4C0">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Theme="minorEastAsia" w:hAnsiTheme="minorEastAsia" w:eastAsiaTheme="minorEastAsia" w:cstheme="minorEastAsia"/>
          <w:color w:val="auto"/>
          <w:kern w:val="0"/>
          <w:sz w:val="24"/>
          <w:szCs w:val="24"/>
          <w:lang w:val="en-US" w:eastAsia="zh-CN" w:bidi="ar"/>
        </w:rPr>
      </w:pPr>
      <w:r>
        <w:rPr>
          <w:rFonts w:hint="eastAsia" w:asciiTheme="minorEastAsia" w:hAnsiTheme="minorEastAsia" w:eastAsiaTheme="minorEastAsia" w:cstheme="minorEastAsia"/>
          <w:color w:val="auto"/>
          <w:kern w:val="0"/>
          <w:sz w:val="24"/>
          <w:szCs w:val="24"/>
          <w:lang w:val="en-US" w:eastAsia="zh-CN" w:bidi="ar"/>
        </w:rPr>
        <w:t>7、因成交供应商原因造成采购人货物无法按时正常使用，成交供应商承担合同标的金额20%的违约金，违约金不足以赔偿采购人损失的，应另行补足采购人损失。</w:t>
      </w:r>
    </w:p>
    <w:p w14:paraId="0A321F64">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cstheme="minorEastAsia"/>
          <w:color w:val="000000"/>
          <w:kern w:val="0"/>
          <w:sz w:val="24"/>
          <w:szCs w:val="24"/>
          <w:lang w:val="en-US" w:eastAsia="zh-CN" w:bidi="ar"/>
        </w:rPr>
        <w:t>8</w:t>
      </w:r>
      <w:r>
        <w:rPr>
          <w:rFonts w:hint="eastAsia" w:asciiTheme="minorEastAsia" w:hAnsiTheme="minorEastAsia" w:eastAsiaTheme="minorEastAsia" w:cstheme="minorEastAsia"/>
          <w:color w:val="000000"/>
          <w:kern w:val="0"/>
          <w:sz w:val="24"/>
          <w:szCs w:val="24"/>
          <w:lang w:val="en-US" w:eastAsia="zh-CN" w:bidi="ar"/>
        </w:rPr>
        <w:t>、成交供应商保证因执行本项目向采购人提供的所有货物、材料、工序工艺等产品不侵犯第三方知识产权、商业秘密等权利。若发生侵犯第三方权利的情况,成交供应商应负责与第三方交涉, 并承担由此而产生的一切法律责任,采购人不承担与之相关的任何经济和法 律责任。 如采购人因此而遭受损失，成交供应商应承担全部的赔偿责任。</w:t>
      </w:r>
    </w:p>
    <w:p w14:paraId="1DC069F8">
      <w:pPr>
        <w:keepNext w:val="0"/>
        <w:keepLines w:val="0"/>
        <w:pageBreakBefore w:val="0"/>
        <w:kinsoku/>
        <w:wordWrap/>
        <w:overflowPunct/>
        <w:topLinePunct w:val="0"/>
        <w:autoSpaceDE/>
        <w:autoSpaceDN/>
        <w:bidi w:val="0"/>
        <w:adjustRightInd/>
        <w:snapToGrid/>
        <w:spacing w:line="360" w:lineRule="auto"/>
        <w:textAlignment w:val="auto"/>
        <w:rPr>
          <w:sz w:val="24"/>
          <w:szCs w:val="24"/>
        </w:rPr>
      </w:pPr>
    </w:p>
    <w:sectPr>
      <w:footerReference r:id="rId3"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00007A87" w:usb1="80000000" w:usb2="00000008"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华文新魏">
    <w:panose1 w:val="02010800040101010101"/>
    <w:charset w:val="86"/>
    <w:family w:val="auto"/>
    <w:pitch w:val="default"/>
    <w:sig w:usb0="00000001" w:usb1="080F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B69032">
    <w:pPr>
      <w:pStyle w:val="6"/>
      <w:spacing w:line="360" w:lineRule="auto"/>
      <w:ind w:left="49" w:hanging="48" w:hangingChars="27"/>
    </w:pP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036687B">
                          <w:pPr>
                            <w:pStyle w:val="6"/>
                          </w:pPr>
                          <w:r>
                            <w:fldChar w:fldCharType="begin"/>
                          </w:r>
                          <w:r>
                            <w:instrText xml:space="preserve"> PAGE  \* MERGEFORMAT </w:instrText>
                          </w:r>
                          <w:r>
                            <w:fldChar w:fldCharType="separate"/>
                          </w:r>
                          <w:r>
                            <w:t>- 13 -</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6Z3r480BAACnAwAADgAAAAAAAAABACAAAAAeAQAAZHJzL2Uy&#10;b0RvYy54bWxQSwUGAAAAAAYABgBZAQAAXQUAAAAA&#10;">
              <v:fill on="f" focussize="0,0"/>
              <v:stroke on="f"/>
              <v:imagedata o:title=""/>
              <o:lock v:ext="edit" aspectratio="f"/>
              <v:textbox inset="0mm,0mm,0mm,0mm" style="mso-fit-shape-to-text:t;">
                <w:txbxContent>
                  <w:p w14:paraId="5036687B">
                    <w:pPr>
                      <w:pStyle w:val="6"/>
                    </w:pPr>
                    <w:r>
                      <w:fldChar w:fldCharType="begin"/>
                    </w:r>
                    <w:r>
                      <w:instrText xml:space="preserve"> PAGE  \* MERGEFORMAT </w:instrText>
                    </w:r>
                    <w:r>
                      <w:fldChar w:fldCharType="separate"/>
                    </w:r>
                    <w:r>
                      <w:t>- 13 -</w:t>
                    </w:r>
                    <w:r>
                      <w:fldChar w:fldCharType="end"/>
                    </w:r>
                  </w:p>
                </w:txbxContent>
              </v:textbox>
            </v:shape>
          </w:pict>
        </mc:Fallback>
      </mc:AlternateContent>
    </w:r>
    <w:r>
      <w:rPr>
        <w:rFonts w:hint="eastAsia"/>
      </w:rPr>
      <w:t xml:space="preserve">参数制定人：                                     </w:t>
    </w:r>
    <w:r>
      <w:rPr>
        <w:rFonts w:hint="eastAsia"/>
        <w:lang w:val="en-US" w:eastAsia="zh-CN"/>
      </w:rPr>
      <w:t xml:space="preserve">          </w:t>
    </w:r>
    <w:r>
      <w:rPr>
        <w:rFonts w:hint="eastAsia"/>
      </w:rPr>
      <w:t>科室审核人：</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A81E4E5"/>
    <w:multiLevelType w:val="multilevel"/>
    <w:tmpl w:val="EA81E4E5"/>
    <w:lvl w:ilvl="0" w:tentative="0">
      <w:start w:val="1"/>
      <w:numFmt w:val="decimal"/>
      <w:suff w:val="nothing"/>
      <w:lvlText w:val="%1、"/>
      <w:lvlJc w:val="left"/>
      <w:pPr>
        <w:ind w:left="360" w:hanging="360"/>
      </w:pPr>
      <w:rPr>
        <w:rFonts w:hint="default"/>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00B95F47"/>
    <w:multiLevelType w:val="multilevel"/>
    <w:tmpl w:val="00B95F47"/>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A4F3416"/>
    <w:multiLevelType w:val="multilevel"/>
    <w:tmpl w:val="0A4F3416"/>
    <w:lvl w:ilvl="0" w:tentative="0">
      <w:start w:val="1"/>
      <w:numFmt w:val="decimal"/>
      <w:lvlText w:val="%1、"/>
      <w:lvlJc w:val="left"/>
      <w:pPr>
        <w:ind w:left="360" w:hanging="360"/>
      </w:pPr>
      <w:rPr>
        <w:rFonts w:hint="default" w:asciiTheme="minorHAnsi" w:hAnsiTheme="minorHAnsi"/>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126569CE"/>
    <w:multiLevelType w:val="multilevel"/>
    <w:tmpl w:val="126569CE"/>
    <w:lvl w:ilvl="0" w:tentative="0">
      <w:start w:val="1"/>
      <w:numFmt w:val="decimal"/>
      <w:lvlText w:val="%1、"/>
      <w:lvlJc w:val="left"/>
      <w:pPr>
        <w:ind w:left="360" w:hanging="360"/>
      </w:pPr>
      <w:rPr>
        <w:rFonts w:hint="default" w:asciiTheme="minorHAnsi" w:hAnsiTheme="minorHAnsi"/>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U0ZjcwNWI1YmYzYTFmZmQyMGIwMjA4NmE2OGRjNzgifQ=="/>
  </w:docVars>
  <w:rsids>
    <w:rsidRoot w:val="0085085F"/>
    <w:rsid w:val="00002B36"/>
    <w:rsid w:val="00022F77"/>
    <w:rsid w:val="0002594F"/>
    <w:rsid w:val="000312D4"/>
    <w:rsid w:val="00037B24"/>
    <w:rsid w:val="00044F01"/>
    <w:rsid w:val="00055EFB"/>
    <w:rsid w:val="000562FD"/>
    <w:rsid w:val="000867F9"/>
    <w:rsid w:val="0009708C"/>
    <w:rsid w:val="000B24F0"/>
    <w:rsid w:val="000C7A4A"/>
    <w:rsid w:val="000F2A89"/>
    <w:rsid w:val="00174050"/>
    <w:rsid w:val="00192D41"/>
    <w:rsid w:val="00194473"/>
    <w:rsid w:val="001A4B13"/>
    <w:rsid w:val="001A7935"/>
    <w:rsid w:val="001B0AB5"/>
    <w:rsid w:val="001B5444"/>
    <w:rsid w:val="001C4C72"/>
    <w:rsid w:val="001D2B4A"/>
    <w:rsid w:val="001E44EB"/>
    <w:rsid w:val="001E5E6F"/>
    <w:rsid w:val="00206BE1"/>
    <w:rsid w:val="00210D71"/>
    <w:rsid w:val="00211993"/>
    <w:rsid w:val="002413EB"/>
    <w:rsid w:val="002426BF"/>
    <w:rsid w:val="00243B4B"/>
    <w:rsid w:val="00264228"/>
    <w:rsid w:val="00281EDA"/>
    <w:rsid w:val="00292115"/>
    <w:rsid w:val="002A0131"/>
    <w:rsid w:val="002A62BA"/>
    <w:rsid w:val="002B246B"/>
    <w:rsid w:val="002C328F"/>
    <w:rsid w:val="002D33F7"/>
    <w:rsid w:val="0030775E"/>
    <w:rsid w:val="0033492C"/>
    <w:rsid w:val="00341F8D"/>
    <w:rsid w:val="0034217B"/>
    <w:rsid w:val="00351BE0"/>
    <w:rsid w:val="00392641"/>
    <w:rsid w:val="003A38D9"/>
    <w:rsid w:val="003A528C"/>
    <w:rsid w:val="003A6801"/>
    <w:rsid w:val="003B0E4F"/>
    <w:rsid w:val="003C2E3A"/>
    <w:rsid w:val="003D2DF1"/>
    <w:rsid w:val="00417DBC"/>
    <w:rsid w:val="00422E7F"/>
    <w:rsid w:val="00434B45"/>
    <w:rsid w:val="00444F4E"/>
    <w:rsid w:val="00450171"/>
    <w:rsid w:val="004803D9"/>
    <w:rsid w:val="00483D98"/>
    <w:rsid w:val="004B5067"/>
    <w:rsid w:val="004F2CCA"/>
    <w:rsid w:val="00500E26"/>
    <w:rsid w:val="00504844"/>
    <w:rsid w:val="00520CF7"/>
    <w:rsid w:val="00531FDE"/>
    <w:rsid w:val="005552B9"/>
    <w:rsid w:val="005771F9"/>
    <w:rsid w:val="0059204C"/>
    <w:rsid w:val="00594D33"/>
    <w:rsid w:val="005C140C"/>
    <w:rsid w:val="005D05BD"/>
    <w:rsid w:val="005F7B8F"/>
    <w:rsid w:val="00626D4B"/>
    <w:rsid w:val="00632B7B"/>
    <w:rsid w:val="00657731"/>
    <w:rsid w:val="00660E51"/>
    <w:rsid w:val="00672955"/>
    <w:rsid w:val="00675B18"/>
    <w:rsid w:val="006948DA"/>
    <w:rsid w:val="0069711F"/>
    <w:rsid w:val="006A7C24"/>
    <w:rsid w:val="006B5818"/>
    <w:rsid w:val="006C2E7F"/>
    <w:rsid w:val="006C3A67"/>
    <w:rsid w:val="006E0D2A"/>
    <w:rsid w:val="006E161A"/>
    <w:rsid w:val="006F7549"/>
    <w:rsid w:val="00733A26"/>
    <w:rsid w:val="00737CD0"/>
    <w:rsid w:val="007572D6"/>
    <w:rsid w:val="00772809"/>
    <w:rsid w:val="00792FF9"/>
    <w:rsid w:val="007C4E4F"/>
    <w:rsid w:val="007D1D44"/>
    <w:rsid w:val="007E3927"/>
    <w:rsid w:val="008021DA"/>
    <w:rsid w:val="0080571E"/>
    <w:rsid w:val="00805DD1"/>
    <w:rsid w:val="0085085F"/>
    <w:rsid w:val="00855B66"/>
    <w:rsid w:val="008571E9"/>
    <w:rsid w:val="00915E2D"/>
    <w:rsid w:val="00931648"/>
    <w:rsid w:val="00955146"/>
    <w:rsid w:val="00973334"/>
    <w:rsid w:val="00976C9D"/>
    <w:rsid w:val="009A4C6B"/>
    <w:rsid w:val="009B0F1E"/>
    <w:rsid w:val="009C02C9"/>
    <w:rsid w:val="009D4616"/>
    <w:rsid w:val="00A16BFD"/>
    <w:rsid w:val="00A16ED4"/>
    <w:rsid w:val="00A24974"/>
    <w:rsid w:val="00A4295C"/>
    <w:rsid w:val="00A87C45"/>
    <w:rsid w:val="00A9127C"/>
    <w:rsid w:val="00AA0CC4"/>
    <w:rsid w:val="00AC00DD"/>
    <w:rsid w:val="00AC56C8"/>
    <w:rsid w:val="00AD26EC"/>
    <w:rsid w:val="00AD5D08"/>
    <w:rsid w:val="00B0624F"/>
    <w:rsid w:val="00B42A84"/>
    <w:rsid w:val="00B43EF5"/>
    <w:rsid w:val="00B80C78"/>
    <w:rsid w:val="00B8566F"/>
    <w:rsid w:val="00BA3351"/>
    <w:rsid w:val="00BB3C23"/>
    <w:rsid w:val="00BB68AD"/>
    <w:rsid w:val="00BC2447"/>
    <w:rsid w:val="00BC32F0"/>
    <w:rsid w:val="00BD0BF0"/>
    <w:rsid w:val="00BD3A2A"/>
    <w:rsid w:val="00BD5918"/>
    <w:rsid w:val="00BD77DA"/>
    <w:rsid w:val="00BF05A5"/>
    <w:rsid w:val="00C1161D"/>
    <w:rsid w:val="00C44434"/>
    <w:rsid w:val="00C44F39"/>
    <w:rsid w:val="00C529B2"/>
    <w:rsid w:val="00C56E45"/>
    <w:rsid w:val="00C7526C"/>
    <w:rsid w:val="00C817C9"/>
    <w:rsid w:val="00C829C9"/>
    <w:rsid w:val="00C84758"/>
    <w:rsid w:val="00CA5003"/>
    <w:rsid w:val="00CC6D48"/>
    <w:rsid w:val="00CD29C2"/>
    <w:rsid w:val="00CD3F74"/>
    <w:rsid w:val="00CD4557"/>
    <w:rsid w:val="00CE53F1"/>
    <w:rsid w:val="00CF7D72"/>
    <w:rsid w:val="00D24C7A"/>
    <w:rsid w:val="00D44769"/>
    <w:rsid w:val="00D5649A"/>
    <w:rsid w:val="00D66482"/>
    <w:rsid w:val="00D75DA6"/>
    <w:rsid w:val="00D83D4C"/>
    <w:rsid w:val="00D97F19"/>
    <w:rsid w:val="00DD24DA"/>
    <w:rsid w:val="00DD7BE4"/>
    <w:rsid w:val="00DE3499"/>
    <w:rsid w:val="00E00467"/>
    <w:rsid w:val="00E206E4"/>
    <w:rsid w:val="00E21BAE"/>
    <w:rsid w:val="00E44C96"/>
    <w:rsid w:val="00E501C4"/>
    <w:rsid w:val="00E53549"/>
    <w:rsid w:val="00E9159A"/>
    <w:rsid w:val="00EB328E"/>
    <w:rsid w:val="00EC668E"/>
    <w:rsid w:val="00ED4AF5"/>
    <w:rsid w:val="00ED6C9B"/>
    <w:rsid w:val="00F61190"/>
    <w:rsid w:val="00F61191"/>
    <w:rsid w:val="00F71B21"/>
    <w:rsid w:val="00F83D79"/>
    <w:rsid w:val="00F97751"/>
    <w:rsid w:val="00FC4815"/>
    <w:rsid w:val="00FC634B"/>
    <w:rsid w:val="00FD24A6"/>
    <w:rsid w:val="00FE18DC"/>
    <w:rsid w:val="065E7B2F"/>
    <w:rsid w:val="0AF3667A"/>
    <w:rsid w:val="11FF256D"/>
    <w:rsid w:val="12AC5E39"/>
    <w:rsid w:val="18BB4604"/>
    <w:rsid w:val="1EFC3093"/>
    <w:rsid w:val="23EA3838"/>
    <w:rsid w:val="24EF58C2"/>
    <w:rsid w:val="29622B06"/>
    <w:rsid w:val="394C6191"/>
    <w:rsid w:val="3A2C508F"/>
    <w:rsid w:val="3F6A5E19"/>
    <w:rsid w:val="426D005F"/>
    <w:rsid w:val="4376499A"/>
    <w:rsid w:val="4488081E"/>
    <w:rsid w:val="4ABB693D"/>
    <w:rsid w:val="504D51C4"/>
    <w:rsid w:val="513E1322"/>
    <w:rsid w:val="5BD5095A"/>
    <w:rsid w:val="5FB9735A"/>
    <w:rsid w:val="61781E3D"/>
    <w:rsid w:val="62E70A4E"/>
    <w:rsid w:val="650F4164"/>
    <w:rsid w:val="662F5F39"/>
    <w:rsid w:val="67AF44AA"/>
    <w:rsid w:val="6BE91D63"/>
    <w:rsid w:val="74582108"/>
    <w:rsid w:val="74CB0B2C"/>
    <w:rsid w:val="78177F6D"/>
    <w:rsid w:val="7AF83C37"/>
    <w:rsid w:val="7B9262F4"/>
    <w:rsid w:val="7EA43C72"/>
    <w:rsid w:val="7EF863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qFormat="1" w:unhideWhenUsed="0" w:uiPriority="99" w:semiHidden="0"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19"/>
    <w:qFormat/>
    <w:uiPriority w:val="0"/>
    <w:pPr>
      <w:jc w:val="center"/>
    </w:pPr>
    <w:rPr>
      <w:rFonts w:ascii="华文新魏" w:eastAsia="华文新魏"/>
      <w:sz w:val="48"/>
      <w:szCs w:val="44"/>
    </w:rPr>
  </w:style>
  <w:style w:type="paragraph" w:styleId="3">
    <w:name w:val="toc 5"/>
    <w:basedOn w:val="1"/>
    <w:next w:val="1"/>
    <w:qFormat/>
    <w:uiPriority w:val="99"/>
    <w:pPr>
      <w:ind w:left="1680"/>
    </w:pPr>
    <w:rPr>
      <w:kern w:val="1"/>
      <w:szCs w:val="24"/>
    </w:rPr>
  </w:style>
  <w:style w:type="paragraph" w:styleId="4">
    <w:name w:val="annotation text"/>
    <w:basedOn w:val="1"/>
    <w:link w:val="18"/>
    <w:semiHidden/>
    <w:unhideWhenUsed/>
    <w:qFormat/>
    <w:uiPriority w:val="99"/>
    <w:pPr>
      <w:jc w:val="left"/>
    </w:pPr>
  </w:style>
  <w:style w:type="paragraph" w:styleId="5">
    <w:name w:val="Balloon Text"/>
    <w:basedOn w:val="1"/>
    <w:link w:val="13"/>
    <w:semiHidden/>
    <w:unhideWhenUsed/>
    <w:qFormat/>
    <w:uiPriority w:val="99"/>
    <w:rPr>
      <w:sz w:val="18"/>
      <w:szCs w:val="18"/>
    </w:rPr>
  </w:style>
  <w:style w:type="paragraph" w:styleId="6">
    <w:name w:val="footer"/>
    <w:basedOn w:val="1"/>
    <w:link w:val="14"/>
    <w:unhideWhenUsed/>
    <w:qFormat/>
    <w:uiPriority w:val="0"/>
    <w:pPr>
      <w:tabs>
        <w:tab w:val="center" w:pos="4153"/>
        <w:tab w:val="right" w:pos="8306"/>
      </w:tabs>
      <w:snapToGrid w:val="0"/>
      <w:jc w:val="left"/>
    </w:pPr>
    <w:rPr>
      <w:sz w:val="18"/>
      <w:szCs w:val="18"/>
    </w:rPr>
  </w:style>
  <w:style w:type="paragraph" w:styleId="7">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table" w:styleId="9">
    <w:name w:val="Table Grid"/>
    <w:basedOn w:val="8"/>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11">
    <w:name w:val="annotation reference"/>
    <w:basedOn w:val="10"/>
    <w:semiHidden/>
    <w:unhideWhenUsed/>
    <w:qFormat/>
    <w:uiPriority w:val="99"/>
    <w:rPr>
      <w:sz w:val="21"/>
      <w:szCs w:val="21"/>
    </w:rPr>
  </w:style>
  <w:style w:type="paragraph" w:styleId="12">
    <w:name w:val="List Paragraph"/>
    <w:basedOn w:val="1"/>
    <w:qFormat/>
    <w:uiPriority w:val="34"/>
    <w:pPr>
      <w:ind w:firstLine="420" w:firstLineChars="200"/>
    </w:pPr>
  </w:style>
  <w:style w:type="character" w:customStyle="1" w:styleId="13">
    <w:name w:val="批注框文本 Char"/>
    <w:basedOn w:val="10"/>
    <w:link w:val="5"/>
    <w:semiHidden/>
    <w:qFormat/>
    <w:uiPriority w:val="99"/>
    <w:rPr>
      <w:sz w:val="18"/>
      <w:szCs w:val="18"/>
    </w:rPr>
  </w:style>
  <w:style w:type="character" w:customStyle="1" w:styleId="14">
    <w:name w:val="页脚 Char"/>
    <w:basedOn w:val="10"/>
    <w:link w:val="6"/>
    <w:qFormat/>
    <w:uiPriority w:val="0"/>
    <w:rPr>
      <w:sz w:val="18"/>
      <w:szCs w:val="18"/>
    </w:rPr>
  </w:style>
  <w:style w:type="character" w:customStyle="1" w:styleId="15">
    <w:name w:val="页眉 Char"/>
    <w:basedOn w:val="10"/>
    <w:link w:val="7"/>
    <w:qFormat/>
    <w:uiPriority w:val="99"/>
    <w:rPr>
      <w:sz w:val="18"/>
      <w:szCs w:val="18"/>
    </w:rPr>
  </w:style>
  <w:style w:type="paragraph" w:customStyle="1" w:styleId="16">
    <w:name w:val="列出段落2"/>
    <w:basedOn w:val="1"/>
    <w:qFormat/>
    <w:uiPriority w:val="0"/>
    <w:pPr>
      <w:ind w:firstLine="420" w:firstLineChars="200"/>
    </w:pPr>
  </w:style>
  <w:style w:type="paragraph" w:customStyle="1" w:styleId="17">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18">
    <w:name w:val="批注文字 Char"/>
    <w:basedOn w:val="10"/>
    <w:link w:val="4"/>
    <w:semiHidden/>
    <w:qFormat/>
    <w:uiPriority w:val="99"/>
    <w:rPr>
      <w:kern w:val="2"/>
      <w:sz w:val="21"/>
      <w:szCs w:val="22"/>
    </w:rPr>
  </w:style>
  <w:style w:type="character" w:customStyle="1" w:styleId="19">
    <w:name w:val="正文文本 Char"/>
    <w:basedOn w:val="10"/>
    <w:link w:val="2"/>
    <w:qFormat/>
    <w:uiPriority w:val="0"/>
    <w:rPr>
      <w:rFonts w:ascii="华文新魏" w:eastAsia="华文新魏"/>
      <w:kern w:val="2"/>
      <w:sz w:val="48"/>
      <w:szCs w:val="44"/>
    </w:rPr>
  </w:style>
  <w:style w:type="character" w:customStyle="1" w:styleId="20">
    <w:name w:val="font31"/>
    <w:basedOn w:val="10"/>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7CFCD58-3EDD-40EF-B9AC-070B1426D51C}">
  <ds:schemaRefs/>
</ds:datastoreItem>
</file>

<file path=docProps/app.xml><?xml version="1.0" encoding="utf-8"?>
<Properties xmlns="http://schemas.openxmlformats.org/officeDocument/2006/extended-properties" xmlns:vt="http://schemas.openxmlformats.org/officeDocument/2006/docPropsVTypes">
  <Template>Normal.dotm</Template>
  <Pages>6</Pages>
  <Words>3766</Words>
  <Characters>4209</Characters>
  <Lines>90</Lines>
  <Paragraphs>25</Paragraphs>
  <TotalTime>18</TotalTime>
  <ScaleCrop>false</ScaleCrop>
  <LinksUpToDate>false</LinksUpToDate>
  <CharactersWithSpaces>4229</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2023-07-03T07:17:00Z</dcterms:created>
  <dc:creator>Windows 用户</dc:creator>
  <cp:lastModifiedBy>WPS_1569921152</cp:lastModifiedBy>
  <cp:lastPrinted>2024-10-09T09:04:00Z</cp:lastPrinted>
  <dcterms:modified xsi:type="dcterms:W3CDTF">2026-05-19T07:55:29Z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7808CCF218DF4CB6A2023C6DD95E5988_13</vt:lpwstr>
  </property>
  <property fmtid="{D5CDD505-2E9C-101B-9397-08002B2CF9AE}" pid="4" name="KSOTemplateDocerSaveRecord">
    <vt:lpwstr>eyJoZGlkIjoiZTIwMTMwYTA2NTI3OTgwOGYwYzA4NmFiZDYzYTU5NzEiLCJ1c2VySWQiOiI2NzkzNTU2NjEifQ==</vt:lpwstr>
  </property>
</Properties>
</file>