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FE7E76">
      <w:pPr>
        <w:jc w:val="center"/>
        <w:rPr>
          <w:rFonts w:ascii="宋体" w:hAnsi="宋体"/>
          <w:b/>
          <w:color w:val="auto"/>
          <w:kern w:val="28"/>
          <w:sz w:val="44"/>
          <w:szCs w:val="36"/>
          <w:highlight w:val="none"/>
        </w:rPr>
      </w:pPr>
      <w:r>
        <w:rPr>
          <w:rFonts w:hint="eastAsia" w:ascii="宋体" w:hAnsi="宋体"/>
          <w:b/>
          <w:color w:val="auto"/>
          <w:kern w:val="28"/>
          <w:sz w:val="44"/>
          <w:szCs w:val="36"/>
          <w:highlight w:val="none"/>
        </w:rPr>
        <w:t>采购</w:t>
      </w:r>
      <w:r>
        <w:rPr>
          <w:rFonts w:ascii="宋体" w:hAnsi="宋体"/>
          <w:b/>
          <w:color w:val="auto"/>
          <w:kern w:val="28"/>
          <w:sz w:val="44"/>
          <w:szCs w:val="36"/>
          <w:highlight w:val="none"/>
        </w:rPr>
        <w:t>需求书</w:t>
      </w:r>
    </w:p>
    <w:p w14:paraId="471EC5A6">
      <w:pPr>
        <w:numPr>
          <w:ilvl w:val="0"/>
          <w:numId w:val="1"/>
        </w:num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总则：</w:t>
      </w:r>
    </w:p>
    <w:p w14:paraId="6C9A8D54">
      <w:pPr>
        <w:numPr>
          <w:ilvl w:val="0"/>
          <w:numId w:val="2"/>
        </w:num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报价应包括标的设备（原装、全新合格的设备）、相关附件、配套设施、税费、运费、保险费、仓储费、安装调试、</w:t>
      </w:r>
      <w:r>
        <w:rPr>
          <w:rFonts w:hint="eastAsia" w:ascii="宋体" w:hAnsi="宋体" w:eastAsia="宋体" w:cs="宋体"/>
          <w:color w:val="auto"/>
          <w:sz w:val="21"/>
          <w:szCs w:val="21"/>
          <w:highlight w:val="none"/>
          <w:lang w:val="en-US" w:eastAsia="zh-CN"/>
        </w:rPr>
        <w:t>中标服务费、售后服务、</w:t>
      </w:r>
      <w:r>
        <w:rPr>
          <w:color w:val="auto"/>
          <w:sz w:val="21"/>
          <w:highlight w:val="none"/>
        </w:rPr>
        <w:t>系统对接费、端口对接费</w:t>
      </w:r>
      <w:r>
        <w:rPr>
          <w:rFonts w:hint="eastAsia" w:ascii="宋体" w:hAnsi="宋体" w:eastAsia="宋体" w:cs="宋体"/>
          <w:color w:val="auto"/>
          <w:sz w:val="21"/>
          <w:szCs w:val="21"/>
          <w:highlight w:val="none"/>
          <w:lang w:val="en-US" w:eastAsia="zh-CN"/>
        </w:rPr>
        <w:t>（含支付给第三方厂商的对接费用）、</w:t>
      </w:r>
      <w:r>
        <w:rPr>
          <w:rFonts w:hint="eastAsia" w:ascii="宋体" w:hAnsi="宋体" w:eastAsia="宋体" w:cs="宋体"/>
          <w:color w:val="auto"/>
          <w:sz w:val="21"/>
          <w:szCs w:val="21"/>
          <w:highlight w:val="none"/>
        </w:rPr>
        <w:t>培训、质保</w:t>
      </w:r>
      <w:r>
        <w:rPr>
          <w:rFonts w:hint="eastAsia" w:ascii="宋体" w:hAnsi="宋体" w:eastAsia="宋体" w:cs="宋体"/>
          <w:color w:val="auto"/>
          <w:sz w:val="21"/>
          <w:szCs w:val="21"/>
          <w:highlight w:val="none"/>
          <w:lang w:val="en-US" w:eastAsia="zh-CN"/>
        </w:rPr>
        <w:t>及合同实施过程中不可预见费用等</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en-US" w:eastAsia="zh-CN"/>
        </w:rPr>
        <w:t>相关</w:t>
      </w:r>
      <w:r>
        <w:rPr>
          <w:rFonts w:hint="eastAsia" w:ascii="宋体" w:hAnsi="宋体" w:eastAsia="宋体" w:cs="宋体"/>
          <w:color w:val="auto"/>
          <w:sz w:val="21"/>
          <w:szCs w:val="21"/>
          <w:highlight w:val="none"/>
        </w:rPr>
        <w:t>全部费用，在项目实施过程中出现报价内容的任何遗漏，均由</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负责相关费用，采购人将不再支付任何费用。</w:t>
      </w:r>
    </w:p>
    <w:p w14:paraId="3BDC6051">
      <w:pPr>
        <w:pStyle w:val="3"/>
        <w:numPr>
          <w:ilvl w:val="0"/>
          <w:numId w:val="2"/>
        </w:numP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lang w:eastAsia="zh-CN"/>
        </w:rPr>
        <w:t>采购需求</w:t>
      </w:r>
      <w:r>
        <w:rPr>
          <w:rFonts w:hint="eastAsia" w:ascii="宋体" w:hAnsi="宋体" w:eastAsia="宋体" w:cs="宋体"/>
          <w:color w:val="auto"/>
          <w:sz w:val="21"/>
          <w:szCs w:val="21"/>
          <w:highlight w:val="none"/>
        </w:rPr>
        <w:t>中凡有“★”标识的内容条款为关键条款，</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必须对此</w:t>
      </w:r>
      <w:r>
        <w:rPr>
          <w:rFonts w:hint="eastAsia" w:ascii="宋体" w:hAnsi="宋体" w:eastAsia="宋体" w:cs="宋体"/>
          <w:color w:val="auto"/>
          <w:sz w:val="21"/>
          <w:szCs w:val="21"/>
          <w:highlight w:val="none"/>
          <w:lang w:val="en-US" w:eastAsia="zh-CN"/>
        </w:rPr>
        <w:t>作出</w:t>
      </w:r>
      <w:r>
        <w:rPr>
          <w:rFonts w:hint="eastAsia" w:ascii="宋体" w:hAnsi="宋体" w:eastAsia="宋体" w:cs="宋体"/>
          <w:color w:val="auto"/>
          <w:sz w:val="21"/>
          <w:szCs w:val="21"/>
          <w:highlight w:val="none"/>
        </w:rPr>
        <w:t>回答并完全满足这些要求不可以出现任何负偏离，对这些关键条款的任何负偏离将视为无效投标。</w:t>
      </w:r>
    </w:p>
    <w:p w14:paraId="29457C8E">
      <w:pPr>
        <w:pStyle w:val="3"/>
        <w:numPr>
          <w:ilvl w:val="0"/>
          <w:numId w:val="2"/>
        </w:numP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加注“▲”的内容为重点评标项目，</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必须对该标识项目按照要求进行真实应答描述。但不作为无效投标条款。</w:t>
      </w:r>
    </w:p>
    <w:p w14:paraId="06A8483C">
      <w:pPr>
        <w:pStyle w:val="3"/>
        <w:numPr>
          <w:ilvl w:val="0"/>
          <w:numId w:val="2"/>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kern w:val="2"/>
          <w:sz w:val="21"/>
          <w:szCs w:val="21"/>
          <w:highlight w:val="none"/>
          <w:lang w:val="en-US" w:eastAsia="zh-CN" w:bidi="ar-SA"/>
        </w:rPr>
        <w:t>投标人所投设备如属于医疗器械设备（含医用耗材），</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应该符合《医疗器械经营质量管理规范》和《医疗器械监督管理条例》规定，并结合本项目特性提供</w:t>
      </w:r>
      <w:r>
        <w:rPr>
          <w:rFonts w:hint="eastAsia" w:ascii="宋体" w:hAnsi="宋体" w:eastAsia="宋体" w:cs="宋体"/>
          <w:color w:val="auto"/>
          <w:sz w:val="21"/>
          <w:szCs w:val="21"/>
          <w:highlight w:val="none"/>
          <w:lang w:val="en-US" w:eastAsia="zh-CN"/>
        </w:rPr>
        <w:t>设备或耗材的</w:t>
      </w:r>
      <w:r>
        <w:rPr>
          <w:rFonts w:hint="eastAsia" w:ascii="宋体" w:hAnsi="宋体" w:eastAsia="宋体" w:cs="宋体"/>
          <w:color w:val="auto"/>
          <w:sz w:val="21"/>
          <w:szCs w:val="21"/>
          <w:highlight w:val="none"/>
        </w:rPr>
        <w:t>有效医疗器械注册</w:t>
      </w:r>
      <w:r>
        <w:rPr>
          <w:rFonts w:hint="eastAsia" w:ascii="宋体" w:hAnsi="宋体" w:eastAsia="宋体" w:cs="宋体"/>
          <w:color w:val="auto"/>
          <w:sz w:val="21"/>
          <w:szCs w:val="21"/>
          <w:highlight w:val="none"/>
          <w:lang w:val="en-US" w:eastAsia="zh-CN"/>
        </w:rPr>
        <w:t>证或</w:t>
      </w:r>
      <w:r>
        <w:rPr>
          <w:rFonts w:hint="eastAsia" w:ascii="宋体" w:hAnsi="宋体" w:eastAsia="宋体" w:cs="宋体"/>
          <w:color w:val="auto"/>
          <w:sz w:val="21"/>
          <w:szCs w:val="21"/>
          <w:highlight w:val="none"/>
        </w:rPr>
        <w:t>备案证明材料和</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的经营许可</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备案证明材料</w:t>
      </w:r>
      <w:r>
        <w:rPr>
          <w:rFonts w:hint="eastAsia" w:ascii="宋体" w:hAnsi="宋体" w:eastAsia="宋体" w:cs="宋体"/>
          <w:color w:val="auto"/>
          <w:kern w:val="2"/>
          <w:sz w:val="21"/>
          <w:szCs w:val="21"/>
          <w:highlight w:val="none"/>
          <w:lang w:val="en-US" w:eastAsia="zh-CN" w:bidi="ar-SA"/>
        </w:rPr>
        <w:t>（提供证明材料复印件加盖公章）</w:t>
      </w:r>
      <w:r>
        <w:rPr>
          <w:rFonts w:hint="eastAsia" w:ascii="宋体" w:hAnsi="宋体" w:eastAsia="宋体" w:cs="宋体"/>
          <w:color w:val="auto"/>
          <w:sz w:val="21"/>
          <w:szCs w:val="21"/>
          <w:highlight w:val="none"/>
        </w:rPr>
        <w:t>。</w:t>
      </w:r>
      <w:r>
        <w:rPr>
          <w:rFonts w:hint="eastAsia" w:ascii="宋体" w:hAnsi="宋体" w:eastAsia="宋体" w:cs="宋体"/>
          <w:color w:val="auto"/>
          <w:kern w:val="2"/>
          <w:sz w:val="21"/>
          <w:szCs w:val="21"/>
          <w:highlight w:val="none"/>
          <w:lang w:val="en-US" w:eastAsia="zh-CN" w:bidi="ar-SA"/>
        </w:rPr>
        <w:t>所投设备（含医用耗材）必须是在医疗器械注册证或备案证明有效期内生产的产品。不属于医疗器械设备无须提供医疗器械注册证或备案证。</w:t>
      </w:r>
    </w:p>
    <w:p w14:paraId="6DD31A32">
      <w:pPr>
        <w:pStyle w:val="3"/>
        <w:numPr>
          <w:ilvl w:val="0"/>
          <w:numId w:val="2"/>
        </w:numP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本文的“质保期”是指中标标的物经约定的验收机构完成验收之日起算，截至</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承诺的期限。</w:t>
      </w:r>
    </w:p>
    <w:p w14:paraId="2B9D2695">
      <w:pPr>
        <w:numPr>
          <w:ilvl w:val="0"/>
          <w:numId w:val="1"/>
        </w:num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基本需求</w:t>
      </w:r>
    </w:p>
    <w:tbl>
      <w:tblPr>
        <w:tblStyle w:val="8"/>
        <w:tblW w:w="8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74"/>
        <w:gridCol w:w="2268"/>
        <w:gridCol w:w="2508"/>
      </w:tblGrid>
      <w:tr w14:paraId="3984A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274" w:type="dxa"/>
          </w:tcPr>
          <w:p w14:paraId="7C38D922">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2268" w:type="dxa"/>
          </w:tcPr>
          <w:p w14:paraId="15D6B59C">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需求科室/部门</w:t>
            </w:r>
          </w:p>
        </w:tc>
        <w:tc>
          <w:tcPr>
            <w:tcW w:w="2508" w:type="dxa"/>
          </w:tcPr>
          <w:p w14:paraId="67829918">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数量（套）</w:t>
            </w:r>
          </w:p>
        </w:tc>
      </w:tr>
      <w:tr w14:paraId="33EE9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3274" w:type="dxa"/>
          </w:tcPr>
          <w:p w14:paraId="611AB3E1">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可视喉镜（可重复消毒）</w:t>
            </w:r>
          </w:p>
        </w:tc>
        <w:tc>
          <w:tcPr>
            <w:tcW w:w="2268" w:type="dxa"/>
          </w:tcPr>
          <w:p w14:paraId="29F1C941">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CCU（心脏重症监护）</w:t>
            </w:r>
          </w:p>
        </w:tc>
        <w:tc>
          <w:tcPr>
            <w:tcW w:w="2508" w:type="dxa"/>
          </w:tcPr>
          <w:p w14:paraId="5937043E">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r>
    </w:tbl>
    <w:p w14:paraId="26B12F7A">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核心产品：可视喉镜</w:t>
      </w:r>
    </w:p>
    <w:p w14:paraId="01316140">
      <w:pPr>
        <w:spacing w:line="44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用途：用于医疗机构在抢救/建立人工气道时导入气管插管。</w:t>
      </w:r>
    </w:p>
    <w:p w14:paraId="2D613B86">
      <w:pPr>
        <w:spacing w:line="440" w:lineRule="exact"/>
        <w:rPr>
          <w:rFonts w:hint="eastAsia" w:ascii="宋体" w:hAnsi="宋体" w:eastAsia="宋体" w:cs="宋体"/>
          <w:color w:val="auto"/>
          <w:sz w:val="21"/>
          <w:szCs w:val="21"/>
          <w:highlight w:val="none"/>
        </w:rPr>
      </w:pPr>
    </w:p>
    <w:p w14:paraId="38EFFBA2">
      <w:pPr>
        <w:spacing w:line="44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设备符合中山市物价收费名目：</w:t>
      </w:r>
    </w:p>
    <w:tbl>
      <w:tblPr>
        <w:tblStyle w:val="7"/>
        <w:tblW w:w="655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236"/>
        <w:gridCol w:w="2225"/>
        <w:gridCol w:w="2092"/>
      </w:tblGrid>
      <w:tr w14:paraId="48967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2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0E7A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中山市物价编码</w:t>
            </w:r>
          </w:p>
        </w:tc>
        <w:tc>
          <w:tcPr>
            <w:tcW w:w="2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5C47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收费项目名称</w:t>
            </w:r>
          </w:p>
        </w:tc>
        <w:tc>
          <w:tcPr>
            <w:tcW w:w="2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EC5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收费单价（元）</w:t>
            </w:r>
          </w:p>
        </w:tc>
      </w:tr>
      <w:tr w14:paraId="1D692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03F17">
            <w:pPr>
              <w:keepNext w:val="0"/>
              <w:keepLines w:val="0"/>
              <w:widowControl/>
              <w:suppressLineNumbers w:val="0"/>
              <w:jc w:val="left"/>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330100013-2</w:t>
            </w:r>
          </w:p>
        </w:tc>
        <w:tc>
          <w:tcPr>
            <w:tcW w:w="2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ADD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气管插管术加收(使用观察用内窥镜)</w:t>
            </w:r>
          </w:p>
        </w:tc>
        <w:tc>
          <w:tcPr>
            <w:tcW w:w="20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A075A">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306</w:t>
            </w:r>
          </w:p>
        </w:tc>
      </w:tr>
    </w:tbl>
    <w:p w14:paraId="2A29200A">
      <w:pPr>
        <w:spacing w:line="440" w:lineRule="exact"/>
        <w:rPr>
          <w:rFonts w:hint="eastAsia" w:ascii="宋体" w:hAnsi="宋体" w:eastAsia="宋体" w:cs="宋体"/>
          <w:color w:val="auto"/>
          <w:sz w:val="21"/>
          <w:szCs w:val="21"/>
          <w:highlight w:val="none"/>
        </w:rPr>
      </w:pPr>
    </w:p>
    <w:p w14:paraId="247ACE54">
      <w:pPr>
        <w:spacing w:line="440" w:lineRule="exact"/>
        <w:rPr>
          <w:rFonts w:hint="eastAsia" w:ascii="宋体" w:hAnsi="宋体" w:eastAsia="宋体" w:cs="宋体"/>
          <w:b/>
          <w:color w:val="auto"/>
          <w:sz w:val="21"/>
          <w:szCs w:val="21"/>
          <w:highlight w:val="none"/>
        </w:rPr>
      </w:pPr>
    </w:p>
    <w:p w14:paraId="670577ED">
      <w:pPr>
        <w:spacing w:line="440" w:lineRule="exact"/>
        <w:rPr>
          <w:rFonts w:hint="eastAsia" w:ascii="宋体" w:hAnsi="宋体" w:eastAsia="宋体" w:cs="宋体"/>
          <w:b/>
          <w:color w:val="auto"/>
          <w:sz w:val="21"/>
          <w:szCs w:val="21"/>
          <w:highlight w:val="none"/>
        </w:rPr>
      </w:pPr>
    </w:p>
    <w:p w14:paraId="5DAEFC24">
      <w:pPr>
        <w:spacing w:line="440" w:lineRule="exact"/>
        <w:rPr>
          <w:rFonts w:hint="eastAsia" w:ascii="宋体" w:hAnsi="宋体" w:eastAsia="宋体" w:cs="宋体"/>
          <w:b/>
          <w:color w:val="auto"/>
          <w:sz w:val="21"/>
          <w:szCs w:val="21"/>
          <w:highlight w:val="none"/>
        </w:rPr>
      </w:pPr>
    </w:p>
    <w:p w14:paraId="426AD8A4">
      <w:pPr>
        <w:numPr>
          <w:ilvl w:val="0"/>
          <w:numId w:val="1"/>
        </w:num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技术参数：</w:t>
      </w:r>
    </w:p>
    <w:p w14:paraId="43C82336">
      <w:pPr>
        <w:pStyle w:val="6"/>
        <w:keepNext w:val="0"/>
        <w:keepLines w:val="0"/>
        <w:widowControl/>
        <w:numPr>
          <w:ilvl w:val="0"/>
          <w:numId w:val="3"/>
        </w:numPr>
        <w:suppressLineNumbers w:val="0"/>
        <w:ind w:left="425" w:leftChars="0" w:hanging="425"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采用电子成像技术；</w:t>
      </w:r>
    </w:p>
    <w:p w14:paraId="4CA4C264">
      <w:pPr>
        <w:pStyle w:val="6"/>
        <w:keepNext w:val="0"/>
        <w:keepLines w:val="0"/>
        <w:widowControl/>
        <w:numPr>
          <w:ilvl w:val="0"/>
          <w:numId w:val="3"/>
        </w:numPr>
        <w:suppressLineNumbers w:val="0"/>
        <w:ind w:left="425" w:leftChars="0" w:hanging="425" w:firstLineChars="0"/>
        <w:rPr>
          <w:rFonts w:hint="eastAsia" w:ascii="宋体" w:hAnsi="宋体" w:eastAsia="宋体" w:cs="宋体"/>
          <w:color w:val="0000FF"/>
          <w:kern w:val="2"/>
          <w:sz w:val="21"/>
          <w:szCs w:val="21"/>
          <w:highlight w:val="none"/>
          <w:lang w:val="en-US" w:eastAsia="zh-CN" w:bidi="ar-SA"/>
        </w:rPr>
      </w:pPr>
      <w:r>
        <w:rPr>
          <w:rFonts w:hint="eastAsia" w:ascii="宋体" w:hAnsi="宋体" w:eastAsia="宋体" w:cs="宋体"/>
          <w:color w:val="0000FF"/>
          <w:kern w:val="2"/>
          <w:sz w:val="21"/>
          <w:szCs w:val="21"/>
          <w:highlight w:val="none"/>
          <w:lang w:val="en-US" w:eastAsia="zh-CN" w:bidi="ar-SA"/>
        </w:rPr>
        <w:t>视野角≥60 °；</w:t>
      </w:r>
    </w:p>
    <w:p w14:paraId="21FC7B2B">
      <w:pPr>
        <w:pStyle w:val="6"/>
        <w:keepNext w:val="0"/>
        <w:keepLines w:val="0"/>
        <w:widowControl/>
        <w:numPr>
          <w:ilvl w:val="0"/>
          <w:numId w:val="3"/>
        </w:numPr>
        <w:suppressLineNumbers w:val="0"/>
        <w:ind w:left="425" w:leftChars="0" w:hanging="425" w:firstLineChars="0"/>
        <w:rPr>
          <w:rFonts w:hint="eastAsia" w:ascii="宋体" w:hAnsi="宋体" w:eastAsia="宋体" w:cs="宋体"/>
          <w:color w:val="0000FF"/>
          <w:kern w:val="2"/>
          <w:sz w:val="21"/>
          <w:szCs w:val="21"/>
          <w:highlight w:val="none"/>
          <w:lang w:val="en-US" w:eastAsia="zh-CN" w:bidi="ar-SA"/>
        </w:rPr>
      </w:pPr>
      <w:r>
        <w:rPr>
          <w:rFonts w:hint="eastAsia" w:ascii="宋体" w:hAnsi="宋体" w:eastAsia="宋体" w:cs="宋体"/>
          <w:color w:val="0000FF"/>
          <w:kern w:val="2"/>
          <w:sz w:val="21"/>
          <w:szCs w:val="21"/>
          <w:highlight w:val="none"/>
          <w:lang w:val="en-US" w:eastAsia="zh-CN" w:bidi="ar-SA"/>
        </w:rPr>
        <w:t>视向角：0 °（直视）；</w:t>
      </w:r>
    </w:p>
    <w:p w14:paraId="0D5E49A5">
      <w:pPr>
        <w:pStyle w:val="6"/>
        <w:keepNext w:val="0"/>
        <w:keepLines w:val="0"/>
        <w:widowControl/>
        <w:numPr>
          <w:ilvl w:val="0"/>
          <w:numId w:val="3"/>
        </w:numPr>
        <w:suppressLineNumbers w:val="0"/>
        <w:ind w:left="425" w:leftChars="0" w:hanging="425" w:firstLineChars="0"/>
        <w:rPr>
          <w:rFonts w:hint="eastAsia" w:ascii="宋体" w:hAnsi="宋体" w:eastAsia="宋体" w:cs="宋体"/>
          <w:color w:val="0000FF"/>
          <w:kern w:val="2"/>
          <w:sz w:val="21"/>
          <w:szCs w:val="21"/>
          <w:highlight w:val="none"/>
          <w:lang w:val="en-US" w:eastAsia="zh-CN" w:bidi="ar-SA"/>
        </w:rPr>
      </w:pPr>
      <w:r>
        <w:rPr>
          <w:rFonts w:hint="eastAsia" w:ascii="宋体" w:hAnsi="宋体" w:eastAsia="宋体" w:cs="宋体"/>
          <w:color w:val="0000FF"/>
          <w:kern w:val="2"/>
          <w:sz w:val="21"/>
          <w:szCs w:val="21"/>
          <w:highlight w:val="none"/>
          <w:lang w:val="en-US" w:eastAsia="zh-CN" w:bidi="ar-SA"/>
        </w:rPr>
        <w:t>景深30～100mm；</w:t>
      </w:r>
    </w:p>
    <w:p w14:paraId="4E6DBF44">
      <w:pPr>
        <w:pStyle w:val="6"/>
        <w:keepNext w:val="0"/>
        <w:keepLines w:val="0"/>
        <w:widowControl/>
        <w:numPr>
          <w:ilvl w:val="0"/>
          <w:numId w:val="3"/>
        </w:numPr>
        <w:suppressLineNumbers w:val="0"/>
        <w:ind w:left="425" w:leftChars="0" w:hanging="425"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采用≥3.5英寸触摸显示屏；</w:t>
      </w:r>
    </w:p>
    <w:p w14:paraId="0C250CA7">
      <w:pPr>
        <w:pStyle w:val="6"/>
        <w:keepNext w:val="0"/>
        <w:keepLines w:val="0"/>
        <w:widowControl/>
        <w:numPr>
          <w:ilvl w:val="0"/>
          <w:numId w:val="3"/>
        </w:numPr>
        <w:suppressLineNumbers w:val="0"/>
        <w:ind w:left="425" w:leftChars="0" w:hanging="425"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显示分辨率≥640（RGB）X480；</w:t>
      </w:r>
    </w:p>
    <w:p w14:paraId="78665138">
      <w:pPr>
        <w:pStyle w:val="6"/>
        <w:keepNext w:val="0"/>
        <w:keepLines w:val="0"/>
        <w:widowControl/>
        <w:numPr>
          <w:ilvl w:val="0"/>
          <w:numId w:val="3"/>
        </w:numPr>
        <w:suppressLineNumbers w:val="0"/>
        <w:ind w:left="425" w:leftChars="0" w:hanging="425"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显示屏可以上下倾斜0~ 160 °，左右旋转左右各≥150 °；</w:t>
      </w:r>
    </w:p>
    <w:p w14:paraId="40CA6390">
      <w:pPr>
        <w:pStyle w:val="6"/>
        <w:keepNext w:val="0"/>
        <w:keepLines w:val="0"/>
        <w:widowControl/>
        <w:numPr>
          <w:ilvl w:val="0"/>
          <w:numId w:val="3"/>
        </w:numPr>
        <w:suppressLineNumbers w:val="0"/>
        <w:ind w:left="425" w:leftChars="0" w:hanging="425"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具备拍照、录像功能；</w:t>
      </w:r>
    </w:p>
    <w:p w14:paraId="4F8F21DC">
      <w:pPr>
        <w:pStyle w:val="6"/>
        <w:keepNext w:val="0"/>
        <w:keepLines w:val="0"/>
        <w:widowControl/>
        <w:numPr>
          <w:ilvl w:val="0"/>
          <w:numId w:val="3"/>
        </w:numPr>
        <w:suppressLineNumbers w:val="0"/>
        <w:ind w:left="425" w:leftChars="0" w:hanging="425"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配备一体便携式显示器，单独或配合外接监视器均可使用；</w:t>
      </w:r>
    </w:p>
    <w:p w14:paraId="50100C4D">
      <w:pPr>
        <w:pStyle w:val="6"/>
        <w:keepNext w:val="0"/>
        <w:keepLines w:val="0"/>
        <w:widowControl/>
        <w:numPr>
          <w:ilvl w:val="0"/>
          <w:numId w:val="3"/>
        </w:numPr>
        <w:suppressLineNumbers w:val="0"/>
        <w:ind w:left="425" w:leftChars="0" w:hanging="425"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具有视频同步输出功能，可配合外接监视器使用；</w:t>
      </w:r>
    </w:p>
    <w:p w14:paraId="530C279B">
      <w:pPr>
        <w:pStyle w:val="6"/>
        <w:keepNext w:val="0"/>
        <w:keepLines w:val="0"/>
        <w:widowControl/>
        <w:numPr>
          <w:ilvl w:val="0"/>
          <w:numId w:val="3"/>
        </w:numPr>
        <w:suppressLineNumbers w:val="0"/>
        <w:ind w:left="425" w:leftChars="0" w:hanging="425"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显示屏与操作部采用平面触点式电气连接，使用接触更稳定、耐用；</w:t>
      </w:r>
    </w:p>
    <w:p w14:paraId="3DB2B2A1">
      <w:pPr>
        <w:pStyle w:val="6"/>
        <w:keepNext w:val="0"/>
        <w:keepLines w:val="0"/>
        <w:widowControl/>
        <w:numPr>
          <w:ilvl w:val="0"/>
          <w:numId w:val="3"/>
        </w:numPr>
        <w:suppressLineNumbers w:val="0"/>
        <w:ind w:left="425" w:leftChars="0" w:hanging="425"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▲显示器与操作部为一键卡口（插拔式）锁定结构，装卸快捷、可靠；</w:t>
      </w:r>
    </w:p>
    <w:p w14:paraId="73D778F6">
      <w:pPr>
        <w:pStyle w:val="6"/>
        <w:keepNext w:val="0"/>
        <w:keepLines w:val="0"/>
        <w:widowControl/>
        <w:numPr>
          <w:ilvl w:val="0"/>
          <w:numId w:val="3"/>
        </w:numPr>
        <w:suppressLineNumbers w:val="0"/>
        <w:ind w:left="425" w:leftChars="0" w:hanging="425"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提供操作软件系统终身免费升级；</w:t>
      </w:r>
    </w:p>
    <w:p w14:paraId="6EB6760F">
      <w:pPr>
        <w:pStyle w:val="6"/>
        <w:keepNext w:val="0"/>
        <w:keepLines w:val="0"/>
        <w:widowControl/>
        <w:numPr>
          <w:ilvl w:val="0"/>
          <w:numId w:val="3"/>
        </w:numPr>
        <w:suppressLineNumbers w:val="0"/>
        <w:ind w:left="425" w:leftChars="0" w:hanging="425"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光源照明亮度≥5级调节，优化图像质量；</w:t>
      </w:r>
    </w:p>
    <w:p w14:paraId="4787D5D0">
      <w:pPr>
        <w:pStyle w:val="6"/>
        <w:keepNext w:val="0"/>
        <w:keepLines w:val="0"/>
        <w:widowControl/>
        <w:numPr>
          <w:ilvl w:val="0"/>
          <w:numId w:val="3"/>
        </w:numPr>
        <w:suppressLineNumbers w:val="0"/>
        <w:ind w:left="425" w:leftChars="0" w:hanging="425"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电池为非专机专用电池</w:t>
      </w:r>
      <w:r>
        <w:rPr>
          <w:rFonts w:hint="eastAsia" w:ascii="宋体" w:hAnsi="宋体" w:eastAsia="宋体" w:cs="宋体"/>
          <w:color w:val="auto"/>
          <w:kern w:val="2"/>
          <w:sz w:val="21"/>
          <w:szCs w:val="21"/>
          <w:highlight w:val="none"/>
          <w:lang w:val="en-US" w:eastAsia="zh-CN" w:bidi="ar-SA"/>
        </w:rPr>
        <w:t>，连续工作≥3小时；</w:t>
      </w:r>
    </w:p>
    <w:p w14:paraId="3A6DDFC5">
      <w:pPr>
        <w:pStyle w:val="6"/>
        <w:keepNext w:val="0"/>
        <w:keepLines w:val="0"/>
        <w:widowControl/>
        <w:numPr>
          <w:ilvl w:val="0"/>
          <w:numId w:val="3"/>
        </w:numPr>
        <w:suppressLineNumbers w:val="0"/>
        <w:ind w:left="425" w:leftChars="0" w:hanging="425"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电池充电次数≥500次；</w:t>
      </w:r>
    </w:p>
    <w:p w14:paraId="3DDFF5E8">
      <w:pPr>
        <w:pStyle w:val="6"/>
        <w:keepNext w:val="0"/>
        <w:keepLines w:val="0"/>
        <w:widowControl/>
        <w:numPr>
          <w:ilvl w:val="0"/>
          <w:numId w:val="3"/>
        </w:numPr>
        <w:suppressLineNumbers w:val="0"/>
        <w:ind w:left="425" w:leftChars="0" w:hanging="425"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图像真实性：无明显几何失真；</w:t>
      </w:r>
      <w:bookmarkStart w:id="0" w:name="_GoBack"/>
      <w:bookmarkEnd w:id="0"/>
    </w:p>
    <w:p w14:paraId="4526FC15">
      <w:pPr>
        <w:pStyle w:val="6"/>
        <w:keepNext w:val="0"/>
        <w:keepLines w:val="0"/>
        <w:widowControl/>
        <w:numPr>
          <w:ilvl w:val="0"/>
          <w:numId w:val="3"/>
        </w:numPr>
        <w:suppressLineNumbers w:val="0"/>
        <w:ind w:left="425" w:leftChars="0" w:hanging="425"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自带光源，具备开机即可防雾功能，无需预热；</w:t>
      </w:r>
    </w:p>
    <w:p w14:paraId="690FD59A">
      <w:pPr>
        <w:pStyle w:val="6"/>
        <w:keepNext w:val="0"/>
        <w:keepLines w:val="0"/>
        <w:widowControl/>
        <w:numPr>
          <w:ilvl w:val="0"/>
          <w:numId w:val="3"/>
        </w:numPr>
        <w:suppressLineNumbers w:val="0"/>
        <w:ind w:left="425" w:leftChars="0" w:hanging="425"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操作手柄完全密封防水，达到IPX7要求；</w:t>
      </w:r>
    </w:p>
    <w:p w14:paraId="2E1C19B1">
      <w:pPr>
        <w:pStyle w:val="6"/>
        <w:keepNext w:val="0"/>
        <w:keepLines w:val="0"/>
        <w:widowControl/>
        <w:numPr>
          <w:ilvl w:val="0"/>
          <w:numId w:val="3"/>
        </w:numPr>
        <w:suppressLineNumbers w:val="0"/>
        <w:ind w:left="425" w:leftChars="0" w:hanging="425"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储存容量≥8GB；</w:t>
      </w:r>
    </w:p>
    <w:p w14:paraId="65C4510A">
      <w:pPr>
        <w:pStyle w:val="6"/>
        <w:keepNext w:val="0"/>
        <w:keepLines w:val="0"/>
        <w:widowControl/>
        <w:numPr>
          <w:ilvl w:val="0"/>
          <w:numId w:val="3"/>
        </w:numPr>
        <w:suppressLineNumbers w:val="0"/>
        <w:ind w:left="425" w:leftChars="0" w:hanging="425"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光照度≥400(Lux)；</w:t>
      </w:r>
    </w:p>
    <w:p w14:paraId="18BF5170">
      <w:pPr>
        <w:pStyle w:val="6"/>
        <w:keepNext w:val="0"/>
        <w:keepLines w:val="0"/>
        <w:widowControl/>
        <w:numPr>
          <w:ilvl w:val="0"/>
          <w:numId w:val="3"/>
        </w:numPr>
        <w:suppressLineNumbers w:val="0"/>
        <w:ind w:left="425" w:leftChars="0" w:hanging="425"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充电时间≤4小时；</w:t>
      </w:r>
    </w:p>
    <w:p w14:paraId="40E7F341">
      <w:pPr>
        <w:pStyle w:val="6"/>
        <w:keepNext w:val="0"/>
        <w:keepLines w:val="0"/>
        <w:widowControl/>
        <w:numPr>
          <w:ilvl w:val="0"/>
          <w:numId w:val="3"/>
        </w:numPr>
        <w:suppressLineNumbers w:val="0"/>
        <w:ind w:left="425" w:leftChars="0" w:hanging="425"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设备使用年限≥6年。</w:t>
      </w:r>
    </w:p>
    <w:p w14:paraId="5B198E0B">
      <w:pPr>
        <w:pStyle w:val="6"/>
        <w:keepNext w:val="0"/>
        <w:keepLines w:val="0"/>
        <w:widowControl/>
        <w:numPr>
          <w:ilvl w:val="0"/>
          <w:numId w:val="3"/>
        </w:numPr>
        <w:suppressLineNumbers w:val="0"/>
        <w:ind w:left="425" w:leftChars="0" w:hanging="425" w:firstLineChars="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CCU设备配置要求（标准套至少包含以下内容）</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2"/>
        <w:gridCol w:w="4375"/>
        <w:gridCol w:w="1197"/>
        <w:gridCol w:w="989"/>
      </w:tblGrid>
      <w:tr w14:paraId="7A17D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475F5B0F">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4375" w:type="dxa"/>
          </w:tcPr>
          <w:p w14:paraId="3C5FA1E8">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1197" w:type="dxa"/>
          </w:tcPr>
          <w:p w14:paraId="195DD9DE">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989" w:type="dxa"/>
          </w:tcPr>
          <w:p w14:paraId="349577F8">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r>
      <w:tr w14:paraId="10CC2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041D4B18">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375" w:type="dxa"/>
          </w:tcPr>
          <w:p w14:paraId="14DEE336">
            <w:pPr>
              <w:spacing w:line="440" w:lineRule="exact"/>
              <w:jc w:val="center"/>
              <w:rPr>
                <w:rFonts w:hint="default" w:ascii="宋体" w:hAnsi="宋体" w:eastAsia="宋体" w:cs="宋体"/>
                <w:b/>
                <w:color w:val="auto"/>
                <w:sz w:val="21"/>
                <w:szCs w:val="21"/>
                <w:highlight w:val="none"/>
                <w:lang w:val="en-US"/>
              </w:rPr>
            </w:pPr>
            <w:r>
              <w:rPr>
                <w:rFonts w:hint="eastAsia" w:ascii="宋体" w:hAnsi="宋体" w:eastAsia="宋体" w:cs="宋体"/>
                <w:color w:val="auto"/>
                <w:sz w:val="21"/>
                <w:szCs w:val="21"/>
                <w:highlight w:val="none"/>
                <w:lang w:val="en-US" w:eastAsia="zh-CN"/>
              </w:rPr>
              <w:t>可视喉镜主机</w:t>
            </w:r>
          </w:p>
        </w:tc>
        <w:tc>
          <w:tcPr>
            <w:tcW w:w="1197" w:type="dxa"/>
          </w:tcPr>
          <w:p w14:paraId="52A3EB69">
            <w:pPr>
              <w:spacing w:line="440" w:lineRule="exact"/>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tcPr>
          <w:p w14:paraId="2E4A3E63">
            <w:pPr>
              <w:spacing w:line="440" w:lineRule="exact"/>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r>
      <w:tr w14:paraId="58E85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2F8A545F">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4375" w:type="dxa"/>
          </w:tcPr>
          <w:p w14:paraId="1AD11592">
            <w:pPr>
              <w:widowControl w:val="0"/>
              <w:numPr>
                <w:ilvl w:val="0"/>
                <w:numId w:val="0"/>
              </w:numPr>
              <w:spacing w:line="440" w:lineRule="exact"/>
              <w:ind w:leftChars="0"/>
              <w:jc w:val="center"/>
              <w:rPr>
                <w:rFonts w:hint="eastAsia" w:ascii="宋体" w:hAnsi="宋体" w:eastAsia="宋体" w:cs="宋体"/>
                <w:b/>
                <w:color w:val="auto"/>
                <w:sz w:val="21"/>
                <w:szCs w:val="21"/>
                <w:highlight w:val="none"/>
              </w:rPr>
            </w:pPr>
            <w:r>
              <w:rPr>
                <w:rFonts w:hint="eastAsia" w:ascii="宋体" w:hAnsi="宋体" w:eastAsia="宋体" w:cs="宋体"/>
                <w:color w:val="auto"/>
                <w:kern w:val="2"/>
                <w:sz w:val="21"/>
                <w:szCs w:val="21"/>
                <w:highlight w:val="none"/>
                <w:lang w:val="en-US" w:eastAsia="zh-CN" w:bidi="ar-SA"/>
              </w:rPr>
              <w:t xml:space="preserve">锂电池 </w:t>
            </w:r>
          </w:p>
        </w:tc>
        <w:tc>
          <w:tcPr>
            <w:tcW w:w="1197" w:type="dxa"/>
          </w:tcPr>
          <w:p w14:paraId="618BD1E1">
            <w:pPr>
              <w:spacing w:line="440" w:lineRule="exact"/>
              <w:jc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989" w:type="dxa"/>
          </w:tcPr>
          <w:p w14:paraId="7E5469DB">
            <w:pPr>
              <w:spacing w:line="440" w:lineRule="exact"/>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r>
      <w:tr w14:paraId="2CE8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06340F32">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4375" w:type="dxa"/>
          </w:tcPr>
          <w:p w14:paraId="7D17416B">
            <w:pPr>
              <w:spacing w:line="440" w:lineRule="exact"/>
              <w:jc w:val="center"/>
              <w:rPr>
                <w:rFonts w:hint="default" w:ascii="宋体" w:hAnsi="宋体" w:eastAsia="宋体" w:cs="宋体"/>
                <w:b/>
                <w:color w:val="auto"/>
                <w:sz w:val="21"/>
                <w:szCs w:val="21"/>
                <w:highlight w:val="none"/>
                <w:lang w:val="en-US"/>
              </w:rPr>
            </w:pPr>
            <w:r>
              <w:rPr>
                <w:rFonts w:hint="eastAsia" w:ascii="宋体" w:hAnsi="宋体" w:eastAsia="宋体" w:cs="宋体"/>
                <w:color w:val="auto"/>
                <w:kern w:val="2"/>
                <w:sz w:val="21"/>
                <w:szCs w:val="21"/>
                <w:highlight w:val="none"/>
                <w:lang w:val="en-US" w:eastAsia="zh-CN" w:bidi="ar-SA"/>
              </w:rPr>
              <w:t>充电适配器 、充电线</w:t>
            </w:r>
          </w:p>
        </w:tc>
        <w:tc>
          <w:tcPr>
            <w:tcW w:w="1197" w:type="dxa"/>
          </w:tcPr>
          <w:p w14:paraId="5EAAF154">
            <w:pPr>
              <w:spacing w:line="440" w:lineRule="exact"/>
              <w:jc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tcPr>
          <w:p w14:paraId="14638183">
            <w:pPr>
              <w:spacing w:line="440" w:lineRule="exact"/>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r>
      <w:tr w14:paraId="464BB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532F495E">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4375" w:type="dxa"/>
          </w:tcPr>
          <w:p w14:paraId="3050760F">
            <w:pPr>
              <w:spacing w:line="440" w:lineRule="exact"/>
              <w:jc w:val="center"/>
              <w:rPr>
                <w:rFonts w:hint="eastAsia" w:ascii="宋体" w:hAnsi="宋体" w:eastAsia="宋体" w:cs="宋体"/>
                <w:b/>
                <w:color w:val="auto"/>
                <w:sz w:val="21"/>
                <w:szCs w:val="21"/>
                <w:highlight w:val="none"/>
              </w:rPr>
            </w:pPr>
            <w:r>
              <w:rPr>
                <w:rFonts w:hint="eastAsia" w:ascii="宋体" w:hAnsi="宋体" w:eastAsia="宋体" w:cs="宋体"/>
                <w:color w:val="auto"/>
                <w:kern w:val="2"/>
                <w:sz w:val="21"/>
                <w:szCs w:val="21"/>
                <w:highlight w:val="none"/>
                <w:lang w:val="en-US" w:eastAsia="zh-CN" w:bidi="ar-SA"/>
              </w:rPr>
              <w:t>包装箱</w:t>
            </w:r>
          </w:p>
        </w:tc>
        <w:tc>
          <w:tcPr>
            <w:tcW w:w="1197" w:type="dxa"/>
          </w:tcPr>
          <w:p w14:paraId="01B02DE3">
            <w:pPr>
              <w:spacing w:line="440" w:lineRule="exact"/>
              <w:jc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tcPr>
          <w:p w14:paraId="42C4A3EF">
            <w:pPr>
              <w:spacing w:line="440" w:lineRule="exact"/>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r>
      <w:tr w14:paraId="17B02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20579F46">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4375" w:type="dxa"/>
            <w:shd w:val="clear" w:color="auto" w:fill="auto"/>
            <w:vAlign w:val="top"/>
          </w:tcPr>
          <w:p w14:paraId="0FB50F9E">
            <w:pPr>
              <w:widowControl w:val="0"/>
              <w:numPr>
                <w:ilvl w:val="0"/>
                <w:numId w:val="0"/>
              </w:numPr>
              <w:spacing w:line="440" w:lineRule="exact"/>
              <w:ind w:left="0" w:leftChars="0" w:firstLine="0" w:firstLineChars="0"/>
              <w:jc w:val="center"/>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color w:val="auto"/>
                <w:sz w:val="21"/>
                <w:szCs w:val="21"/>
                <w:highlight w:val="none"/>
              </w:rPr>
              <w:t>中文说明书、中文维修手册、中文操作流程卡</w:t>
            </w:r>
            <w:r>
              <w:rPr>
                <w:rFonts w:hint="eastAsia" w:ascii="宋体" w:hAnsi="宋体" w:eastAsia="宋体" w:cs="宋体"/>
                <w:color w:val="auto"/>
                <w:sz w:val="21"/>
                <w:szCs w:val="21"/>
                <w:highlight w:val="none"/>
                <w:lang w:val="en-US" w:eastAsia="zh-CN"/>
              </w:rPr>
              <w:t>产品快速操作指南</w:t>
            </w:r>
            <w:r>
              <w:rPr>
                <w:rFonts w:hint="eastAsia" w:ascii="宋体" w:hAnsi="宋体" w:eastAsia="宋体" w:cs="宋体"/>
                <w:color w:val="auto"/>
                <w:sz w:val="21"/>
                <w:szCs w:val="21"/>
                <w:highlight w:val="none"/>
              </w:rPr>
              <w:t>；</w:t>
            </w:r>
          </w:p>
        </w:tc>
        <w:tc>
          <w:tcPr>
            <w:tcW w:w="1197" w:type="dxa"/>
            <w:shd w:val="clear" w:color="auto" w:fill="auto"/>
            <w:vAlign w:val="top"/>
          </w:tcPr>
          <w:p w14:paraId="760C4087">
            <w:pPr>
              <w:spacing w:line="440" w:lineRule="exact"/>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shd w:val="clear" w:color="auto" w:fill="auto"/>
            <w:vAlign w:val="top"/>
          </w:tcPr>
          <w:p w14:paraId="4E396F30">
            <w:pPr>
              <w:spacing w:line="440" w:lineRule="exact"/>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份</w:t>
            </w:r>
          </w:p>
        </w:tc>
      </w:tr>
      <w:tr w14:paraId="6CAC1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2C539D4B">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4375" w:type="dxa"/>
            <w:shd w:val="clear" w:color="auto" w:fill="auto"/>
            <w:vAlign w:val="top"/>
          </w:tcPr>
          <w:p w14:paraId="2F023DCC">
            <w:pPr>
              <w:widowControl w:val="0"/>
              <w:numPr>
                <w:ilvl w:val="0"/>
                <w:numId w:val="0"/>
              </w:numPr>
              <w:spacing w:line="440" w:lineRule="exact"/>
              <w:ind w:leftChars="0"/>
              <w:jc w:val="center"/>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color w:val="auto"/>
                <w:sz w:val="21"/>
                <w:szCs w:val="21"/>
                <w:highlight w:val="none"/>
              </w:rPr>
              <w:t>配齐与主机相匹配的附件设备</w:t>
            </w:r>
          </w:p>
        </w:tc>
        <w:tc>
          <w:tcPr>
            <w:tcW w:w="1197" w:type="dxa"/>
            <w:shd w:val="clear" w:color="auto" w:fill="auto"/>
            <w:vAlign w:val="top"/>
          </w:tcPr>
          <w:p w14:paraId="4EB6875B">
            <w:pPr>
              <w:spacing w:line="440" w:lineRule="exact"/>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shd w:val="clear" w:color="auto" w:fill="auto"/>
            <w:vAlign w:val="top"/>
          </w:tcPr>
          <w:p w14:paraId="5BBFD421">
            <w:pPr>
              <w:spacing w:line="440" w:lineRule="exact"/>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r>
      <w:tr w14:paraId="739E4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36FB1389">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4375" w:type="dxa"/>
            <w:shd w:val="clear" w:color="auto" w:fill="auto"/>
            <w:vAlign w:val="top"/>
          </w:tcPr>
          <w:p w14:paraId="122D0B4D">
            <w:pPr>
              <w:widowControl w:val="0"/>
              <w:numPr>
                <w:ilvl w:val="0"/>
                <w:numId w:val="0"/>
              </w:numPr>
              <w:spacing w:line="440" w:lineRule="exact"/>
              <w:ind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喉镜片（成人）</w:t>
            </w:r>
          </w:p>
        </w:tc>
        <w:tc>
          <w:tcPr>
            <w:tcW w:w="1197" w:type="dxa"/>
            <w:shd w:val="clear" w:color="auto" w:fill="auto"/>
            <w:vAlign w:val="top"/>
          </w:tcPr>
          <w:p w14:paraId="2349FF97">
            <w:pPr>
              <w:spacing w:line="440" w:lineRule="exact"/>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shd w:val="clear" w:color="auto" w:fill="auto"/>
            <w:vAlign w:val="top"/>
          </w:tcPr>
          <w:p w14:paraId="1619AFB9">
            <w:pPr>
              <w:spacing w:line="440" w:lineRule="exact"/>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r>
      <w:tr w14:paraId="7D876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154E3079">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4375" w:type="dxa"/>
            <w:shd w:val="clear" w:color="auto" w:fill="auto"/>
            <w:vAlign w:val="top"/>
          </w:tcPr>
          <w:p w14:paraId="42041A39">
            <w:pPr>
              <w:widowControl w:val="0"/>
              <w:numPr>
                <w:ilvl w:val="0"/>
                <w:numId w:val="0"/>
              </w:numPr>
              <w:spacing w:line="440" w:lineRule="exact"/>
              <w:ind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喉镜片（成人大号）</w:t>
            </w:r>
          </w:p>
        </w:tc>
        <w:tc>
          <w:tcPr>
            <w:tcW w:w="1197" w:type="dxa"/>
            <w:shd w:val="clear" w:color="auto" w:fill="auto"/>
            <w:vAlign w:val="top"/>
          </w:tcPr>
          <w:p w14:paraId="507D7DC9">
            <w:pPr>
              <w:spacing w:line="440" w:lineRule="exact"/>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shd w:val="clear" w:color="auto" w:fill="auto"/>
            <w:vAlign w:val="top"/>
          </w:tcPr>
          <w:p w14:paraId="1ADC818E">
            <w:pPr>
              <w:spacing w:line="440" w:lineRule="exact"/>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r>
      <w:tr w14:paraId="2029C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5121C328">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4375" w:type="dxa"/>
            <w:shd w:val="clear" w:color="auto" w:fill="auto"/>
            <w:vAlign w:val="top"/>
          </w:tcPr>
          <w:p w14:paraId="7C5E09F6">
            <w:pPr>
              <w:widowControl w:val="0"/>
              <w:numPr>
                <w:ilvl w:val="0"/>
                <w:numId w:val="0"/>
              </w:numPr>
              <w:spacing w:line="440" w:lineRule="exact"/>
              <w:ind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喉镜片（成人特大号）</w:t>
            </w:r>
          </w:p>
        </w:tc>
        <w:tc>
          <w:tcPr>
            <w:tcW w:w="1197" w:type="dxa"/>
            <w:shd w:val="clear" w:color="auto" w:fill="auto"/>
            <w:vAlign w:val="top"/>
          </w:tcPr>
          <w:p w14:paraId="432EF38B">
            <w:pPr>
              <w:spacing w:line="440" w:lineRule="exact"/>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shd w:val="clear" w:color="auto" w:fill="auto"/>
            <w:vAlign w:val="top"/>
          </w:tcPr>
          <w:p w14:paraId="25ADE2A2">
            <w:pPr>
              <w:spacing w:line="440" w:lineRule="exact"/>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r>
    </w:tbl>
    <w:p w14:paraId="7935618E">
      <w:pPr>
        <w:widowControl w:val="0"/>
        <w:numPr>
          <w:ilvl w:val="0"/>
          <w:numId w:val="0"/>
        </w:numPr>
        <w:spacing w:line="440" w:lineRule="exact"/>
        <w:jc w:val="both"/>
        <w:rPr>
          <w:rFonts w:hint="eastAsia" w:ascii="宋体" w:hAnsi="宋体" w:eastAsia="宋体" w:cs="宋体"/>
          <w:b/>
          <w:color w:val="auto"/>
          <w:sz w:val="21"/>
          <w:szCs w:val="21"/>
          <w:highlight w:val="none"/>
          <w:lang w:val="en-US" w:eastAsia="zh-CN"/>
        </w:rPr>
      </w:pPr>
    </w:p>
    <w:p w14:paraId="61BCDFC2">
      <w:pPr>
        <w:widowControl w:val="0"/>
        <w:numPr>
          <w:ilvl w:val="0"/>
          <w:numId w:val="0"/>
        </w:numPr>
        <w:spacing w:line="440" w:lineRule="exact"/>
        <w:jc w:val="both"/>
        <w:rPr>
          <w:rFonts w:hint="default" w:ascii="宋体" w:hAnsi="宋体" w:eastAsia="宋体" w:cs="宋体"/>
          <w:b/>
          <w:color w:val="auto"/>
          <w:sz w:val="21"/>
          <w:szCs w:val="21"/>
          <w:highlight w:val="none"/>
          <w:lang w:val="en-US" w:eastAsia="zh-CN"/>
        </w:rPr>
      </w:pPr>
    </w:p>
    <w:p w14:paraId="11AD96EA">
      <w:pPr>
        <w:numPr>
          <w:ilvl w:val="0"/>
          <w:numId w:val="1"/>
        </w:num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主要</w:t>
      </w:r>
      <w:r>
        <w:rPr>
          <w:rFonts w:hint="eastAsia" w:ascii="宋体" w:hAnsi="宋体" w:eastAsia="宋体" w:cs="宋体"/>
          <w:b/>
          <w:color w:val="auto"/>
          <w:sz w:val="21"/>
          <w:szCs w:val="21"/>
          <w:highlight w:val="none"/>
        </w:rPr>
        <w:t>商务要求：</w:t>
      </w:r>
    </w:p>
    <w:p w14:paraId="751AF881">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1.交货及安装、验收要求</w:t>
      </w:r>
    </w:p>
    <w:p w14:paraId="775C65E0">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1.1交货地点：采购人指定地点。</w:t>
      </w:r>
    </w:p>
    <w:p w14:paraId="1C8A2698">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1.2交货期：</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应当在中标通知书发出之日起30日内按</w:t>
      </w:r>
      <w:r>
        <w:rPr>
          <w:rFonts w:hint="eastAsia" w:ascii="宋体" w:hAnsi="宋体" w:eastAsia="宋体" w:cs="宋体"/>
          <w:color w:val="auto"/>
          <w:sz w:val="21"/>
          <w:szCs w:val="21"/>
          <w:highlight w:val="none"/>
          <w:lang w:eastAsia="zh-CN"/>
        </w:rPr>
        <w:t>采购需求</w:t>
      </w:r>
      <w:r>
        <w:rPr>
          <w:rFonts w:hint="eastAsia" w:ascii="宋体" w:hAnsi="宋体" w:eastAsia="宋体" w:cs="宋体"/>
          <w:color w:val="auto"/>
          <w:sz w:val="21"/>
          <w:szCs w:val="21"/>
          <w:highlight w:val="none"/>
        </w:rPr>
        <w:t>及</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的投标文件确定的事项与采购人签订合同，签订合同后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30</w:t>
      </w:r>
      <w:r>
        <w:rPr>
          <w:rFonts w:hint="eastAsia" w:ascii="宋体" w:hAnsi="宋体" w:eastAsia="宋体" w:cs="宋体"/>
          <w:color w:val="auto"/>
          <w:sz w:val="21"/>
          <w:szCs w:val="21"/>
          <w:highlight w:val="none"/>
        </w:rPr>
        <w:t>日内完成设备的安装调试。</w:t>
      </w:r>
    </w:p>
    <w:p w14:paraId="27D3BB04">
      <w:pP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1.3</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须保证中标后所提供的设备为原装、全新合格的产品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且原装进口产品生产日期与交货日期差值≤12个月；国产产品生产日期与交货日期差值≤3个月。</w:t>
      </w:r>
    </w:p>
    <w:p w14:paraId="33B42858">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负责派技术人员到现场进行安装调试，直至验收合格，安装调试所需费用应包含在投标总报价内；同时提供培训服务，必须保证需求科室操作人员融会贯通，培训所需费用全部包含在总报价内。</w:t>
      </w:r>
    </w:p>
    <w:p w14:paraId="1EE0A0A4">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1.5验收方式：按《小榄镇</w:t>
      </w:r>
      <w:r>
        <w:rPr>
          <w:rFonts w:hint="eastAsia" w:ascii="宋体" w:hAnsi="宋体" w:eastAsia="宋体" w:cs="宋体"/>
          <w:color w:val="auto"/>
          <w:sz w:val="21"/>
          <w:szCs w:val="21"/>
          <w:highlight w:val="none"/>
          <w:lang w:eastAsia="zh-CN"/>
        </w:rPr>
        <w:t>公立</w:t>
      </w:r>
      <w:r>
        <w:rPr>
          <w:rFonts w:hint="eastAsia" w:ascii="宋体" w:hAnsi="宋体" w:eastAsia="宋体" w:cs="宋体"/>
          <w:color w:val="auto"/>
          <w:sz w:val="21"/>
          <w:szCs w:val="21"/>
          <w:highlight w:val="none"/>
        </w:rPr>
        <w:t>医院</w:t>
      </w:r>
      <w:r>
        <w:rPr>
          <w:rFonts w:hint="eastAsia" w:ascii="宋体" w:hAnsi="宋体" w:eastAsia="宋体" w:cs="宋体"/>
          <w:color w:val="auto"/>
          <w:sz w:val="21"/>
          <w:szCs w:val="21"/>
          <w:highlight w:val="none"/>
          <w:lang w:eastAsia="zh-CN"/>
        </w:rPr>
        <w:t>政府</w:t>
      </w:r>
      <w:r>
        <w:rPr>
          <w:rFonts w:hint="eastAsia" w:ascii="宋体" w:hAnsi="宋体" w:eastAsia="宋体" w:cs="宋体"/>
          <w:color w:val="auto"/>
          <w:sz w:val="21"/>
          <w:szCs w:val="21"/>
          <w:highlight w:val="none"/>
        </w:rPr>
        <w:t>采购和验收</w:t>
      </w:r>
      <w:r>
        <w:rPr>
          <w:rFonts w:hint="eastAsia" w:ascii="宋体" w:hAnsi="宋体" w:eastAsia="宋体" w:cs="宋体"/>
          <w:color w:val="auto"/>
          <w:sz w:val="21"/>
          <w:szCs w:val="21"/>
          <w:highlight w:val="none"/>
          <w:lang w:eastAsia="zh-CN"/>
        </w:rPr>
        <w:t>办法</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和《中山市小榄人民医院医疗设备验收管理制度》</w:t>
      </w:r>
      <w:r>
        <w:rPr>
          <w:rFonts w:hint="eastAsia" w:ascii="宋体" w:hAnsi="宋体" w:eastAsia="宋体" w:cs="宋体"/>
          <w:color w:val="auto"/>
          <w:sz w:val="21"/>
          <w:szCs w:val="21"/>
          <w:highlight w:val="none"/>
        </w:rPr>
        <w:t>。</w:t>
      </w:r>
    </w:p>
    <w:p w14:paraId="37607C9E">
      <w:pP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★1.6</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须在</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文件提供</w:t>
      </w:r>
      <w:r>
        <w:rPr>
          <w:rFonts w:hint="eastAsia" w:ascii="宋体" w:hAnsi="宋体" w:eastAsia="宋体" w:cs="宋体"/>
          <w:color w:val="auto"/>
          <w:sz w:val="21"/>
          <w:szCs w:val="21"/>
          <w:highlight w:val="none"/>
          <w:lang w:val="en-US" w:eastAsia="zh-CN"/>
        </w:rPr>
        <w:t>该项目完整的授权书。</w:t>
      </w:r>
    </w:p>
    <w:p w14:paraId="71BBED5E">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2.售后服务要求</w:t>
      </w:r>
    </w:p>
    <w:p w14:paraId="2B351F45">
      <w:pPr>
        <w:tabs>
          <w:tab w:val="left" w:pos="420"/>
        </w:tabs>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必须在中国境内有售后服务机构，并附有售后服务能力说明。</w:t>
      </w:r>
    </w:p>
    <w:p w14:paraId="70FB5255">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须提供设备原厂质保（设备原厂质量保修范围和保修期）至少</w:t>
      </w:r>
      <w:r>
        <w:rPr>
          <w:rFonts w:hint="eastAsia" w:ascii="宋体" w:hAnsi="宋体" w:eastAsia="宋体" w:cs="宋体"/>
          <w:b/>
          <w:bCs/>
          <w:color w:val="auto"/>
          <w:sz w:val="21"/>
          <w:szCs w:val="21"/>
          <w:highlight w:val="none"/>
        </w:rPr>
        <w:t>为</w:t>
      </w:r>
      <w:r>
        <w:rPr>
          <w:rFonts w:hint="eastAsia" w:ascii="宋体" w:hAnsi="宋体" w:eastAsia="宋体" w:cs="宋体"/>
          <w:b/>
          <w:bCs/>
          <w:color w:val="auto"/>
          <w:sz w:val="21"/>
          <w:szCs w:val="21"/>
          <w:highlight w:val="none"/>
          <w:u w:val="single"/>
          <w:lang w:val="en-US" w:eastAsia="zh-CN"/>
        </w:rPr>
        <w:t>1</w:t>
      </w:r>
      <w:r>
        <w:rPr>
          <w:rFonts w:hint="eastAsia" w:ascii="宋体" w:hAnsi="宋体" w:eastAsia="宋体" w:cs="宋体"/>
          <w:b/>
          <w:bCs/>
          <w:color w:val="auto"/>
          <w:sz w:val="21"/>
          <w:szCs w:val="21"/>
          <w:highlight w:val="none"/>
        </w:rPr>
        <w:t>年。</w:t>
      </w:r>
    </w:p>
    <w:p w14:paraId="34C701EB">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2.3在售后期内，</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在接到用户的维修通知，响应时间为</w:t>
      </w: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rPr>
        <w:t>小时内，工程师到达现场时间为4小时内，排除故障时限为到达现场后8小时内。</w:t>
      </w:r>
    </w:p>
    <w:p w14:paraId="64958E8F">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2.4如果产品故障在检修12小时后仍无法排除，</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应在24小时内提供不低于故障产品规格型号档次的备用产品供采购人使用，直至故障产品修复。</w:t>
      </w:r>
    </w:p>
    <w:p w14:paraId="5ED331B0">
      <w:pPr>
        <w:spacing w:line="440" w:lineRule="exact"/>
        <w:rPr>
          <w:rFonts w:hint="eastAsia" w:ascii="宋体" w:hAnsi="宋体" w:eastAsia="宋体" w:cs="宋体"/>
          <w:b/>
          <w:color w:val="auto"/>
          <w:sz w:val="21"/>
          <w:szCs w:val="21"/>
          <w:highlight w:val="none"/>
        </w:rPr>
      </w:pPr>
    </w:p>
    <w:p w14:paraId="5BC1A48F">
      <w:pPr>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3.付款方式</w:t>
      </w:r>
    </w:p>
    <w:p w14:paraId="1BE3E546">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3.1本合同的每笔款项以人民币转账方式支付</w:t>
      </w:r>
      <w:r>
        <w:rPr>
          <w:rFonts w:hint="eastAsia" w:ascii="宋体" w:hAnsi="宋体" w:eastAsia="宋体" w:cs="宋体"/>
          <w:color w:val="auto"/>
          <w:sz w:val="21"/>
          <w:szCs w:val="21"/>
          <w:highlight w:val="none"/>
          <w:lang w:eastAsia="zh-CN"/>
        </w:rPr>
        <w:t>。</w:t>
      </w:r>
    </w:p>
    <w:p w14:paraId="2797CF2D">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3.2合同签订后，</w:t>
      </w:r>
      <w:r>
        <w:rPr>
          <w:rFonts w:hint="eastAsia" w:ascii="宋体" w:hAnsi="宋体" w:eastAsia="宋体" w:cs="宋体"/>
          <w:color w:val="auto"/>
          <w:sz w:val="21"/>
          <w:szCs w:val="21"/>
          <w:highlight w:val="none"/>
          <w:lang w:val="en-US" w:eastAsia="zh-CN"/>
        </w:rPr>
        <w:t>中标人</w:t>
      </w:r>
      <w:r>
        <w:rPr>
          <w:rFonts w:hint="eastAsia" w:ascii="宋体" w:hAnsi="宋体" w:eastAsia="宋体" w:cs="宋体"/>
          <w:color w:val="auto"/>
          <w:sz w:val="21"/>
          <w:szCs w:val="21"/>
          <w:highlight w:val="none"/>
        </w:rPr>
        <w:t>按合同协议时间提供货物</w:t>
      </w:r>
      <w:r>
        <w:rPr>
          <w:rFonts w:hint="eastAsia" w:ascii="宋体" w:hAnsi="宋体" w:eastAsia="宋体" w:cs="宋体"/>
          <w:color w:val="auto"/>
          <w:sz w:val="21"/>
          <w:szCs w:val="21"/>
          <w:highlight w:val="none"/>
          <w:lang w:val="en-US" w:eastAsia="zh-CN"/>
        </w:rPr>
        <w:t>或服务完成后</w:t>
      </w:r>
      <w:r>
        <w:rPr>
          <w:rFonts w:hint="eastAsia" w:ascii="宋体" w:hAnsi="宋体" w:eastAsia="宋体" w:cs="宋体"/>
          <w:color w:val="auto"/>
          <w:sz w:val="21"/>
          <w:szCs w:val="21"/>
          <w:highlight w:val="none"/>
        </w:rPr>
        <w:t>，经</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规定的验收人员书面确认验收合格，</w:t>
      </w:r>
      <w:r>
        <w:rPr>
          <w:rFonts w:hint="eastAsia" w:ascii="宋体" w:hAnsi="宋体" w:eastAsia="宋体" w:cs="宋体"/>
          <w:color w:val="auto"/>
          <w:sz w:val="21"/>
          <w:szCs w:val="21"/>
          <w:highlight w:val="none"/>
          <w:lang w:val="en-US" w:eastAsia="zh-CN"/>
        </w:rPr>
        <w:t>中标人即</w:t>
      </w:r>
      <w:r>
        <w:rPr>
          <w:rFonts w:hint="eastAsia" w:ascii="宋体" w:hAnsi="宋体" w:eastAsia="宋体" w:cs="宋体"/>
          <w:color w:val="auto"/>
          <w:sz w:val="21"/>
          <w:szCs w:val="21"/>
          <w:highlight w:val="none"/>
        </w:rPr>
        <w:t>开具</w:t>
      </w:r>
      <w:r>
        <w:rPr>
          <w:rFonts w:hint="eastAsia" w:ascii="宋体" w:hAnsi="宋体" w:eastAsia="宋体" w:cs="宋体"/>
          <w:color w:val="auto"/>
          <w:sz w:val="21"/>
          <w:szCs w:val="21"/>
          <w:highlight w:val="none"/>
          <w:lang w:val="en-US" w:eastAsia="zh-CN"/>
        </w:rPr>
        <w:t>有效的</w:t>
      </w:r>
      <w:r>
        <w:rPr>
          <w:rFonts w:hint="eastAsia" w:ascii="宋体" w:hAnsi="宋体" w:eastAsia="宋体" w:cs="宋体"/>
          <w:color w:val="auto"/>
          <w:sz w:val="21"/>
          <w:szCs w:val="21"/>
          <w:highlight w:val="none"/>
        </w:rPr>
        <w:t>增值税普通发票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确认</w:t>
      </w:r>
      <w:r>
        <w:rPr>
          <w:rFonts w:hint="eastAsia" w:ascii="宋体" w:hAnsi="宋体" w:eastAsia="宋体" w:cs="宋体"/>
          <w:color w:val="auto"/>
          <w:sz w:val="21"/>
          <w:szCs w:val="21"/>
          <w:highlight w:val="none"/>
          <w:lang w:val="en-US" w:eastAsia="zh-CN"/>
        </w:rPr>
        <w:t>发票</w:t>
      </w:r>
      <w:r>
        <w:rPr>
          <w:rFonts w:hint="eastAsia" w:ascii="宋体" w:hAnsi="宋体" w:eastAsia="宋体" w:cs="宋体"/>
          <w:color w:val="auto"/>
          <w:sz w:val="21"/>
          <w:szCs w:val="21"/>
          <w:highlight w:val="none"/>
        </w:rPr>
        <w:t>无误后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在收到发票之日起</w:t>
      </w:r>
      <w:r>
        <w:rPr>
          <w:rFonts w:hint="eastAsia" w:ascii="宋体" w:hAnsi="宋体" w:eastAsia="宋体" w:cs="宋体"/>
          <w:color w:val="auto"/>
          <w:sz w:val="21"/>
          <w:szCs w:val="21"/>
          <w:highlight w:val="none"/>
          <w:u w:val="single"/>
          <w:lang w:val="en-US" w:eastAsia="zh-CN"/>
        </w:rPr>
        <w:t xml:space="preserve"> 30</w:t>
      </w:r>
      <w:r>
        <w:rPr>
          <w:rFonts w:hint="eastAsia" w:ascii="宋体" w:hAnsi="宋体" w:eastAsia="宋体" w:cs="宋体"/>
          <w:color w:val="auto"/>
          <w:sz w:val="21"/>
          <w:szCs w:val="21"/>
          <w:highlight w:val="none"/>
          <w:lang w:val="en-US" w:eastAsia="zh-CN"/>
        </w:rPr>
        <w:t>日</w:t>
      </w:r>
      <w:r>
        <w:rPr>
          <w:rFonts w:hint="eastAsia" w:ascii="宋体" w:hAnsi="宋体" w:eastAsia="宋体" w:cs="宋体"/>
          <w:color w:val="auto"/>
          <w:sz w:val="21"/>
          <w:szCs w:val="21"/>
          <w:highlight w:val="none"/>
        </w:rPr>
        <w:t>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支付合同总金额的</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5%；合同总金额的5%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作为第二期款项，</w:t>
      </w: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u w:val="single"/>
          <w:lang w:val="en-US" w:eastAsia="zh-CN"/>
        </w:rPr>
        <w:t xml:space="preserve"> 质保期满</w:t>
      </w:r>
      <w:r>
        <w:rPr>
          <w:rFonts w:hint="eastAsia" w:ascii="宋体" w:hAnsi="宋体" w:eastAsia="宋体" w:cs="宋体"/>
          <w:color w:val="auto"/>
          <w:sz w:val="21"/>
          <w:szCs w:val="21"/>
          <w:highlight w:val="none"/>
        </w:rPr>
        <w:t>后一次性无息</w:t>
      </w:r>
      <w:r>
        <w:rPr>
          <w:rFonts w:hint="eastAsia" w:ascii="宋体" w:hAnsi="宋体" w:eastAsia="宋体" w:cs="宋体"/>
          <w:color w:val="auto"/>
          <w:sz w:val="21"/>
          <w:szCs w:val="21"/>
          <w:highlight w:val="none"/>
          <w:lang w:val="en-US" w:eastAsia="zh-CN"/>
        </w:rPr>
        <w:t>支付</w:t>
      </w:r>
      <w:r>
        <w:rPr>
          <w:rFonts w:hint="eastAsia" w:ascii="宋体" w:hAnsi="宋体" w:eastAsia="宋体" w:cs="宋体"/>
          <w:color w:val="auto"/>
          <w:sz w:val="21"/>
          <w:szCs w:val="21"/>
          <w:highlight w:val="none"/>
        </w:rPr>
        <w:t>。</w:t>
      </w:r>
    </w:p>
    <w:p w14:paraId="2BA2B841">
      <w:pPr>
        <w:pStyle w:val="3"/>
        <w:rPr>
          <w:rFonts w:hint="eastAsia" w:ascii="宋体" w:hAnsi="宋体" w:eastAsia="宋体" w:cs="宋体"/>
          <w:color w:val="auto"/>
          <w:sz w:val="21"/>
          <w:szCs w:val="21"/>
          <w:highlight w:val="none"/>
        </w:rPr>
      </w:pPr>
    </w:p>
    <w:p w14:paraId="764DAB56">
      <w:pPr>
        <w:numPr>
          <w:ilvl w:val="0"/>
          <w:numId w:val="0"/>
        </w:numPr>
        <w:ind w:leftChars="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六、其他商务要求</w:t>
      </w:r>
    </w:p>
    <w:p w14:paraId="5148A802">
      <w:pPr>
        <w:numPr>
          <w:ilvl w:val="0"/>
          <w:numId w:val="4"/>
        </w:numPr>
        <w:spacing w:line="440" w:lineRule="exact"/>
        <w:ind w:left="425" w:leftChars="0" w:hanging="425"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投标人须对本项目的采购标的进行整体投标，任何只对本项目采购标的其中一部分内容、数量进行的投标都被视为无效投标。</w:t>
      </w:r>
    </w:p>
    <w:p w14:paraId="3FEFCA1B">
      <w:pPr>
        <w:numPr>
          <w:ilvl w:val="0"/>
          <w:numId w:val="4"/>
        </w:numPr>
        <w:spacing w:line="440" w:lineRule="exact"/>
        <w:ind w:left="425" w:leftChars="0" w:hanging="425"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投标人应分别列明该项目所有设备的总报价和分项报价。</w:t>
      </w:r>
    </w:p>
    <w:p w14:paraId="60E1B4C6">
      <w:pPr>
        <w:numPr>
          <w:ilvl w:val="0"/>
          <w:numId w:val="4"/>
        </w:numPr>
        <w:spacing w:line="440" w:lineRule="exact"/>
        <w:ind w:left="425" w:leftChars="0" w:hanging="425"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涉及专机专用耗材、试剂、易损件等需填列报价，且承诺至少在质保期内按此价格执行。若投标人所投产品不涉及专机专用耗材、试剂、易损件等，提供不涉及专机专用耗材、试剂及易损件的声明函。</w:t>
      </w:r>
    </w:p>
    <w:p w14:paraId="2AB417DF">
      <w:pPr>
        <w:numPr>
          <w:ilvl w:val="0"/>
          <w:numId w:val="4"/>
        </w:numPr>
        <w:spacing w:line="440" w:lineRule="exact"/>
        <w:ind w:left="425" w:leftChars="0" w:hanging="425"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投标人同意采购人以任何形式对其投标文件内容及采购人认为有必要的相关资料的真实性和有效性进行审查、验证。</w:t>
      </w:r>
      <w:r>
        <w:rPr>
          <w:rFonts w:hint="eastAsia" w:ascii="宋体" w:hAnsi="宋体" w:eastAsia="宋体" w:cs="宋体"/>
          <w:color w:val="auto"/>
          <w:sz w:val="21"/>
          <w:szCs w:val="21"/>
          <w:highlight w:val="none"/>
        </w:rPr>
        <w:t xml:space="preserve"> </w:t>
      </w:r>
    </w:p>
    <w:p w14:paraId="6D067A65">
      <w:pPr>
        <w:spacing w:line="440" w:lineRule="exact"/>
        <w:ind w:firstLine="420" w:firstLineChars="200"/>
        <w:rPr>
          <w:rFonts w:hint="eastAsia" w:ascii="宋体" w:hAnsi="宋体" w:eastAsia="宋体" w:cs="宋体"/>
          <w:color w:val="auto"/>
          <w:sz w:val="21"/>
          <w:szCs w:val="21"/>
          <w:highlight w:val="none"/>
        </w:rPr>
      </w:pPr>
    </w:p>
    <w:p w14:paraId="0A92B183">
      <w:pPr>
        <w:spacing w:line="440" w:lineRule="exact"/>
        <w:ind w:firstLine="480" w:firstLineChars="200"/>
        <w:rPr>
          <w:rFonts w:hint="eastAsia" w:ascii="宋体" w:hAnsi="宋体" w:eastAsia="宋体" w:cs="宋体"/>
          <w:color w:val="auto"/>
          <w:sz w:val="24"/>
          <w:highlight w:val="none"/>
        </w:rPr>
      </w:pPr>
    </w:p>
    <w:p w14:paraId="63987177">
      <w:pPr>
        <w:spacing w:line="440" w:lineRule="exact"/>
        <w:ind w:firstLine="480" w:firstLineChars="200"/>
        <w:rPr>
          <w:rFonts w:hint="eastAsia" w:ascii="宋体" w:hAnsi="宋体" w:eastAsia="宋体" w:cs="宋体"/>
          <w:color w:val="auto"/>
          <w:sz w:val="24"/>
          <w:highlight w:val="none"/>
        </w:rPr>
      </w:pPr>
    </w:p>
    <w:p w14:paraId="1A0FC714">
      <w:pPr>
        <w:spacing w:line="440" w:lineRule="exact"/>
        <w:jc w:val="center"/>
        <w:rPr>
          <w:rFonts w:hint="eastAsia" w:ascii="宋体" w:hAnsi="宋体" w:eastAsia="宋体" w:cs="宋体"/>
          <w:b/>
          <w:bCs/>
          <w:color w:val="auto"/>
          <w:sz w:val="24"/>
          <w:highlight w:val="none"/>
        </w:rPr>
      </w:pPr>
    </w:p>
    <w:p w14:paraId="0D6B98E2">
      <w:pPr>
        <w:spacing w:line="440" w:lineRule="exact"/>
        <w:jc w:val="center"/>
        <w:rPr>
          <w:rFonts w:hint="eastAsia" w:ascii="宋体" w:hAnsi="宋体" w:eastAsia="宋体" w:cs="宋体"/>
          <w:b/>
          <w:bCs/>
          <w:color w:val="auto"/>
          <w:sz w:val="24"/>
          <w:highlight w:val="none"/>
        </w:rPr>
      </w:pPr>
    </w:p>
    <w:p w14:paraId="0D31FB7F">
      <w:pPr>
        <w:spacing w:line="440" w:lineRule="exact"/>
        <w:jc w:val="center"/>
        <w:rPr>
          <w:rFonts w:hint="eastAsia" w:ascii="宋体" w:hAnsi="宋体" w:eastAsia="宋体" w:cs="宋体"/>
          <w:b/>
          <w:bCs/>
          <w:color w:val="auto"/>
          <w:sz w:val="24"/>
          <w:highlight w:val="none"/>
        </w:rPr>
      </w:pPr>
    </w:p>
    <w:p w14:paraId="6729E627">
      <w:pPr>
        <w:spacing w:line="440" w:lineRule="exact"/>
        <w:jc w:val="center"/>
        <w:rPr>
          <w:rFonts w:hint="eastAsia" w:ascii="宋体" w:hAnsi="宋体" w:eastAsia="宋体" w:cs="宋体"/>
          <w:b/>
          <w:bCs/>
          <w:color w:val="auto"/>
          <w:sz w:val="24"/>
          <w:highlight w:val="none"/>
        </w:rPr>
      </w:pPr>
    </w:p>
    <w:p w14:paraId="79331301">
      <w:pPr>
        <w:spacing w:line="440" w:lineRule="exact"/>
        <w:jc w:val="center"/>
        <w:rPr>
          <w:rFonts w:hint="eastAsia" w:ascii="宋体" w:hAnsi="宋体" w:eastAsia="宋体" w:cs="宋体"/>
          <w:b/>
          <w:bCs/>
          <w:color w:val="auto"/>
          <w:sz w:val="24"/>
          <w:highlight w:val="none"/>
        </w:rPr>
      </w:pPr>
    </w:p>
    <w:p w14:paraId="05C0B4D3">
      <w:pPr>
        <w:spacing w:line="440" w:lineRule="exact"/>
        <w:jc w:val="center"/>
        <w:rPr>
          <w:rFonts w:hint="eastAsia" w:ascii="宋体" w:hAnsi="宋体" w:eastAsia="宋体" w:cs="宋体"/>
          <w:b/>
          <w:bCs/>
          <w:color w:val="auto"/>
          <w:sz w:val="24"/>
          <w:highlight w:val="none"/>
        </w:rPr>
      </w:pPr>
    </w:p>
    <w:p w14:paraId="5C71D3A0">
      <w:pPr>
        <w:spacing w:line="440" w:lineRule="exact"/>
        <w:jc w:val="center"/>
        <w:rPr>
          <w:rFonts w:hint="eastAsia" w:ascii="宋体" w:hAnsi="宋体" w:eastAsia="宋体" w:cs="宋体"/>
          <w:b/>
          <w:bCs/>
          <w:color w:val="auto"/>
          <w:sz w:val="24"/>
          <w:highlight w:val="none"/>
        </w:rPr>
      </w:pPr>
    </w:p>
    <w:p w14:paraId="430CD401">
      <w:pPr>
        <w:spacing w:line="440" w:lineRule="exact"/>
        <w:jc w:val="center"/>
        <w:rPr>
          <w:rFonts w:hint="eastAsia" w:ascii="宋体" w:hAnsi="宋体" w:eastAsia="宋体" w:cs="宋体"/>
          <w:b/>
          <w:bCs/>
          <w:color w:val="auto"/>
          <w:sz w:val="24"/>
          <w:highlight w:val="none"/>
        </w:rPr>
      </w:pPr>
    </w:p>
    <w:p w14:paraId="77E8FF6E">
      <w:pPr>
        <w:rPr>
          <w:rFonts w:hint="eastAsia" w:ascii="宋体" w:hAnsi="宋体" w:eastAsia="宋体" w:cs="宋体"/>
          <w:color w:val="auto"/>
          <w:sz w:val="24"/>
          <w:highlight w:val="none"/>
          <w:lang w:val="zh-CN"/>
        </w:rPr>
      </w:pPr>
    </w:p>
    <w:p w14:paraId="3A11BEB8">
      <w:pPr>
        <w:rPr>
          <w:color w:val="auto"/>
          <w:highlight w:val="none"/>
        </w:rPr>
      </w:pPr>
    </w:p>
    <w:sectPr>
      <w:footerReference r:id="rId3" w:type="default"/>
      <w:pgSz w:w="11906" w:h="16838"/>
      <w:pgMar w:top="1440" w:right="1800" w:bottom="1440" w:left="180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0351"/>
    </w:sdtPr>
    <w:sdtContent>
      <w:p w14:paraId="5574CA4A">
        <w:pPr>
          <w:pStyle w:val="5"/>
        </w:pPr>
        <w:r>
          <w:rPr>
            <w:rFonts w:hint="eastAsia"/>
            <w:lang w:val="en-US" w:eastAsia="zh-CN"/>
          </w:rPr>
          <w:t>需求科室</w:t>
        </w:r>
        <w:r>
          <w:rPr>
            <w:rFonts w:hint="eastAsia"/>
          </w:rPr>
          <w:t xml:space="preserve">：                                </w:t>
        </w:r>
        <w:r>
          <w:rPr>
            <w:rFonts w:hint="eastAsia"/>
            <w:lang w:val="en-US" w:eastAsia="zh-CN"/>
          </w:rPr>
          <w:t xml:space="preserve">       医学装备科</w:t>
        </w:r>
        <w:r>
          <w:rPr>
            <w:rFonts w:hint="eastAsia"/>
          </w:rPr>
          <w:t>：</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627F1">
                              <w:pPr>
                                <w:pStyle w:val="5"/>
                                <w:jc w:val="center"/>
                              </w:pPr>
                              <w:r>
                                <w:rPr>
                                  <w:lang w:val="zh-CN"/>
                                </w:rPr>
                                <w:t xml:space="preserve"> </w:t>
                              </w:r>
                              <w:r>
                                <w:rPr>
                                  <w:b/>
                                  <w:sz w:val="24"/>
                                </w:rPr>
                                <w:fldChar w:fldCharType="begin"/>
                              </w:r>
                              <w:r>
                                <w:rPr>
                                  <w:b/>
                                </w:rPr>
                                <w:instrText xml:space="preserve">PAGE</w:instrText>
                              </w:r>
                              <w:r>
                                <w:rPr>
                                  <w:b/>
                                  <w:sz w:val="24"/>
                                </w:rPr>
                                <w:fldChar w:fldCharType="separate"/>
                              </w:r>
                              <w:r>
                                <w:rPr>
                                  <w:b/>
                                </w:rPr>
                                <w:t>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6</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196627F1">
                        <w:pPr>
                          <w:pStyle w:val="5"/>
                          <w:jc w:val="center"/>
                        </w:pPr>
                        <w:r>
                          <w:rPr>
                            <w:lang w:val="zh-CN"/>
                          </w:rPr>
                          <w:t xml:space="preserve"> </w:t>
                        </w:r>
                        <w:r>
                          <w:rPr>
                            <w:b/>
                            <w:sz w:val="24"/>
                          </w:rPr>
                          <w:fldChar w:fldCharType="begin"/>
                        </w:r>
                        <w:r>
                          <w:rPr>
                            <w:b/>
                          </w:rPr>
                          <w:instrText xml:space="preserve">PAGE</w:instrText>
                        </w:r>
                        <w:r>
                          <w:rPr>
                            <w:b/>
                            <w:sz w:val="24"/>
                          </w:rPr>
                          <w:fldChar w:fldCharType="separate"/>
                        </w:r>
                        <w:r>
                          <w:rPr>
                            <w:b/>
                          </w:rPr>
                          <w:t>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6</w:t>
                        </w:r>
                        <w:r>
                          <w:rPr>
                            <w:b/>
                            <w:sz w:val="24"/>
                          </w:rPr>
                          <w:fldChar w:fldCharType="end"/>
                        </w:r>
                      </w:p>
                    </w:txbxContent>
                  </v:textbox>
                </v:shape>
              </w:pict>
            </mc:Fallback>
          </mc:AlternateContent>
        </w:r>
      </w:p>
      <w:p w14:paraId="4114F3F0">
        <w:pPr>
          <w:pStyle w:val="5"/>
        </w:pPr>
      </w:p>
    </w:sdtContent>
  </w:sdt>
  <w:p w14:paraId="38E17460"/>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95968A"/>
    <w:multiLevelType w:val="singleLevel"/>
    <w:tmpl w:val="8295968A"/>
    <w:lvl w:ilvl="0" w:tentative="0">
      <w:start w:val="1"/>
      <w:numFmt w:val="decimal"/>
      <w:lvlText w:val="%1."/>
      <w:lvlJc w:val="left"/>
      <w:pPr>
        <w:tabs>
          <w:tab w:val="left" w:pos="312"/>
        </w:tabs>
      </w:pPr>
    </w:lvl>
  </w:abstractNum>
  <w:abstractNum w:abstractNumId="1">
    <w:nsid w:val="1E7E8738"/>
    <w:multiLevelType w:val="singleLevel"/>
    <w:tmpl w:val="1E7E8738"/>
    <w:lvl w:ilvl="0" w:tentative="0">
      <w:start w:val="1"/>
      <w:numFmt w:val="chineseCounting"/>
      <w:suff w:val="nothing"/>
      <w:lvlText w:val="%1、"/>
      <w:lvlJc w:val="left"/>
      <w:rPr>
        <w:rFonts w:hint="eastAsia"/>
      </w:rPr>
    </w:lvl>
  </w:abstractNum>
  <w:abstractNum w:abstractNumId="2">
    <w:nsid w:val="5F8BC238"/>
    <w:multiLevelType w:val="singleLevel"/>
    <w:tmpl w:val="5F8BC238"/>
    <w:lvl w:ilvl="0" w:tentative="0">
      <w:start w:val="1"/>
      <w:numFmt w:val="decimal"/>
      <w:lvlText w:val="%1."/>
      <w:lvlJc w:val="left"/>
      <w:pPr>
        <w:ind w:left="425" w:hanging="425"/>
      </w:pPr>
      <w:rPr>
        <w:rFonts w:hint="default"/>
      </w:rPr>
    </w:lvl>
  </w:abstractNum>
  <w:abstractNum w:abstractNumId="3">
    <w:nsid w:val="75B86E5A"/>
    <w:multiLevelType w:val="singleLevel"/>
    <w:tmpl w:val="75B86E5A"/>
    <w:lvl w:ilvl="0" w:tentative="0">
      <w:start w:val="1"/>
      <w:numFmt w:val="decimal"/>
      <w:lvlText w:val="%1."/>
      <w:lvlJc w:val="left"/>
      <w:pPr>
        <w:ind w:left="425" w:hanging="425"/>
      </w:pPr>
      <w:rPr>
        <w:rFont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B7030F"/>
    <w:rsid w:val="01620FB8"/>
    <w:rsid w:val="017C7772"/>
    <w:rsid w:val="082758B8"/>
    <w:rsid w:val="0B3C5148"/>
    <w:rsid w:val="303F5C8C"/>
    <w:rsid w:val="4AB7030F"/>
    <w:rsid w:val="555023DB"/>
    <w:rsid w:val="62155CCB"/>
    <w:rsid w:val="6C5C46E0"/>
    <w:rsid w:val="76815DD3"/>
    <w:rsid w:val="776D7B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widowControl/>
      <w:jc w:val="left"/>
    </w:pPr>
    <w:rPr>
      <w:kern w:val="0"/>
      <w:szCs w:val="20"/>
    </w:rPr>
  </w:style>
  <w:style w:type="paragraph" w:styleId="3">
    <w:name w:val="Body Text"/>
    <w:basedOn w:val="1"/>
    <w:next w:val="4"/>
    <w:qFormat/>
    <w:uiPriority w:val="0"/>
    <w:pPr>
      <w:spacing w:after="120"/>
    </w:pPr>
  </w:style>
  <w:style w:type="paragraph" w:styleId="4">
    <w:name w:val="toc 5"/>
    <w:basedOn w:val="1"/>
    <w:next w:val="1"/>
    <w:qFormat/>
    <w:uiPriority w:val="0"/>
    <w:pPr>
      <w:ind w:left="1680" w:leftChars="800"/>
    </w:pPr>
  </w:style>
  <w:style w:type="paragraph" w:styleId="5">
    <w:name w:val="footer"/>
    <w:basedOn w:val="1"/>
    <w:qFormat/>
    <w:uiPriority w:val="99"/>
    <w:pPr>
      <w:tabs>
        <w:tab w:val="center" w:pos="4153"/>
        <w:tab w:val="right" w:pos="8306"/>
      </w:tabs>
      <w:snapToGrid w:val="0"/>
      <w:jc w:val="left"/>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2074</Words>
  <Characters>2166</Characters>
  <Lines>0</Lines>
  <Paragraphs>0</Paragraphs>
  <TotalTime>0</TotalTime>
  <ScaleCrop>false</ScaleCrop>
  <LinksUpToDate>false</LinksUpToDate>
  <CharactersWithSpaces>2178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2026-05-18T08:31:00Z</dcterms:created>
  <dc:creator>Francie_Mak</dc:creator>
  <cp:lastModifiedBy>NHF</cp:lastModifiedBy>
  <dcterms:modified xsi:type="dcterms:W3CDTF">2026-05-22T08:32:32Z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A2DE452C2A254B7AABC1A4D92E0529B4_11</vt:lpwstr>
  </property>
  <property fmtid="{D5CDD505-2E9C-101B-9397-08002B2CF9AE}" pid="4" name="KSOTemplateDocerSaveRecord">
    <vt:lpwstr>eyJoZGlkIjoiMWY1OGFkZTdjNjU4ZjlkZTVkYmMxYzRkZmJkYzI2ZjciLCJ1c2VySWQiOiI5MzA1MDUzMzcifQ==</vt:lpwstr>
  </property>
</Properties>
</file>