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0FB139">
      <w:pPr>
        <w:jc w:val="center"/>
      </w:pPr>
      <w:r>
        <w:rPr>
          <w:rFonts w:hint="eastAsia"/>
          <w:b/>
          <w:bCs/>
          <w:sz w:val="36"/>
          <w:szCs w:val="36"/>
        </w:rPr>
        <w:t>中山市东升医院门诊分诊屏</w:t>
      </w:r>
      <w:r>
        <w:rPr>
          <w:b/>
          <w:bCs/>
          <w:sz w:val="36"/>
          <w:szCs w:val="36"/>
        </w:rPr>
        <w:t>项目调研公告</w:t>
      </w:r>
    </w:p>
    <w:p w14:paraId="73A9B27F">
      <w:pPr>
        <w:spacing w:line="360" w:lineRule="auto"/>
        <w:ind w:firstLine="420" w:firstLineChars="200"/>
        <w:jc w:val="left"/>
        <w:rPr>
          <w:color w:val="000000"/>
          <w:szCs w:val="21"/>
        </w:rPr>
      </w:pPr>
      <w:bookmarkStart w:id="0" w:name="_GoBack"/>
      <w:r>
        <w:rPr>
          <w:rFonts w:hint="eastAsia" w:ascii="宋体" w:hAnsi="宋体" w:eastAsia="宋体" w:cs="宋体"/>
          <w:color w:val="000000"/>
          <w:szCs w:val="21"/>
          <w:shd w:val="clear" w:color="auto" w:fill="FFFFFF"/>
        </w:rPr>
        <w:t>为更好地开展项目，了解当前市场状况，</w:t>
      </w:r>
      <w:r>
        <w:rPr>
          <w:rFonts w:hint="eastAsia" w:ascii="宋体" w:hAnsi="宋体" w:eastAsia="宋体" w:cs="宋体"/>
          <w:color w:val="000000"/>
          <w:szCs w:val="21"/>
        </w:rPr>
        <w:t>进一步优化我院超声科就医服务流程，提升患者候诊体验，保障超声科分诊业务的高效、稳定运行，现对超声科多媒体分诊系统升级项目进行公开市场调研，欢迎符合资格条件的供应商前来参与。</w:t>
      </w:r>
    </w:p>
    <w:p w14:paraId="1880963C">
      <w:pPr>
        <w:pStyle w:val="4"/>
        <w:widowControl/>
        <w:numPr>
          <w:ilvl w:val="0"/>
          <w:numId w:val="1"/>
        </w:numPr>
        <w:spacing w:before="0" w:beforeAutospacing="0" w:after="0" w:afterAutospacing="0" w:line="360" w:lineRule="auto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项目基本情况</w:t>
      </w:r>
    </w:p>
    <w:p w14:paraId="32AE702E">
      <w:pPr>
        <w:widowControl/>
        <w:numPr>
          <w:ilvl w:val="0"/>
          <w:numId w:val="2"/>
        </w:numPr>
        <w:spacing w:line="360" w:lineRule="auto"/>
        <w:ind w:left="0"/>
        <w:jc w:val="left"/>
        <w:rPr>
          <w:rFonts w:hint="eastAsia"/>
          <w:color w:val="000000"/>
          <w:szCs w:val="21"/>
        </w:rPr>
      </w:pPr>
      <w:r>
        <w:rPr>
          <w:rStyle w:val="8"/>
          <w:rFonts w:hint="eastAsia"/>
          <w:color w:val="000000"/>
          <w:szCs w:val="21"/>
        </w:rPr>
        <w:t>项目名称</w:t>
      </w:r>
      <w:r>
        <w:rPr>
          <w:rFonts w:hint="eastAsia"/>
          <w:color w:val="000000"/>
          <w:szCs w:val="21"/>
        </w:rPr>
        <w:t>：中山市东升医院超声科多媒体分诊系统升级项目</w:t>
      </w:r>
    </w:p>
    <w:p w14:paraId="4F39F05A">
      <w:pPr>
        <w:widowControl/>
        <w:numPr>
          <w:ilvl w:val="0"/>
          <w:numId w:val="2"/>
        </w:numPr>
        <w:spacing w:line="360" w:lineRule="auto"/>
        <w:ind w:left="0"/>
        <w:jc w:val="left"/>
        <w:rPr>
          <w:color w:val="000000"/>
          <w:szCs w:val="21"/>
        </w:rPr>
      </w:pPr>
      <w:r>
        <w:rPr>
          <w:rStyle w:val="8"/>
          <w:rFonts w:hint="eastAsia"/>
          <w:color w:val="000000"/>
          <w:szCs w:val="21"/>
        </w:rPr>
        <w:t>调研单位</w:t>
      </w:r>
      <w:r>
        <w:rPr>
          <w:rFonts w:hint="eastAsia"/>
          <w:color w:val="000000"/>
          <w:szCs w:val="21"/>
        </w:rPr>
        <w:t>：中山市东升医院</w:t>
      </w:r>
    </w:p>
    <w:p w14:paraId="02EDB734">
      <w:pPr>
        <w:pStyle w:val="4"/>
        <w:widowControl/>
        <w:numPr>
          <w:ilvl w:val="0"/>
          <w:numId w:val="1"/>
        </w:numPr>
        <w:spacing w:before="0" w:beforeAutospacing="0" w:after="0" w:afterAutospacing="0" w:line="360" w:lineRule="auto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改造内容</w:t>
      </w:r>
    </w:p>
    <w:p w14:paraId="76265CDA">
      <w:pPr>
        <w:spacing w:line="360" w:lineRule="auto"/>
        <w:rPr>
          <w:rFonts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1、门诊显示屏安装：计划在</w:t>
      </w:r>
      <w:r>
        <w:rPr>
          <w:rFonts w:hint="eastAsia" w:ascii="宋体" w:hAnsi="宋体" w:eastAsia="宋体" w:cs="宋体"/>
          <w:szCs w:val="21"/>
          <w:lang w:val="en-US" w:eastAsia="zh-CN"/>
        </w:rPr>
        <w:t>2楼超声科</w:t>
      </w:r>
      <w:r>
        <w:rPr>
          <w:rFonts w:hint="eastAsia" w:ascii="宋体" w:hAnsi="宋体" w:eastAsia="宋体" w:cs="宋体"/>
          <w:szCs w:val="21"/>
        </w:rPr>
        <w:t>安装4块显示屏，2人诊室需要上下分配显示，实时显示科室排队信息、医生出诊情况等，其中2人诊室需要上下分屏显示，方便患者及时了解就诊动态。</w:t>
      </w:r>
    </w:p>
    <w:p w14:paraId="2A380D9F">
      <w:pPr>
        <w:spacing w:line="360" w:lineRule="auto"/>
        <w:rPr>
          <w:rFonts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2、电视机盒子安装：计划采购1台，通过盒子外接到利旧电视机集中显示，外接利旧功放喇叭实现覆盖语音叫号。</w:t>
      </w:r>
    </w:p>
    <w:p w14:paraId="0F12392B">
      <w:pPr>
        <w:spacing w:line="360" w:lineRule="auto"/>
        <w:rPr>
          <w:rFonts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3、软硬件集成：本次改造所投软硬件需为同一厂家提供，确保系统间的兼容性，减少故障发生，便于后期维护和升级</w:t>
      </w:r>
      <w:r>
        <w:rPr>
          <w:rFonts w:hint="eastAsia" w:ascii="宋体" w:hAnsi="宋体" w:eastAsia="宋体" w:cs="宋体"/>
          <w:color w:val="FF0000"/>
          <w:szCs w:val="21"/>
        </w:rPr>
        <w:t>（若有其他可以达到同等效果的方案，可以提交）。</w:t>
      </w:r>
    </w:p>
    <w:p w14:paraId="72601973">
      <w:pPr>
        <w:spacing w:line="360" w:lineRule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4、系统对接：所投产品的硬件需与医院现有排队叫号</w:t>
      </w:r>
      <w:r>
        <w:rPr>
          <w:rFonts w:hint="eastAsia" w:ascii="宋体" w:hAnsi="宋体" w:eastAsia="宋体" w:cs="宋体"/>
          <w:szCs w:val="21"/>
          <w:lang w:eastAsia="zh-CN"/>
        </w:rPr>
        <w:t>、</w:t>
      </w:r>
      <w:r>
        <w:rPr>
          <w:rFonts w:hint="eastAsia" w:ascii="宋体" w:hAnsi="宋体" w:eastAsia="宋体" w:cs="宋体"/>
          <w:szCs w:val="21"/>
        </w:rPr>
        <w:t>PACS、HIS等</w:t>
      </w:r>
      <w:r>
        <w:rPr>
          <w:rFonts w:hint="eastAsia" w:ascii="宋体" w:hAnsi="宋体" w:eastAsia="宋体" w:cs="宋体"/>
          <w:szCs w:val="21"/>
          <w:lang w:val="en-US" w:eastAsia="zh-CN"/>
        </w:rPr>
        <w:t>系统</w:t>
      </w:r>
      <w:r>
        <w:rPr>
          <w:rFonts w:hint="eastAsia" w:ascii="宋体" w:hAnsi="宋体" w:eastAsia="宋体" w:cs="宋体"/>
          <w:szCs w:val="21"/>
        </w:rPr>
        <w:t>无缝对接。</w:t>
      </w:r>
    </w:p>
    <w:p w14:paraId="6023CD6D">
      <w:pPr>
        <w:spacing w:line="360" w:lineRule="auto"/>
        <w:rPr>
          <w:color w:val="000000"/>
          <w:szCs w:val="21"/>
        </w:rPr>
      </w:pPr>
      <w:r>
        <w:rPr>
          <w:rFonts w:hint="eastAsia" w:ascii="宋体" w:hAnsi="宋体" w:eastAsia="宋体" w:cs="宋体"/>
          <w:szCs w:val="21"/>
        </w:rPr>
        <w:t>5、</w:t>
      </w:r>
      <w:r>
        <w:rPr>
          <w:rFonts w:hint="eastAsia" w:hAnsi="宋体"/>
          <w:szCs w:val="21"/>
        </w:rPr>
        <w:t>★</w:t>
      </w:r>
      <w:r>
        <w:rPr>
          <w:rFonts w:hint="eastAsia" w:ascii="宋体" w:hAnsi="宋体" w:eastAsia="宋体" w:cs="宋体"/>
          <w:color w:val="000000"/>
          <w:szCs w:val="21"/>
        </w:rPr>
        <w:t>本项目支持对医院现有符合使用条件的分诊电视屏、功放、喇叭等设备进行利旧使用，供应商需在调研方案中明确利旧方案的可行性、对接方式、兼容性保障及配套调试服务，确保利旧设备可与新系统无缝联动。与医院现有分诊系统兼容，实现统一后台管理</w:t>
      </w:r>
      <w:r>
        <w:rPr>
          <w:rFonts w:hint="eastAsia" w:ascii="宋体" w:hAnsi="宋体" w:eastAsia="宋体" w:cs="宋体"/>
          <w:color w:val="000000"/>
          <w:szCs w:val="21"/>
          <w:lang w:eastAsia="zh-CN"/>
        </w:rPr>
        <w:t>（</w:t>
      </w:r>
      <w:r>
        <w:rPr>
          <w:rFonts w:hint="eastAsia" w:ascii="宋体" w:hAnsi="宋体" w:eastAsia="宋体" w:cs="宋体"/>
          <w:color w:val="000000"/>
          <w:szCs w:val="21"/>
          <w:lang w:val="en-US" w:eastAsia="zh-CN"/>
        </w:rPr>
        <w:t>医院在用软件为广东中拓信息技术有限公司产品</w:t>
      </w:r>
      <w:r>
        <w:rPr>
          <w:rFonts w:hint="eastAsia" w:ascii="宋体" w:hAnsi="宋体" w:eastAsia="宋体" w:cs="宋体"/>
          <w:color w:val="000000"/>
          <w:szCs w:val="21"/>
          <w:lang w:eastAsia="zh-CN"/>
        </w:rPr>
        <w:t>）</w:t>
      </w:r>
      <w:r>
        <w:rPr>
          <w:rFonts w:hint="eastAsia" w:ascii="宋体" w:hAnsi="宋体" w:eastAsia="宋体" w:cs="宋体"/>
          <w:color w:val="000000"/>
          <w:szCs w:val="21"/>
        </w:rPr>
        <w:t>。</w:t>
      </w:r>
    </w:p>
    <w:p w14:paraId="756D28A2">
      <w:pPr>
        <w:pStyle w:val="2"/>
        <w:rPr>
          <w:rFonts w:hint="eastAsia"/>
        </w:rPr>
      </w:pPr>
    </w:p>
    <w:p w14:paraId="2FDEAFB1">
      <w:pPr>
        <w:spacing w:line="360" w:lineRule="auto"/>
        <w:ind w:firstLine="420"/>
        <w:outlineLvl w:val="1"/>
        <w:rPr>
          <w:szCs w:val="21"/>
        </w:rPr>
      </w:pPr>
      <w:r>
        <w:rPr>
          <w:rFonts w:hint="eastAsia" w:ascii="宋体" w:hAnsi="宋体" w:eastAsia="宋体" w:cs="宋体"/>
          <w:b/>
          <w:bCs/>
          <w:szCs w:val="21"/>
        </w:rPr>
        <w:t>（一）配套硬件设备：</w:t>
      </w:r>
    </w:p>
    <w:tbl>
      <w:tblPr>
        <w:tblStyle w:val="6"/>
        <w:tblW w:w="4804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1322"/>
        <w:gridCol w:w="3454"/>
        <w:gridCol w:w="732"/>
        <w:gridCol w:w="786"/>
        <w:gridCol w:w="1254"/>
      </w:tblGrid>
      <w:tr w14:paraId="51B2BB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90" w:type="pct"/>
            <w:tcBorders>
              <w:top w:val="single" w:color="000000" w:sz="8" w:space="0"/>
              <w:left w:val="single" w:color="000000" w:sz="8" w:space="0"/>
              <w:bottom w:val="nil"/>
              <w:right w:val="single" w:color="000000" w:sz="8" w:space="0"/>
            </w:tcBorders>
            <w:shd w:val="clear" w:color="auto" w:fill="D7D7D7"/>
            <w:vAlign w:val="center"/>
          </w:tcPr>
          <w:p w14:paraId="73758431">
            <w:pPr>
              <w:widowControl/>
              <w:spacing w:line="360" w:lineRule="auto"/>
              <w:jc w:val="center"/>
              <w:textAlignment w:val="center"/>
              <w:rPr>
                <w:rStyle w:val="10"/>
                <w:b/>
                <w:bCs/>
                <w:sz w:val="21"/>
                <w:szCs w:val="21"/>
              </w:rPr>
            </w:pPr>
            <w:r>
              <w:rPr>
                <w:rStyle w:val="10"/>
                <w:rFonts w:hint="eastAsia"/>
                <w:b/>
                <w:bCs/>
                <w:sz w:val="21"/>
                <w:szCs w:val="21"/>
              </w:rPr>
              <w:t>序号</w:t>
            </w:r>
          </w:p>
        </w:tc>
        <w:tc>
          <w:tcPr>
            <w:tcW w:w="807" w:type="pct"/>
            <w:tcBorders>
              <w:top w:val="single" w:color="000000" w:sz="8" w:space="0"/>
              <w:left w:val="single" w:color="000000" w:sz="8" w:space="0"/>
              <w:bottom w:val="nil"/>
              <w:right w:val="single" w:color="000000" w:sz="8" w:space="0"/>
            </w:tcBorders>
            <w:shd w:val="clear" w:color="auto" w:fill="D7D7D7"/>
            <w:vAlign w:val="center"/>
          </w:tcPr>
          <w:p w14:paraId="1DDBDA4F">
            <w:pPr>
              <w:widowControl/>
              <w:spacing w:line="360" w:lineRule="auto"/>
              <w:jc w:val="center"/>
              <w:textAlignment w:val="center"/>
              <w:rPr>
                <w:rStyle w:val="10"/>
                <w:b/>
                <w:bCs/>
                <w:sz w:val="21"/>
                <w:szCs w:val="21"/>
              </w:rPr>
            </w:pPr>
            <w:r>
              <w:rPr>
                <w:rStyle w:val="10"/>
                <w:rFonts w:hint="eastAsia"/>
                <w:b/>
                <w:bCs/>
                <w:sz w:val="21"/>
                <w:szCs w:val="21"/>
              </w:rPr>
              <w:t>产品名称</w:t>
            </w:r>
          </w:p>
        </w:tc>
        <w:tc>
          <w:tcPr>
            <w:tcW w:w="2109" w:type="pct"/>
            <w:tcBorders>
              <w:top w:val="single" w:color="000000" w:sz="8" w:space="0"/>
              <w:left w:val="single" w:color="000000" w:sz="8" w:space="0"/>
              <w:bottom w:val="nil"/>
              <w:right w:val="single" w:color="000000" w:sz="8" w:space="0"/>
            </w:tcBorders>
            <w:shd w:val="clear" w:color="auto" w:fill="D7D7D7"/>
            <w:vAlign w:val="center"/>
          </w:tcPr>
          <w:p w14:paraId="20BB971E">
            <w:pPr>
              <w:widowControl/>
              <w:spacing w:line="360" w:lineRule="auto"/>
              <w:jc w:val="center"/>
              <w:textAlignment w:val="center"/>
              <w:rPr>
                <w:rStyle w:val="10"/>
                <w:b/>
                <w:bCs/>
                <w:sz w:val="21"/>
                <w:szCs w:val="21"/>
              </w:rPr>
            </w:pPr>
            <w:r>
              <w:rPr>
                <w:rStyle w:val="10"/>
                <w:rFonts w:hint="eastAsia"/>
                <w:b/>
                <w:bCs/>
                <w:sz w:val="21"/>
                <w:szCs w:val="21"/>
              </w:rPr>
              <w:t>参数配置</w:t>
            </w:r>
          </w:p>
        </w:tc>
        <w:tc>
          <w:tcPr>
            <w:tcW w:w="447" w:type="pct"/>
            <w:tcBorders>
              <w:top w:val="single" w:color="000000" w:sz="8" w:space="0"/>
              <w:left w:val="single" w:color="000000" w:sz="8" w:space="0"/>
              <w:bottom w:val="nil"/>
              <w:right w:val="single" w:color="000000" w:sz="8" w:space="0"/>
            </w:tcBorders>
            <w:shd w:val="clear" w:color="auto" w:fill="D7D7D7"/>
            <w:vAlign w:val="center"/>
          </w:tcPr>
          <w:p w14:paraId="75832B7F">
            <w:pPr>
              <w:widowControl/>
              <w:spacing w:line="360" w:lineRule="auto"/>
              <w:jc w:val="center"/>
              <w:textAlignment w:val="center"/>
              <w:rPr>
                <w:rStyle w:val="10"/>
                <w:b/>
                <w:bCs/>
                <w:sz w:val="21"/>
                <w:szCs w:val="21"/>
              </w:rPr>
            </w:pPr>
            <w:r>
              <w:rPr>
                <w:rStyle w:val="10"/>
                <w:rFonts w:hint="eastAsia"/>
                <w:b/>
                <w:bCs/>
                <w:sz w:val="21"/>
                <w:szCs w:val="21"/>
              </w:rPr>
              <w:t>数量</w:t>
            </w:r>
          </w:p>
        </w:tc>
        <w:tc>
          <w:tcPr>
            <w:tcW w:w="480" w:type="pct"/>
            <w:tcBorders>
              <w:top w:val="single" w:color="000000" w:sz="8" w:space="0"/>
              <w:left w:val="single" w:color="000000" w:sz="8" w:space="0"/>
              <w:bottom w:val="nil"/>
              <w:right w:val="single" w:color="000000" w:sz="8" w:space="0"/>
            </w:tcBorders>
            <w:shd w:val="clear" w:color="auto" w:fill="D7D7D7"/>
            <w:vAlign w:val="center"/>
          </w:tcPr>
          <w:p w14:paraId="14062B1B">
            <w:pPr>
              <w:widowControl/>
              <w:spacing w:line="360" w:lineRule="auto"/>
              <w:jc w:val="center"/>
              <w:textAlignment w:val="center"/>
              <w:rPr>
                <w:rStyle w:val="10"/>
                <w:b/>
                <w:bCs/>
                <w:sz w:val="21"/>
                <w:szCs w:val="21"/>
              </w:rPr>
            </w:pPr>
            <w:r>
              <w:rPr>
                <w:rStyle w:val="10"/>
                <w:rFonts w:hint="eastAsia"/>
                <w:b/>
                <w:bCs/>
                <w:sz w:val="21"/>
                <w:szCs w:val="21"/>
              </w:rPr>
              <w:t>单位</w:t>
            </w:r>
          </w:p>
        </w:tc>
        <w:tc>
          <w:tcPr>
            <w:tcW w:w="766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D9D9D9"/>
            <w:vAlign w:val="center"/>
          </w:tcPr>
          <w:p w14:paraId="07A8957A">
            <w:pPr>
              <w:widowControl/>
              <w:spacing w:line="360" w:lineRule="auto"/>
              <w:jc w:val="center"/>
              <w:textAlignment w:val="center"/>
              <w:rPr>
                <w:rStyle w:val="10"/>
                <w:b/>
                <w:bCs/>
                <w:sz w:val="21"/>
                <w:szCs w:val="21"/>
              </w:rPr>
            </w:pPr>
            <w:r>
              <w:rPr>
                <w:rStyle w:val="10"/>
                <w:rFonts w:hint="eastAsia"/>
                <w:b/>
                <w:bCs/>
                <w:sz w:val="21"/>
                <w:szCs w:val="21"/>
              </w:rPr>
              <w:t>备注</w:t>
            </w:r>
          </w:p>
        </w:tc>
      </w:tr>
      <w:tr w14:paraId="2B5E8F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5" w:hRule="atLeast"/>
        </w:trPr>
        <w:tc>
          <w:tcPr>
            <w:tcW w:w="39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423DA6C">
            <w:pPr>
              <w:widowControl/>
              <w:spacing w:line="360" w:lineRule="auto"/>
              <w:jc w:val="center"/>
              <w:textAlignment w:val="center"/>
              <w:rPr>
                <w:rStyle w:val="10"/>
                <w:sz w:val="21"/>
                <w:szCs w:val="21"/>
              </w:rPr>
            </w:pPr>
            <w:r>
              <w:rPr>
                <w:rStyle w:val="10"/>
                <w:rFonts w:hint="eastAsia"/>
                <w:sz w:val="21"/>
                <w:szCs w:val="21"/>
              </w:rPr>
              <w:t>1</w:t>
            </w:r>
          </w:p>
        </w:tc>
        <w:tc>
          <w:tcPr>
            <w:tcW w:w="807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AF0A1FE">
            <w:pPr>
              <w:widowControl/>
              <w:spacing w:line="360" w:lineRule="auto"/>
              <w:jc w:val="center"/>
              <w:textAlignment w:val="center"/>
              <w:rPr>
                <w:rStyle w:val="10"/>
                <w:sz w:val="21"/>
                <w:szCs w:val="21"/>
              </w:rPr>
            </w:pPr>
            <w:r>
              <w:rPr>
                <w:rStyle w:val="10"/>
                <w:rFonts w:hint="eastAsia"/>
                <w:sz w:val="21"/>
                <w:szCs w:val="21"/>
              </w:rPr>
              <w:t>分诊一体机</w:t>
            </w:r>
          </w:p>
        </w:tc>
        <w:tc>
          <w:tcPr>
            <w:tcW w:w="2109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53CF1CE">
            <w:pPr>
              <w:widowControl/>
              <w:spacing w:line="360" w:lineRule="auto"/>
              <w:jc w:val="left"/>
              <w:textAlignment w:val="center"/>
              <w:rPr>
                <w:rStyle w:val="10"/>
                <w:sz w:val="21"/>
                <w:szCs w:val="21"/>
              </w:rPr>
            </w:pPr>
            <w:r>
              <w:rPr>
                <w:rStyle w:val="10"/>
                <w:rFonts w:hint="eastAsia"/>
                <w:sz w:val="21"/>
                <w:szCs w:val="21"/>
              </w:rPr>
              <w:t>CPU：≥64bit A53，≥1.5GHz主频；</w:t>
            </w:r>
          </w:p>
          <w:p w14:paraId="1C179C66">
            <w:pPr>
              <w:widowControl/>
              <w:spacing w:line="360" w:lineRule="auto"/>
              <w:jc w:val="left"/>
              <w:textAlignment w:val="center"/>
              <w:rPr>
                <w:rStyle w:val="10"/>
                <w:sz w:val="21"/>
                <w:szCs w:val="21"/>
              </w:rPr>
            </w:pPr>
            <w:r>
              <w:rPr>
                <w:rStyle w:val="10"/>
                <w:rFonts w:hint="eastAsia"/>
                <w:sz w:val="21"/>
                <w:szCs w:val="21"/>
              </w:rPr>
              <w:t>内存：≥1GB；</w:t>
            </w:r>
          </w:p>
          <w:p w14:paraId="72E35F6E">
            <w:pPr>
              <w:widowControl/>
              <w:spacing w:line="360" w:lineRule="auto"/>
              <w:jc w:val="left"/>
              <w:textAlignment w:val="center"/>
              <w:rPr>
                <w:rStyle w:val="10"/>
                <w:sz w:val="21"/>
                <w:szCs w:val="21"/>
              </w:rPr>
            </w:pPr>
            <w:r>
              <w:rPr>
                <w:rStyle w:val="10"/>
                <w:rFonts w:hint="eastAsia"/>
                <w:sz w:val="21"/>
                <w:szCs w:val="21"/>
              </w:rPr>
              <w:t>外存储：≥ 8GB；</w:t>
            </w:r>
          </w:p>
          <w:p w14:paraId="5007E601">
            <w:pPr>
              <w:widowControl/>
              <w:spacing w:line="360" w:lineRule="auto"/>
              <w:jc w:val="left"/>
              <w:textAlignment w:val="center"/>
              <w:rPr>
                <w:rStyle w:val="10"/>
                <w:sz w:val="21"/>
                <w:szCs w:val="21"/>
              </w:rPr>
            </w:pPr>
            <w:r>
              <w:rPr>
                <w:rStyle w:val="10"/>
                <w:rFonts w:hint="eastAsia"/>
                <w:sz w:val="21"/>
                <w:szCs w:val="21"/>
              </w:rPr>
              <w:t>系统：≥Android 9.0；</w:t>
            </w:r>
          </w:p>
          <w:p w14:paraId="39B2492A">
            <w:pPr>
              <w:widowControl/>
              <w:spacing w:line="360" w:lineRule="auto"/>
              <w:jc w:val="left"/>
              <w:textAlignment w:val="center"/>
              <w:rPr>
                <w:rStyle w:val="10"/>
                <w:sz w:val="21"/>
                <w:szCs w:val="21"/>
              </w:rPr>
            </w:pPr>
            <w:r>
              <w:rPr>
                <w:rStyle w:val="10"/>
                <w:rFonts w:hint="eastAsia"/>
                <w:sz w:val="21"/>
                <w:szCs w:val="21"/>
              </w:rPr>
              <w:t>尺寸：≥22寸；</w:t>
            </w:r>
          </w:p>
          <w:p w14:paraId="12207069">
            <w:pPr>
              <w:widowControl/>
              <w:spacing w:line="360" w:lineRule="auto"/>
              <w:jc w:val="left"/>
              <w:textAlignment w:val="center"/>
              <w:rPr>
                <w:rStyle w:val="10"/>
                <w:sz w:val="21"/>
                <w:szCs w:val="21"/>
              </w:rPr>
            </w:pPr>
            <w:r>
              <w:rPr>
                <w:rStyle w:val="10"/>
                <w:rFonts w:hint="eastAsia"/>
                <w:sz w:val="21"/>
                <w:szCs w:val="21"/>
              </w:rPr>
              <w:t>屏显比例：≥16：9；</w:t>
            </w:r>
          </w:p>
          <w:p w14:paraId="51447DD8">
            <w:pPr>
              <w:widowControl/>
              <w:spacing w:line="360" w:lineRule="auto"/>
              <w:jc w:val="left"/>
              <w:textAlignment w:val="center"/>
              <w:rPr>
                <w:rStyle w:val="10"/>
                <w:sz w:val="21"/>
                <w:szCs w:val="21"/>
              </w:rPr>
            </w:pPr>
            <w:r>
              <w:rPr>
                <w:rStyle w:val="10"/>
                <w:rFonts w:hint="eastAsia"/>
                <w:sz w:val="21"/>
                <w:szCs w:val="21"/>
              </w:rPr>
              <w:t>分辨率：≥1920*1080；</w:t>
            </w:r>
          </w:p>
          <w:p w14:paraId="46528F64">
            <w:pPr>
              <w:widowControl/>
              <w:spacing w:line="360" w:lineRule="auto"/>
              <w:jc w:val="left"/>
              <w:textAlignment w:val="center"/>
              <w:rPr>
                <w:rStyle w:val="10"/>
                <w:sz w:val="21"/>
                <w:szCs w:val="21"/>
              </w:rPr>
            </w:pPr>
            <w:r>
              <w:rPr>
                <w:rStyle w:val="10"/>
                <w:rFonts w:hint="eastAsia"/>
                <w:sz w:val="21"/>
                <w:szCs w:val="21"/>
              </w:rPr>
              <w:t>亮度：≥250cd/m²；</w:t>
            </w:r>
          </w:p>
          <w:p w14:paraId="20C9CD19">
            <w:pPr>
              <w:widowControl/>
              <w:spacing w:line="360" w:lineRule="auto"/>
              <w:jc w:val="left"/>
              <w:textAlignment w:val="center"/>
              <w:rPr>
                <w:rStyle w:val="10"/>
                <w:sz w:val="21"/>
                <w:szCs w:val="21"/>
              </w:rPr>
            </w:pPr>
            <w:r>
              <w:rPr>
                <w:rStyle w:val="10"/>
                <w:rFonts w:hint="eastAsia"/>
                <w:sz w:val="21"/>
                <w:szCs w:val="21"/>
              </w:rPr>
              <w:t>视角：U/D/R/L(CR＞10)：89 /89 /89/89；</w:t>
            </w:r>
          </w:p>
          <w:p w14:paraId="5FAFEF63">
            <w:pPr>
              <w:widowControl/>
              <w:spacing w:line="360" w:lineRule="auto"/>
              <w:jc w:val="left"/>
              <w:textAlignment w:val="center"/>
              <w:rPr>
                <w:rStyle w:val="10"/>
                <w:sz w:val="21"/>
                <w:szCs w:val="21"/>
              </w:rPr>
            </w:pPr>
            <w:r>
              <w:rPr>
                <w:rStyle w:val="10"/>
                <w:rFonts w:hint="eastAsia"/>
                <w:sz w:val="21"/>
                <w:szCs w:val="21"/>
              </w:rPr>
              <w:t>音频接口：≥3.5mm音频；</w:t>
            </w:r>
          </w:p>
          <w:p w14:paraId="597BBDEA">
            <w:pPr>
              <w:widowControl/>
              <w:spacing w:line="360" w:lineRule="auto"/>
              <w:jc w:val="left"/>
              <w:textAlignment w:val="center"/>
              <w:rPr>
                <w:rStyle w:val="10"/>
                <w:sz w:val="21"/>
                <w:szCs w:val="21"/>
              </w:rPr>
            </w:pPr>
            <w:r>
              <w:rPr>
                <w:rStyle w:val="10"/>
                <w:rFonts w:hint="eastAsia"/>
                <w:sz w:val="21"/>
                <w:szCs w:val="21"/>
              </w:rPr>
              <w:t>数据接口：≥USB2.0*2；</w:t>
            </w:r>
          </w:p>
          <w:p w14:paraId="0726ACCB">
            <w:pPr>
              <w:widowControl/>
              <w:spacing w:line="360" w:lineRule="auto"/>
              <w:jc w:val="left"/>
              <w:textAlignment w:val="center"/>
              <w:rPr>
                <w:rStyle w:val="10"/>
                <w:sz w:val="21"/>
                <w:szCs w:val="21"/>
              </w:rPr>
            </w:pPr>
            <w:r>
              <w:rPr>
                <w:rStyle w:val="10"/>
                <w:rFonts w:hint="eastAsia"/>
                <w:sz w:val="21"/>
                <w:szCs w:val="21"/>
              </w:rPr>
              <w:t>通信接口：≥10/100Mbps；</w:t>
            </w:r>
          </w:p>
          <w:p w14:paraId="10FA7D66">
            <w:pPr>
              <w:widowControl/>
              <w:spacing w:line="360" w:lineRule="auto"/>
              <w:jc w:val="left"/>
              <w:textAlignment w:val="center"/>
              <w:rPr>
                <w:rStyle w:val="10"/>
                <w:sz w:val="21"/>
                <w:szCs w:val="21"/>
              </w:rPr>
            </w:pPr>
            <w:r>
              <w:rPr>
                <w:rStyle w:val="10"/>
                <w:rFonts w:hint="eastAsia"/>
                <w:sz w:val="21"/>
                <w:szCs w:val="21"/>
              </w:rPr>
              <w:t>音频格式：支持MP3/WAV/FLV/AC3；</w:t>
            </w:r>
          </w:p>
          <w:p w14:paraId="71A71B74">
            <w:pPr>
              <w:widowControl/>
              <w:spacing w:line="360" w:lineRule="auto"/>
              <w:jc w:val="left"/>
              <w:textAlignment w:val="center"/>
              <w:rPr>
                <w:rStyle w:val="10"/>
                <w:sz w:val="21"/>
                <w:szCs w:val="21"/>
              </w:rPr>
            </w:pPr>
            <w:r>
              <w:rPr>
                <w:rStyle w:val="10"/>
                <w:rFonts w:hint="eastAsia"/>
                <w:sz w:val="21"/>
                <w:szCs w:val="21"/>
              </w:rPr>
              <w:t>高清视频格式：支持RM/RMVB/AVI/3GP/MKV/MOV/MP4；</w:t>
            </w:r>
          </w:p>
          <w:p w14:paraId="1170DD73">
            <w:pPr>
              <w:widowControl/>
              <w:spacing w:line="360" w:lineRule="auto"/>
              <w:jc w:val="left"/>
              <w:textAlignment w:val="center"/>
              <w:rPr>
                <w:rStyle w:val="10"/>
                <w:sz w:val="21"/>
                <w:szCs w:val="21"/>
              </w:rPr>
            </w:pPr>
            <w:r>
              <w:rPr>
                <w:rStyle w:val="10"/>
                <w:rFonts w:hint="eastAsia"/>
                <w:sz w:val="21"/>
                <w:szCs w:val="21"/>
              </w:rPr>
              <w:t>图片格式：支持JPEG/BMP/PNG；</w:t>
            </w:r>
          </w:p>
          <w:p w14:paraId="3BFA1F35">
            <w:pPr>
              <w:widowControl/>
              <w:spacing w:line="360" w:lineRule="auto"/>
              <w:jc w:val="left"/>
              <w:textAlignment w:val="center"/>
              <w:rPr>
                <w:rStyle w:val="10"/>
                <w:sz w:val="21"/>
                <w:szCs w:val="21"/>
              </w:rPr>
            </w:pPr>
            <w:r>
              <w:rPr>
                <w:rStyle w:val="10"/>
                <w:rFonts w:hint="eastAsia"/>
                <w:sz w:val="21"/>
                <w:szCs w:val="21"/>
              </w:rPr>
              <w:t>整机额定功率：≤23W；</w:t>
            </w:r>
          </w:p>
          <w:p w14:paraId="29FA9B2C">
            <w:pPr>
              <w:widowControl/>
              <w:spacing w:line="360" w:lineRule="auto"/>
              <w:jc w:val="left"/>
              <w:textAlignment w:val="center"/>
              <w:rPr>
                <w:rStyle w:val="10"/>
                <w:sz w:val="21"/>
                <w:szCs w:val="21"/>
              </w:rPr>
            </w:pPr>
            <w:r>
              <w:rPr>
                <w:rStyle w:val="10"/>
                <w:rFonts w:hint="eastAsia"/>
                <w:sz w:val="21"/>
                <w:szCs w:val="21"/>
              </w:rPr>
              <w:t>待机功率：≤1W；</w:t>
            </w:r>
          </w:p>
          <w:p w14:paraId="3C02049D">
            <w:pPr>
              <w:widowControl/>
              <w:spacing w:line="360" w:lineRule="auto"/>
              <w:jc w:val="left"/>
              <w:textAlignment w:val="center"/>
              <w:rPr>
                <w:rStyle w:val="10"/>
                <w:sz w:val="21"/>
                <w:szCs w:val="21"/>
              </w:rPr>
            </w:pPr>
            <w:r>
              <w:rPr>
                <w:rStyle w:val="10"/>
                <w:rFonts w:hint="eastAsia"/>
                <w:sz w:val="21"/>
                <w:szCs w:val="21"/>
              </w:rPr>
              <w:t>声音输出：≥8Ω/2W；</w:t>
            </w:r>
          </w:p>
        </w:tc>
        <w:tc>
          <w:tcPr>
            <w:tcW w:w="447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FFF379C">
            <w:pPr>
              <w:widowControl/>
              <w:spacing w:line="360" w:lineRule="auto"/>
              <w:jc w:val="center"/>
              <w:textAlignment w:val="center"/>
              <w:rPr>
                <w:rStyle w:val="10"/>
                <w:sz w:val="21"/>
                <w:szCs w:val="21"/>
              </w:rPr>
            </w:pPr>
            <w:r>
              <w:rPr>
                <w:rStyle w:val="10"/>
                <w:rFonts w:hint="eastAsia"/>
                <w:sz w:val="21"/>
                <w:szCs w:val="21"/>
              </w:rPr>
              <w:t>4</w:t>
            </w:r>
          </w:p>
        </w:tc>
        <w:tc>
          <w:tcPr>
            <w:tcW w:w="480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8F12FBF">
            <w:pPr>
              <w:widowControl/>
              <w:spacing w:line="360" w:lineRule="auto"/>
              <w:jc w:val="center"/>
              <w:textAlignment w:val="center"/>
              <w:rPr>
                <w:rStyle w:val="10"/>
                <w:sz w:val="21"/>
                <w:szCs w:val="21"/>
              </w:rPr>
            </w:pPr>
            <w:r>
              <w:rPr>
                <w:rStyle w:val="10"/>
                <w:rFonts w:hint="eastAsia"/>
                <w:sz w:val="21"/>
                <w:szCs w:val="21"/>
              </w:rPr>
              <w:t>台</w:t>
            </w:r>
          </w:p>
        </w:tc>
        <w:tc>
          <w:tcPr>
            <w:tcW w:w="766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9B7430B">
            <w:pPr>
              <w:spacing w:line="360" w:lineRule="auto"/>
              <w:rPr>
                <w:rStyle w:val="10"/>
                <w:sz w:val="21"/>
                <w:szCs w:val="21"/>
              </w:rPr>
            </w:pPr>
            <w:r>
              <w:rPr>
                <w:rStyle w:val="10"/>
                <w:rFonts w:hint="eastAsia"/>
                <w:sz w:val="21"/>
                <w:szCs w:val="21"/>
              </w:rPr>
              <w:t>产品的硬件需与医院现有排队叫号系统无缝对接</w:t>
            </w:r>
          </w:p>
        </w:tc>
      </w:tr>
      <w:tr w14:paraId="07FD43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5" w:hRule="atLeast"/>
        </w:trPr>
        <w:tc>
          <w:tcPr>
            <w:tcW w:w="39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44DA154">
            <w:pPr>
              <w:widowControl/>
              <w:spacing w:line="360" w:lineRule="auto"/>
              <w:jc w:val="center"/>
              <w:textAlignment w:val="center"/>
              <w:rPr>
                <w:rStyle w:val="10"/>
                <w:sz w:val="21"/>
                <w:szCs w:val="21"/>
              </w:rPr>
            </w:pPr>
            <w:r>
              <w:rPr>
                <w:rStyle w:val="10"/>
                <w:rFonts w:hint="eastAsia"/>
                <w:sz w:val="21"/>
                <w:szCs w:val="21"/>
              </w:rPr>
              <w:t>2</w:t>
            </w:r>
          </w:p>
        </w:tc>
        <w:tc>
          <w:tcPr>
            <w:tcW w:w="807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903BAF9">
            <w:pPr>
              <w:widowControl/>
              <w:spacing w:line="360" w:lineRule="auto"/>
              <w:jc w:val="center"/>
              <w:textAlignment w:val="center"/>
              <w:rPr>
                <w:rStyle w:val="10"/>
                <w:sz w:val="21"/>
                <w:szCs w:val="21"/>
              </w:rPr>
            </w:pPr>
            <w:r>
              <w:rPr>
                <w:rStyle w:val="10"/>
                <w:rFonts w:hint="eastAsia"/>
                <w:sz w:val="21"/>
                <w:szCs w:val="21"/>
              </w:rPr>
              <w:t>电视机盒子</w:t>
            </w:r>
          </w:p>
        </w:tc>
        <w:tc>
          <w:tcPr>
            <w:tcW w:w="2109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64EFA0E">
            <w:pPr>
              <w:widowControl/>
              <w:spacing w:line="360" w:lineRule="auto"/>
              <w:jc w:val="left"/>
              <w:textAlignment w:val="center"/>
              <w:rPr>
                <w:rStyle w:val="10"/>
                <w:sz w:val="21"/>
                <w:szCs w:val="21"/>
              </w:rPr>
            </w:pPr>
            <w:r>
              <w:rPr>
                <w:rStyle w:val="10"/>
                <w:rFonts w:hint="eastAsia"/>
                <w:sz w:val="21"/>
                <w:szCs w:val="21"/>
              </w:rPr>
              <w:t>CPU：≥四核64 位Cortex-A55，主频≥1.8GHz；</w:t>
            </w:r>
          </w:p>
          <w:p w14:paraId="0E4F512D">
            <w:pPr>
              <w:widowControl/>
              <w:spacing w:line="360" w:lineRule="auto"/>
              <w:jc w:val="left"/>
              <w:textAlignment w:val="center"/>
              <w:rPr>
                <w:rStyle w:val="10"/>
                <w:sz w:val="21"/>
                <w:szCs w:val="21"/>
              </w:rPr>
            </w:pPr>
            <w:r>
              <w:rPr>
                <w:rStyle w:val="10"/>
                <w:rFonts w:hint="eastAsia"/>
                <w:sz w:val="21"/>
                <w:szCs w:val="21"/>
              </w:rPr>
              <w:t>内存：≥2GB ；</w:t>
            </w:r>
          </w:p>
          <w:p w14:paraId="50BC7090">
            <w:pPr>
              <w:widowControl/>
              <w:spacing w:line="360" w:lineRule="auto"/>
              <w:jc w:val="left"/>
              <w:textAlignment w:val="center"/>
              <w:rPr>
                <w:rStyle w:val="10"/>
                <w:sz w:val="21"/>
                <w:szCs w:val="21"/>
              </w:rPr>
            </w:pPr>
            <w:r>
              <w:rPr>
                <w:rStyle w:val="10"/>
                <w:rFonts w:hint="eastAsia"/>
                <w:sz w:val="21"/>
                <w:szCs w:val="21"/>
              </w:rPr>
              <w:t>外存储：≥32GB</w:t>
            </w:r>
          </w:p>
          <w:p w14:paraId="7F749D69">
            <w:pPr>
              <w:widowControl/>
              <w:spacing w:line="360" w:lineRule="auto"/>
              <w:jc w:val="left"/>
              <w:textAlignment w:val="center"/>
              <w:rPr>
                <w:rStyle w:val="10"/>
                <w:sz w:val="21"/>
                <w:szCs w:val="21"/>
              </w:rPr>
            </w:pPr>
            <w:r>
              <w:rPr>
                <w:rStyle w:val="10"/>
                <w:rFonts w:hint="eastAsia"/>
                <w:sz w:val="21"/>
                <w:szCs w:val="21"/>
              </w:rPr>
              <w:t>系统：≥Android 11.0；</w:t>
            </w:r>
          </w:p>
          <w:p w14:paraId="1752A586">
            <w:pPr>
              <w:widowControl/>
              <w:spacing w:line="360" w:lineRule="auto"/>
              <w:jc w:val="left"/>
              <w:textAlignment w:val="center"/>
              <w:rPr>
                <w:rStyle w:val="10"/>
                <w:sz w:val="21"/>
                <w:szCs w:val="21"/>
              </w:rPr>
            </w:pPr>
            <w:r>
              <w:rPr>
                <w:rStyle w:val="10"/>
                <w:rFonts w:hint="eastAsia"/>
                <w:sz w:val="21"/>
                <w:szCs w:val="21"/>
              </w:rPr>
              <w:t>视频接口：≥HDMI OUT2.0，支持 4K@60HZ 输出，</w:t>
            </w:r>
          </w:p>
          <w:p w14:paraId="4E98F56E">
            <w:pPr>
              <w:widowControl/>
              <w:spacing w:line="360" w:lineRule="auto"/>
              <w:jc w:val="left"/>
              <w:textAlignment w:val="center"/>
              <w:rPr>
                <w:rStyle w:val="10"/>
                <w:sz w:val="21"/>
                <w:szCs w:val="21"/>
              </w:rPr>
            </w:pPr>
            <w:r>
              <w:rPr>
                <w:rStyle w:val="10"/>
                <w:rFonts w:hint="eastAsia"/>
                <w:sz w:val="21"/>
                <w:szCs w:val="21"/>
              </w:rPr>
              <w:t>音频接口：≥耳机插座*1</w:t>
            </w:r>
          </w:p>
          <w:p w14:paraId="293AEFFA">
            <w:pPr>
              <w:widowControl/>
              <w:spacing w:line="360" w:lineRule="auto"/>
              <w:jc w:val="left"/>
              <w:textAlignment w:val="center"/>
              <w:rPr>
                <w:rStyle w:val="10"/>
                <w:sz w:val="21"/>
                <w:szCs w:val="21"/>
              </w:rPr>
            </w:pPr>
            <w:r>
              <w:rPr>
                <w:rStyle w:val="10"/>
                <w:rFonts w:hint="eastAsia"/>
                <w:sz w:val="21"/>
                <w:szCs w:val="21"/>
              </w:rPr>
              <w:t>数据接口：≥1 个USB 3.0  ，≥1 个 OTG USB；</w:t>
            </w:r>
          </w:p>
          <w:p w14:paraId="10AB67F2">
            <w:pPr>
              <w:widowControl/>
              <w:spacing w:line="360" w:lineRule="auto"/>
              <w:jc w:val="left"/>
              <w:textAlignment w:val="center"/>
              <w:rPr>
                <w:rStyle w:val="10"/>
                <w:sz w:val="21"/>
                <w:szCs w:val="21"/>
              </w:rPr>
            </w:pPr>
            <w:r>
              <w:rPr>
                <w:rStyle w:val="10"/>
                <w:rFonts w:hint="eastAsia"/>
                <w:sz w:val="21"/>
                <w:szCs w:val="21"/>
              </w:rPr>
              <w:t>通信接口：支持RJ45(100Mbps)；</w:t>
            </w:r>
          </w:p>
          <w:p w14:paraId="4FABF3C9">
            <w:pPr>
              <w:widowControl/>
              <w:spacing w:line="360" w:lineRule="auto"/>
              <w:jc w:val="left"/>
              <w:textAlignment w:val="center"/>
              <w:rPr>
                <w:rStyle w:val="10"/>
                <w:sz w:val="21"/>
                <w:szCs w:val="21"/>
              </w:rPr>
            </w:pPr>
            <w:r>
              <w:rPr>
                <w:rStyle w:val="10"/>
                <w:rFonts w:hint="eastAsia"/>
                <w:sz w:val="21"/>
                <w:szCs w:val="21"/>
              </w:rPr>
              <w:t>音频解码器: 支持MP3/WMA/AAC/WAV/OGG/DDP/True HD/HD/FLAC/APE；</w:t>
            </w:r>
          </w:p>
          <w:p w14:paraId="0E1DA3A7">
            <w:pPr>
              <w:widowControl/>
              <w:spacing w:line="360" w:lineRule="auto"/>
              <w:jc w:val="left"/>
              <w:textAlignment w:val="center"/>
              <w:rPr>
                <w:rStyle w:val="10"/>
                <w:sz w:val="21"/>
                <w:szCs w:val="21"/>
              </w:rPr>
            </w:pPr>
            <w:r>
              <w:rPr>
                <w:rStyle w:val="10"/>
                <w:rFonts w:hint="eastAsia"/>
                <w:sz w:val="21"/>
                <w:szCs w:val="21"/>
              </w:rPr>
              <w:t>视频解码器: 支持4K 60fps H.265/H.264/VP9 视频解码；</w:t>
            </w:r>
          </w:p>
          <w:p w14:paraId="64B6B5B2">
            <w:pPr>
              <w:widowControl/>
              <w:spacing w:line="360" w:lineRule="auto"/>
              <w:jc w:val="left"/>
              <w:textAlignment w:val="center"/>
              <w:rPr>
                <w:rStyle w:val="10"/>
                <w:sz w:val="21"/>
                <w:szCs w:val="21"/>
              </w:rPr>
            </w:pPr>
            <w:r>
              <w:rPr>
                <w:rStyle w:val="10"/>
                <w:rFonts w:hint="eastAsia"/>
                <w:sz w:val="21"/>
                <w:szCs w:val="21"/>
              </w:rPr>
              <w:t>图片格式：支持HD JPEG/BMP/GIF/PNG/TIFF；</w:t>
            </w:r>
          </w:p>
          <w:p w14:paraId="7741C862">
            <w:pPr>
              <w:widowControl/>
              <w:spacing w:line="360" w:lineRule="auto"/>
              <w:jc w:val="left"/>
              <w:textAlignment w:val="center"/>
              <w:rPr>
                <w:rStyle w:val="10"/>
                <w:sz w:val="21"/>
                <w:szCs w:val="21"/>
              </w:rPr>
            </w:pPr>
            <w:r>
              <w:rPr>
                <w:rStyle w:val="10"/>
                <w:rFonts w:hint="eastAsia"/>
                <w:sz w:val="21"/>
                <w:szCs w:val="21"/>
              </w:rPr>
              <w:t>整机额定功率：≤10W；</w:t>
            </w:r>
          </w:p>
          <w:p w14:paraId="0D08BD9D">
            <w:pPr>
              <w:widowControl/>
              <w:spacing w:line="360" w:lineRule="auto"/>
              <w:jc w:val="left"/>
              <w:textAlignment w:val="center"/>
              <w:rPr>
                <w:rStyle w:val="10"/>
                <w:sz w:val="21"/>
                <w:szCs w:val="21"/>
              </w:rPr>
            </w:pPr>
            <w:r>
              <w:rPr>
                <w:rStyle w:val="10"/>
                <w:rFonts w:hint="eastAsia"/>
                <w:sz w:val="21"/>
                <w:szCs w:val="21"/>
              </w:rPr>
              <w:t>待机功率：≤1W；</w:t>
            </w:r>
          </w:p>
        </w:tc>
        <w:tc>
          <w:tcPr>
            <w:tcW w:w="447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44CA48A">
            <w:pPr>
              <w:widowControl/>
              <w:spacing w:line="360" w:lineRule="auto"/>
              <w:jc w:val="center"/>
              <w:textAlignment w:val="center"/>
              <w:rPr>
                <w:rStyle w:val="10"/>
                <w:sz w:val="21"/>
                <w:szCs w:val="21"/>
              </w:rPr>
            </w:pPr>
            <w:r>
              <w:rPr>
                <w:rStyle w:val="10"/>
                <w:rFonts w:hint="eastAsia"/>
                <w:sz w:val="21"/>
                <w:szCs w:val="21"/>
              </w:rPr>
              <w:t>1</w:t>
            </w:r>
          </w:p>
        </w:tc>
        <w:tc>
          <w:tcPr>
            <w:tcW w:w="480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194B447">
            <w:pPr>
              <w:widowControl/>
              <w:spacing w:line="360" w:lineRule="auto"/>
              <w:jc w:val="center"/>
              <w:textAlignment w:val="center"/>
              <w:rPr>
                <w:rStyle w:val="10"/>
                <w:sz w:val="21"/>
                <w:szCs w:val="21"/>
              </w:rPr>
            </w:pPr>
            <w:r>
              <w:rPr>
                <w:rStyle w:val="10"/>
                <w:rFonts w:hint="eastAsia"/>
                <w:sz w:val="21"/>
                <w:szCs w:val="21"/>
              </w:rPr>
              <w:t>台</w:t>
            </w:r>
          </w:p>
        </w:tc>
        <w:tc>
          <w:tcPr>
            <w:tcW w:w="766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76C3E3D">
            <w:pPr>
              <w:spacing w:line="360" w:lineRule="auto"/>
              <w:rPr>
                <w:rStyle w:val="10"/>
                <w:sz w:val="21"/>
                <w:szCs w:val="21"/>
              </w:rPr>
            </w:pPr>
            <w:r>
              <w:rPr>
                <w:rStyle w:val="10"/>
                <w:rFonts w:hint="eastAsia"/>
                <w:sz w:val="21"/>
                <w:szCs w:val="21"/>
              </w:rPr>
              <w:t>投产品的硬件需与医院现有排队叫号系统无缝对接</w:t>
            </w:r>
          </w:p>
          <w:p w14:paraId="69BA614E">
            <w:pPr>
              <w:spacing w:line="360" w:lineRule="auto"/>
              <w:rPr>
                <w:rStyle w:val="10"/>
                <w:sz w:val="21"/>
                <w:szCs w:val="21"/>
              </w:rPr>
            </w:pPr>
          </w:p>
        </w:tc>
      </w:tr>
    </w:tbl>
    <w:p w14:paraId="20D2A0AF">
      <w:pPr>
        <w:spacing w:line="360" w:lineRule="auto"/>
        <w:ind w:firstLine="420"/>
        <w:outlineLvl w:val="1"/>
        <w:rPr>
          <w:rFonts w:ascii="宋体" w:hAnsi="宋体" w:eastAsia="宋体" w:cs="宋体"/>
          <w:b/>
          <w:bCs/>
          <w:szCs w:val="21"/>
        </w:rPr>
      </w:pPr>
    </w:p>
    <w:p w14:paraId="41BF174A">
      <w:pPr>
        <w:spacing w:line="360" w:lineRule="auto"/>
        <w:ind w:firstLine="420"/>
        <w:outlineLvl w:val="1"/>
        <w:rPr>
          <w:szCs w:val="21"/>
        </w:rPr>
      </w:pPr>
      <w:r>
        <w:rPr>
          <w:rFonts w:hint="eastAsia" w:ascii="宋体" w:hAnsi="宋体" w:eastAsia="宋体" w:cs="宋体"/>
          <w:b/>
          <w:bCs/>
          <w:szCs w:val="21"/>
        </w:rPr>
        <w:t>（二）应用软件部分：</w:t>
      </w:r>
    </w:p>
    <w:tbl>
      <w:tblPr>
        <w:tblStyle w:val="6"/>
        <w:tblW w:w="4638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9"/>
        <w:gridCol w:w="1325"/>
        <w:gridCol w:w="4243"/>
        <w:gridCol w:w="847"/>
        <w:gridCol w:w="851"/>
      </w:tblGrid>
      <w:tr w14:paraId="7CB09D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4" w:type="pct"/>
            <w:tcBorders>
              <w:top w:val="single" w:color="000000" w:sz="8" w:space="0"/>
              <w:left w:val="single" w:color="000000" w:sz="8" w:space="0"/>
              <w:bottom w:val="nil"/>
              <w:right w:val="single" w:color="000000" w:sz="8" w:space="0"/>
            </w:tcBorders>
            <w:shd w:val="clear" w:color="auto" w:fill="D7D7D7"/>
            <w:vAlign w:val="center"/>
          </w:tcPr>
          <w:p w14:paraId="7701A5CD">
            <w:pPr>
              <w:widowControl/>
              <w:spacing w:line="360" w:lineRule="auto"/>
              <w:jc w:val="center"/>
              <w:textAlignment w:val="center"/>
              <w:rPr>
                <w:rStyle w:val="10"/>
                <w:b/>
                <w:bCs/>
                <w:sz w:val="21"/>
                <w:szCs w:val="21"/>
              </w:rPr>
            </w:pPr>
            <w:r>
              <w:rPr>
                <w:rStyle w:val="10"/>
                <w:rFonts w:hint="eastAsia"/>
                <w:b/>
                <w:bCs/>
                <w:sz w:val="21"/>
                <w:szCs w:val="21"/>
              </w:rPr>
              <w:t>序号</w:t>
            </w:r>
          </w:p>
        </w:tc>
        <w:tc>
          <w:tcPr>
            <w:tcW w:w="838" w:type="pct"/>
            <w:tcBorders>
              <w:top w:val="single" w:color="000000" w:sz="8" w:space="0"/>
              <w:left w:val="single" w:color="000000" w:sz="8" w:space="0"/>
              <w:bottom w:val="nil"/>
              <w:right w:val="single" w:color="000000" w:sz="8" w:space="0"/>
            </w:tcBorders>
            <w:shd w:val="clear" w:color="auto" w:fill="D7D7D7"/>
            <w:vAlign w:val="center"/>
          </w:tcPr>
          <w:p w14:paraId="0DCD0414">
            <w:pPr>
              <w:widowControl/>
              <w:spacing w:line="360" w:lineRule="auto"/>
              <w:jc w:val="center"/>
              <w:textAlignment w:val="center"/>
              <w:rPr>
                <w:rStyle w:val="10"/>
                <w:b/>
                <w:bCs/>
                <w:sz w:val="21"/>
                <w:szCs w:val="21"/>
              </w:rPr>
            </w:pPr>
            <w:r>
              <w:rPr>
                <w:rStyle w:val="10"/>
                <w:rFonts w:hint="eastAsia"/>
                <w:b/>
                <w:bCs/>
                <w:sz w:val="21"/>
                <w:szCs w:val="21"/>
              </w:rPr>
              <w:t>产品名称</w:t>
            </w:r>
          </w:p>
        </w:tc>
        <w:tc>
          <w:tcPr>
            <w:tcW w:w="2684" w:type="pct"/>
            <w:tcBorders>
              <w:top w:val="single" w:color="000000" w:sz="8" w:space="0"/>
              <w:left w:val="single" w:color="000000" w:sz="8" w:space="0"/>
              <w:bottom w:val="nil"/>
              <w:right w:val="single" w:color="000000" w:sz="8" w:space="0"/>
            </w:tcBorders>
            <w:shd w:val="clear" w:color="auto" w:fill="D7D7D7"/>
            <w:vAlign w:val="center"/>
          </w:tcPr>
          <w:p w14:paraId="5179661E">
            <w:pPr>
              <w:widowControl/>
              <w:spacing w:line="360" w:lineRule="auto"/>
              <w:jc w:val="center"/>
              <w:textAlignment w:val="center"/>
              <w:rPr>
                <w:rStyle w:val="10"/>
                <w:b/>
                <w:bCs/>
                <w:sz w:val="21"/>
                <w:szCs w:val="21"/>
              </w:rPr>
            </w:pPr>
            <w:r>
              <w:rPr>
                <w:rStyle w:val="10"/>
                <w:rFonts w:hint="eastAsia"/>
                <w:b/>
                <w:bCs/>
                <w:sz w:val="21"/>
                <w:szCs w:val="21"/>
              </w:rPr>
              <w:t>参数配置</w:t>
            </w:r>
          </w:p>
        </w:tc>
        <w:tc>
          <w:tcPr>
            <w:tcW w:w="536" w:type="pct"/>
            <w:tcBorders>
              <w:top w:val="single" w:color="000000" w:sz="8" w:space="0"/>
              <w:left w:val="single" w:color="000000" w:sz="8" w:space="0"/>
              <w:bottom w:val="nil"/>
              <w:right w:val="single" w:color="000000" w:sz="8" w:space="0"/>
            </w:tcBorders>
            <w:shd w:val="clear" w:color="auto" w:fill="D7D7D7"/>
            <w:vAlign w:val="center"/>
          </w:tcPr>
          <w:p w14:paraId="7A06CCB8">
            <w:pPr>
              <w:widowControl/>
              <w:spacing w:line="360" w:lineRule="auto"/>
              <w:jc w:val="center"/>
              <w:textAlignment w:val="center"/>
              <w:rPr>
                <w:rStyle w:val="10"/>
                <w:b/>
                <w:bCs/>
                <w:sz w:val="21"/>
                <w:szCs w:val="21"/>
              </w:rPr>
            </w:pPr>
            <w:r>
              <w:rPr>
                <w:rStyle w:val="10"/>
                <w:rFonts w:hint="eastAsia"/>
                <w:b/>
                <w:bCs/>
                <w:sz w:val="21"/>
                <w:szCs w:val="21"/>
              </w:rPr>
              <w:t>数量</w:t>
            </w:r>
          </w:p>
        </w:tc>
        <w:tc>
          <w:tcPr>
            <w:tcW w:w="538" w:type="pct"/>
            <w:tcBorders>
              <w:top w:val="single" w:color="000000" w:sz="8" w:space="0"/>
              <w:left w:val="single" w:color="000000" w:sz="8" w:space="0"/>
              <w:bottom w:val="nil"/>
              <w:right w:val="single" w:color="000000" w:sz="8" w:space="0"/>
            </w:tcBorders>
            <w:shd w:val="clear" w:color="auto" w:fill="D7D7D7"/>
            <w:vAlign w:val="center"/>
          </w:tcPr>
          <w:p w14:paraId="11050F49">
            <w:pPr>
              <w:widowControl/>
              <w:spacing w:line="360" w:lineRule="auto"/>
              <w:jc w:val="center"/>
              <w:textAlignment w:val="center"/>
              <w:rPr>
                <w:rStyle w:val="10"/>
                <w:b/>
                <w:bCs/>
                <w:sz w:val="21"/>
                <w:szCs w:val="21"/>
              </w:rPr>
            </w:pPr>
            <w:r>
              <w:rPr>
                <w:rStyle w:val="10"/>
                <w:rFonts w:hint="eastAsia"/>
                <w:b/>
                <w:bCs/>
                <w:sz w:val="21"/>
                <w:szCs w:val="21"/>
              </w:rPr>
              <w:t>单位</w:t>
            </w:r>
          </w:p>
        </w:tc>
      </w:tr>
      <w:tr w14:paraId="12C253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5" w:hRule="atLeast"/>
        </w:trPr>
        <w:tc>
          <w:tcPr>
            <w:tcW w:w="404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8D8BAAA">
            <w:pPr>
              <w:widowControl/>
              <w:spacing w:line="360" w:lineRule="auto"/>
              <w:jc w:val="center"/>
              <w:textAlignment w:val="center"/>
              <w:rPr>
                <w:rStyle w:val="10"/>
                <w:sz w:val="21"/>
                <w:szCs w:val="21"/>
              </w:rPr>
            </w:pPr>
            <w:r>
              <w:rPr>
                <w:rStyle w:val="10"/>
                <w:rFonts w:hint="eastAsia"/>
                <w:sz w:val="21"/>
                <w:szCs w:val="21"/>
              </w:rPr>
              <w:t>1</w:t>
            </w:r>
          </w:p>
        </w:tc>
        <w:tc>
          <w:tcPr>
            <w:tcW w:w="838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F5D9D1B">
            <w:pPr>
              <w:widowControl/>
              <w:spacing w:line="360" w:lineRule="auto"/>
              <w:jc w:val="center"/>
              <w:textAlignment w:val="center"/>
              <w:rPr>
                <w:rStyle w:val="10"/>
                <w:sz w:val="21"/>
                <w:szCs w:val="21"/>
              </w:rPr>
            </w:pPr>
            <w:r>
              <w:rPr>
                <w:rStyle w:val="10"/>
                <w:rFonts w:hint="eastAsia"/>
                <w:sz w:val="21"/>
                <w:szCs w:val="21"/>
              </w:rPr>
              <w:t>医技科室分诊技术服务</w:t>
            </w:r>
          </w:p>
        </w:tc>
        <w:tc>
          <w:tcPr>
            <w:tcW w:w="2684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0B6F08B">
            <w:pPr>
              <w:widowControl/>
              <w:numPr>
                <w:ilvl w:val="0"/>
                <w:numId w:val="3"/>
              </w:numPr>
              <w:spacing w:line="360" w:lineRule="auto"/>
              <w:jc w:val="left"/>
              <w:textAlignment w:val="center"/>
              <w:rPr>
                <w:rStyle w:val="10"/>
                <w:sz w:val="21"/>
                <w:szCs w:val="21"/>
              </w:rPr>
            </w:pPr>
            <w:r>
              <w:rPr>
                <w:rStyle w:val="10"/>
                <w:rFonts w:hint="eastAsia"/>
                <w:sz w:val="21"/>
                <w:szCs w:val="21"/>
              </w:rPr>
              <w:t>医技科室分诊模块，定制医技导诊流程，优化页面</w:t>
            </w:r>
          </w:p>
          <w:p w14:paraId="5D5A7A33">
            <w:pPr>
              <w:pStyle w:val="2"/>
              <w:spacing w:line="360" w:lineRule="auto"/>
              <w:ind w:left="0"/>
            </w:pPr>
            <w:r>
              <w:rPr>
                <w:rFonts w:hint="eastAsia"/>
              </w:rPr>
              <w:t>2、包含门诊及医技系统调试</w:t>
            </w:r>
          </w:p>
        </w:tc>
        <w:tc>
          <w:tcPr>
            <w:tcW w:w="536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5972066">
            <w:pPr>
              <w:widowControl/>
              <w:spacing w:line="360" w:lineRule="auto"/>
              <w:jc w:val="center"/>
              <w:textAlignment w:val="center"/>
              <w:rPr>
                <w:rStyle w:val="10"/>
                <w:sz w:val="21"/>
                <w:szCs w:val="21"/>
              </w:rPr>
            </w:pPr>
            <w:r>
              <w:rPr>
                <w:rStyle w:val="10"/>
                <w:rFonts w:hint="eastAsia"/>
                <w:sz w:val="21"/>
                <w:szCs w:val="21"/>
              </w:rPr>
              <w:t>1</w:t>
            </w:r>
          </w:p>
        </w:tc>
        <w:tc>
          <w:tcPr>
            <w:tcW w:w="538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DFD8D0">
            <w:pPr>
              <w:widowControl/>
              <w:spacing w:line="360" w:lineRule="auto"/>
              <w:jc w:val="center"/>
              <w:textAlignment w:val="center"/>
              <w:rPr>
                <w:rStyle w:val="10"/>
                <w:sz w:val="21"/>
                <w:szCs w:val="21"/>
              </w:rPr>
            </w:pPr>
            <w:r>
              <w:rPr>
                <w:rStyle w:val="10"/>
                <w:rFonts w:hint="eastAsia"/>
                <w:sz w:val="21"/>
                <w:szCs w:val="21"/>
              </w:rPr>
              <w:t>套</w:t>
            </w:r>
          </w:p>
        </w:tc>
      </w:tr>
    </w:tbl>
    <w:p w14:paraId="608E48F1">
      <w:pPr>
        <w:spacing w:line="360" w:lineRule="auto"/>
        <w:jc w:val="left"/>
        <w:rPr>
          <w:rFonts w:ascii="宋体" w:hAnsi="宋体" w:eastAsia="宋体" w:cs="宋体"/>
          <w:szCs w:val="21"/>
        </w:rPr>
      </w:pPr>
    </w:p>
    <w:p w14:paraId="517597AD">
      <w:pPr>
        <w:pStyle w:val="4"/>
        <w:widowControl/>
        <w:numPr>
          <w:ilvl w:val="0"/>
          <w:numId w:val="1"/>
        </w:numPr>
        <w:spacing w:before="0" w:beforeAutospacing="0" w:after="0" w:afterAutospacing="0" w:line="360" w:lineRule="auto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预期效果</w:t>
      </w:r>
    </w:p>
    <w:p w14:paraId="3E703E86">
      <w:pPr>
        <w:spacing w:line="360" w:lineRule="auto"/>
        <w:ind w:firstLine="420" w:firstLineChars="200"/>
        <w:jc w:val="left"/>
        <w:rPr>
          <w:rFonts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通过本次改造，预计能显著提升患者就诊体验，减少排队等待时间，提高医院整体服务效率。同时，软硬件集成和系统对接将提升医院管理水平，为未来信息化建设奠定基础。</w:t>
      </w:r>
    </w:p>
    <w:p w14:paraId="5B7D9E84">
      <w:pPr>
        <w:pStyle w:val="4"/>
        <w:widowControl/>
        <w:numPr>
          <w:ilvl w:val="0"/>
          <w:numId w:val="1"/>
        </w:numPr>
        <w:spacing w:before="0" w:beforeAutospacing="0" w:after="0" w:afterAutospacing="0" w:line="360" w:lineRule="auto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供应商资格要求</w:t>
      </w:r>
    </w:p>
    <w:p w14:paraId="5D299A52">
      <w:pPr>
        <w:widowControl/>
        <w:numPr>
          <w:ilvl w:val="0"/>
          <w:numId w:val="4"/>
        </w:numPr>
        <w:spacing w:line="360" w:lineRule="auto"/>
        <w:ind w:left="0" w:hanging="357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供应商须为在中华人民共和国境内注册，具有独立承担民事责任能力的法人单位，持有有效的营业执照；</w:t>
      </w:r>
    </w:p>
    <w:p w14:paraId="09534631">
      <w:pPr>
        <w:widowControl/>
        <w:numPr>
          <w:ilvl w:val="0"/>
          <w:numId w:val="4"/>
        </w:numPr>
        <w:spacing w:line="360" w:lineRule="auto"/>
        <w:ind w:left="0" w:hanging="357"/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供应商须具备所投产品的生产或经营资质，具有良好的商业信誉和健全的财务会计制度，近三年经营活动中无重大违法记录，未被列入政府采购严重违法失信行为记录名单；</w:t>
      </w:r>
    </w:p>
    <w:p w14:paraId="7C5EA9A4">
      <w:pPr>
        <w:widowControl/>
        <w:numPr>
          <w:ilvl w:val="0"/>
          <w:numId w:val="4"/>
        </w:numPr>
        <w:spacing w:line="360" w:lineRule="auto"/>
        <w:ind w:left="0" w:hanging="357"/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供应商须具备医疗行业分诊系统相关项目实施经验，有二级及以上医院同类医技科室分诊项目成功案例，能够提供相关案例证明材料；</w:t>
      </w:r>
    </w:p>
    <w:p w14:paraId="3F6CA1D2">
      <w:pPr>
        <w:widowControl/>
        <w:numPr>
          <w:ilvl w:val="0"/>
          <w:numId w:val="4"/>
        </w:numPr>
        <w:spacing w:line="360" w:lineRule="auto"/>
        <w:ind w:left="0" w:hanging="357"/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供应商须具备本地化技术服务能力，能够提供及时的现场技术支持、售后运维服务，确保项目实施及后续运行保障；</w:t>
      </w:r>
    </w:p>
    <w:p w14:paraId="3B528A4F">
      <w:pPr>
        <w:widowControl/>
        <w:numPr>
          <w:ilvl w:val="0"/>
          <w:numId w:val="4"/>
        </w:numPr>
        <w:spacing w:line="360" w:lineRule="auto"/>
        <w:ind w:left="0" w:hanging="357"/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本项目不接受联合体参与调研，不允许项目转包、违法分包。</w:t>
      </w:r>
    </w:p>
    <w:p w14:paraId="4D7071E5">
      <w:pPr>
        <w:pStyle w:val="4"/>
        <w:widowControl/>
        <w:numPr>
          <w:ilvl w:val="0"/>
          <w:numId w:val="1"/>
        </w:numPr>
        <w:spacing w:before="0" w:beforeAutospacing="0" w:after="0" w:afterAutospacing="0" w:line="360" w:lineRule="auto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调研需提交的材料</w:t>
      </w:r>
    </w:p>
    <w:p w14:paraId="5505142E">
      <w:pPr>
        <w:widowControl/>
        <w:spacing w:line="360" w:lineRule="auto"/>
        <w:jc w:val="left"/>
        <w:rPr>
          <w:rFonts w:hint="eastAsia" w:asciiTheme="minorEastAsia" w:hAnsiTheme="minorEastAsia"/>
          <w:color w:val="000000"/>
          <w:szCs w:val="21"/>
        </w:rPr>
      </w:pPr>
      <w:r>
        <w:rPr>
          <w:rFonts w:hint="eastAsia" w:cs="宋体" w:asciiTheme="minorEastAsia" w:hAnsiTheme="minorEastAsia"/>
          <w:color w:val="000000"/>
          <w:szCs w:val="21"/>
        </w:rPr>
        <w:t>参与调研的供应商须按以下要求准备材料，加盖单位公章，在规定时间内提交至我院指定地点或指定邮箱：</w:t>
      </w:r>
    </w:p>
    <w:p w14:paraId="6E0F8A7E">
      <w:pPr>
        <w:widowControl/>
        <w:numPr>
          <w:ilvl w:val="0"/>
          <w:numId w:val="5"/>
        </w:numPr>
        <w:spacing w:line="360" w:lineRule="auto"/>
        <w:ind w:left="0"/>
        <w:jc w:val="left"/>
        <w:rPr>
          <w:rFonts w:asciiTheme="minorEastAsia" w:hAnsiTheme="minorEastAsia"/>
          <w:color w:val="000000"/>
          <w:szCs w:val="21"/>
        </w:rPr>
      </w:pPr>
      <w:r>
        <w:rPr>
          <w:rFonts w:hint="eastAsia" w:asciiTheme="minorEastAsia" w:hAnsiTheme="minorEastAsia"/>
          <w:color w:val="000000"/>
          <w:szCs w:val="21"/>
        </w:rPr>
        <w:t>供应商资格证明文件：营业执照复印件、相关资质证书、法人授权委托书及授权代表身份证复印件；</w:t>
      </w:r>
    </w:p>
    <w:p w14:paraId="04172117">
      <w:pPr>
        <w:widowControl/>
        <w:numPr>
          <w:ilvl w:val="0"/>
          <w:numId w:val="5"/>
        </w:numPr>
        <w:spacing w:line="360" w:lineRule="auto"/>
        <w:ind w:left="0"/>
        <w:jc w:val="left"/>
        <w:rPr>
          <w:rFonts w:asciiTheme="minorEastAsia" w:hAnsiTheme="minorEastAsia"/>
          <w:color w:val="000000"/>
          <w:szCs w:val="21"/>
        </w:rPr>
      </w:pPr>
      <w:r>
        <w:rPr>
          <w:rFonts w:hint="eastAsia" w:asciiTheme="minorEastAsia" w:hAnsiTheme="minorEastAsia"/>
          <w:color w:val="000000"/>
          <w:szCs w:val="21"/>
        </w:rPr>
        <w:t>项目完整响应方案：针对本项目需求的技术解决方案，包括产品技术参数逐条响应、系统对接方案、利旧设备兼容方案、项目实施计划、售后服务方案等；</w:t>
      </w:r>
    </w:p>
    <w:p w14:paraId="4E65E4CD">
      <w:pPr>
        <w:widowControl/>
        <w:numPr>
          <w:ilvl w:val="0"/>
          <w:numId w:val="5"/>
        </w:numPr>
        <w:spacing w:line="360" w:lineRule="auto"/>
        <w:ind w:left="0"/>
        <w:jc w:val="left"/>
        <w:rPr>
          <w:rFonts w:asciiTheme="minorEastAsia" w:hAnsiTheme="minorEastAsia"/>
          <w:color w:val="000000"/>
          <w:szCs w:val="21"/>
        </w:rPr>
      </w:pPr>
      <w:r>
        <w:rPr>
          <w:rFonts w:hint="eastAsia" w:asciiTheme="minorEastAsia" w:hAnsiTheme="minorEastAsia"/>
          <w:color w:val="000000"/>
          <w:szCs w:val="21"/>
        </w:rPr>
        <w:t>分项报价文件：包含设备单价、数量、总价，技术服务费用、运维服务费用等明细报价，明确报价包含的所有服务内容；</w:t>
      </w:r>
    </w:p>
    <w:p w14:paraId="08ED1D8D">
      <w:pPr>
        <w:widowControl/>
        <w:numPr>
          <w:ilvl w:val="0"/>
          <w:numId w:val="5"/>
        </w:numPr>
        <w:spacing w:line="360" w:lineRule="auto"/>
        <w:ind w:left="0"/>
        <w:jc w:val="left"/>
        <w:rPr>
          <w:rFonts w:asciiTheme="minorEastAsia" w:hAnsiTheme="minorEastAsia"/>
          <w:color w:val="000000"/>
          <w:szCs w:val="21"/>
        </w:rPr>
      </w:pPr>
      <w:r>
        <w:rPr>
          <w:rFonts w:hint="eastAsia" w:asciiTheme="minorEastAsia" w:hAnsiTheme="minorEastAsia"/>
          <w:color w:val="000000"/>
          <w:szCs w:val="21"/>
        </w:rPr>
        <w:t>同类项目业绩证明：近三年医院同类分诊系统项目合同复印件、用户验收证明等材料；</w:t>
      </w:r>
    </w:p>
    <w:p w14:paraId="127C046B">
      <w:pPr>
        <w:widowControl/>
        <w:numPr>
          <w:ilvl w:val="0"/>
          <w:numId w:val="5"/>
        </w:numPr>
        <w:spacing w:line="360" w:lineRule="auto"/>
        <w:ind w:left="0"/>
        <w:jc w:val="left"/>
        <w:rPr>
          <w:rFonts w:asciiTheme="minorEastAsia" w:hAnsiTheme="minorEastAsia"/>
          <w:color w:val="000000"/>
          <w:szCs w:val="21"/>
        </w:rPr>
      </w:pPr>
      <w:r>
        <w:rPr>
          <w:rFonts w:hint="eastAsia" w:asciiTheme="minorEastAsia" w:hAnsiTheme="minorEastAsia"/>
          <w:color w:val="000000"/>
          <w:szCs w:val="21"/>
        </w:rPr>
        <w:t>其他供应商认为需要提供的补充材料。</w:t>
      </w:r>
    </w:p>
    <w:p w14:paraId="72C603BA">
      <w:pPr>
        <w:pStyle w:val="4"/>
        <w:widowControl/>
        <w:spacing w:before="0" w:beforeAutospacing="0" w:after="0" w:afterAutospacing="0" w:line="360" w:lineRule="atLeast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六、调研时间及地点</w:t>
      </w:r>
    </w:p>
    <w:p w14:paraId="23D19271">
      <w:pPr>
        <w:widowControl/>
        <w:numPr>
          <w:ilvl w:val="0"/>
          <w:numId w:val="6"/>
        </w:numPr>
        <w:spacing w:line="360" w:lineRule="auto"/>
        <w:ind w:left="0" w:hanging="357"/>
        <w:jc w:val="left"/>
        <w:rPr>
          <w:rFonts w:hint="eastAsia" w:asciiTheme="minorEastAsia" w:hAnsiTheme="minorEastAsia"/>
          <w:color w:val="000000"/>
          <w:szCs w:val="21"/>
        </w:rPr>
      </w:pPr>
      <w:r>
        <w:rPr>
          <w:rFonts w:hint="eastAsia" w:asciiTheme="minorEastAsia" w:hAnsiTheme="minorEastAsia"/>
          <w:color w:val="000000"/>
          <w:szCs w:val="21"/>
        </w:rPr>
        <w:t>材料提交截止时间：</w:t>
      </w:r>
      <w:r>
        <w:rPr>
          <w:rStyle w:val="8"/>
          <w:rFonts w:hint="eastAsia" w:asciiTheme="minorEastAsia" w:hAnsiTheme="minorEastAsia"/>
          <w:color w:val="000000"/>
          <w:szCs w:val="21"/>
          <w:lang w:val="en-US" w:eastAsia="zh-CN"/>
        </w:rPr>
        <w:t>2026</w:t>
      </w:r>
      <w:r>
        <w:rPr>
          <w:rStyle w:val="8"/>
          <w:rFonts w:asciiTheme="minorEastAsia" w:hAnsiTheme="minorEastAsia"/>
          <w:color w:val="000000"/>
          <w:szCs w:val="21"/>
        </w:rPr>
        <w:t xml:space="preserve"> </w:t>
      </w:r>
      <w:r>
        <w:rPr>
          <w:rStyle w:val="8"/>
          <w:rFonts w:hint="eastAsia" w:asciiTheme="minorEastAsia" w:hAnsiTheme="minorEastAsia"/>
          <w:color w:val="000000"/>
          <w:szCs w:val="21"/>
        </w:rPr>
        <w:t>年</w:t>
      </w:r>
      <w:r>
        <w:rPr>
          <w:rStyle w:val="8"/>
          <w:rFonts w:asciiTheme="minorEastAsia" w:hAnsiTheme="minorEastAsia"/>
          <w:color w:val="000000"/>
          <w:szCs w:val="21"/>
        </w:rPr>
        <w:t xml:space="preserve"> </w:t>
      </w:r>
      <w:r>
        <w:rPr>
          <w:rStyle w:val="8"/>
          <w:rFonts w:hint="eastAsia" w:asciiTheme="minorEastAsia" w:hAnsiTheme="minorEastAsia"/>
          <w:color w:val="000000"/>
          <w:szCs w:val="21"/>
          <w:lang w:val="en-US" w:eastAsia="zh-CN"/>
        </w:rPr>
        <w:t>05</w:t>
      </w:r>
      <w:r>
        <w:rPr>
          <w:rStyle w:val="8"/>
          <w:rFonts w:asciiTheme="minorEastAsia" w:hAnsiTheme="minorEastAsia"/>
          <w:color w:val="000000"/>
          <w:szCs w:val="21"/>
        </w:rPr>
        <w:t xml:space="preserve"> </w:t>
      </w:r>
      <w:r>
        <w:rPr>
          <w:rStyle w:val="8"/>
          <w:rFonts w:hint="eastAsia" w:asciiTheme="minorEastAsia" w:hAnsiTheme="minorEastAsia"/>
          <w:color w:val="000000"/>
          <w:szCs w:val="21"/>
        </w:rPr>
        <w:t>月</w:t>
      </w:r>
      <w:r>
        <w:rPr>
          <w:rStyle w:val="8"/>
          <w:rFonts w:asciiTheme="minorEastAsia" w:hAnsiTheme="minorEastAsia"/>
          <w:color w:val="000000"/>
          <w:szCs w:val="21"/>
        </w:rPr>
        <w:t xml:space="preserve"> </w:t>
      </w:r>
      <w:r>
        <w:rPr>
          <w:rStyle w:val="8"/>
          <w:rFonts w:hint="eastAsia" w:asciiTheme="minorEastAsia" w:hAnsiTheme="minorEastAsia"/>
          <w:color w:val="000000"/>
          <w:szCs w:val="21"/>
          <w:lang w:val="en-US" w:eastAsia="zh-CN"/>
        </w:rPr>
        <w:t>22</w:t>
      </w:r>
      <w:r>
        <w:rPr>
          <w:rStyle w:val="8"/>
          <w:rFonts w:asciiTheme="minorEastAsia" w:hAnsiTheme="minorEastAsia"/>
          <w:color w:val="000000"/>
          <w:szCs w:val="21"/>
        </w:rPr>
        <w:t xml:space="preserve"> </w:t>
      </w:r>
      <w:r>
        <w:rPr>
          <w:rStyle w:val="8"/>
          <w:rFonts w:hint="eastAsia" w:asciiTheme="minorEastAsia" w:hAnsiTheme="minorEastAsia"/>
          <w:color w:val="000000"/>
          <w:szCs w:val="21"/>
        </w:rPr>
        <w:t>日</w:t>
      </w:r>
      <w:r>
        <w:rPr>
          <w:rStyle w:val="8"/>
          <w:rFonts w:hint="eastAsia" w:asciiTheme="minorEastAsia" w:hAnsiTheme="minorEastAsia"/>
          <w:color w:val="000000"/>
          <w:szCs w:val="21"/>
          <w:lang w:val="en-US" w:eastAsia="zh-CN"/>
        </w:rPr>
        <w:t>17:00</w:t>
      </w:r>
      <w:r>
        <w:rPr>
          <w:rFonts w:hint="eastAsia" w:asciiTheme="minorEastAsia" w:hAnsiTheme="minorEastAsia"/>
          <w:color w:val="000000"/>
          <w:szCs w:val="21"/>
        </w:rPr>
        <w:t>，逾期提交的材料将不予受理；</w:t>
      </w:r>
    </w:p>
    <w:p w14:paraId="08E8D510">
      <w:pPr>
        <w:widowControl/>
        <w:numPr>
          <w:ilvl w:val="0"/>
          <w:numId w:val="6"/>
        </w:numPr>
        <w:spacing w:line="360" w:lineRule="auto"/>
        <w:ind w:left="0" w:hanging="357"/>
        <w:jc w:val="left"/>
        <w:rPr>
          <w:rFonts w:asciiTheme="minorEastAsia" w:hAnsiTheme="minorEastAsia"/>
          <w:color w:val="000000"/>
          <w:szCs w:val="21"/>
        </w:rPr>
      </w:pPr>
      <w:r>
        <w:rPr>
          <w:rFonts w:hint="eastAsia" w:asciiTheme="minorEastAsia" w:hAnsiTheme="minorEastAsia"/>
          <w:color w:val="000000"/>
          <w:szCs w:val="21"/>
        </w:rPr>
        <w:t>材料提交地点：</w:t>
      </w:r>
      <w:r>
        <w:rPr>
          <w:rFonts w:hint="eastAsia" w:asciiTheme="minorEastAsia" w:hAnsiTheme="minorEastAsia"/>
          <w:color w:val="000000"/>
          <w:szCs w:val="21"/>
          <w:lang w:val="en-US" w:eastAsia="zh-CN"/>
        </w:rPr>
        <w:t>纸质材料提交到</w:t>
      </w:r>
      <w:r>
        <w:rPr>
          <w:rFonts w:hint="eastAsia" w:asciiTheme="minorEastAsia" w:hAnsiTheme="minorEastAsia"/>
          <w:color w:val="000000"/>
          <w:szCs w:val="21"/>
        </w:rPr>
        <w:t>中山市东升医院信息科</w:t>
      </w:r>
      <w:r>
        <w:rPr>
          <w:rFonts w:hint="eastAsia" w:asciiTheme="minorEastAsia" w:hAnsiTheme="minorEastAsia"/>
          <w:color w:val="000000"/>
          <w:szCs w:val="21"/>
          <w:lang w:val="en-US" w:eastAsia="zh-CN"/>
        </w:rPr>
        <w:t>或发送邮件到指定邮箱</w:t>
      </w:r>
      <w:r>
        <w:rPr>
          <w:rFonts w:hint="eastAsia" w:asciiTheme="minorEastAsia" w:hAnsiTheme="minorEastAsia"/>
          <w:color w:val="000000"/>
          <w:szCs w:val="21"/>
        </w:rPr>
        <w:t>；</w:t>
      </w:r>
    </w:p>
    <w:p w14:paraId="45287046">
      <w:pPr>
        <w:widowControl/>
        <w:numPr>
          <w:ilvl w:val="0"/>
          <w:numId w:val="6"/>
        </w:numPr>
        <w:spacing w:line="360" w:lineRule="auto"/>
        <w:ind w:left="0" w:hanging="357"/>
        <w:jc w:val="left"/>
        <w:rPr>
          <w:rFonts w:asciiTheme="minorEastAsia" w:hAnsiTheme="minorEastAsia"/>
          <w:color w:val="000000"/>
          <w:szCs w:val="21"/>
        </w:rPr>
      </w:pPr>
      <w:r>
        <w:rPr>
          <w:rFonts w:hint="eastAsia" w:asciiTheme="minorEastAsia" w:hAnsiTheme="minorEastAsia"/>
          <w:color w:val="000000"/>
          <w:szCs w:val="21"/>
        </w:rPr>
        <w:t>现场调研沟通时间：我院将根据报名情况，另行通知符合条件的供应商参与现场调研沟通；</w:t>
      </w:r>
    </w:p>
    <w:p w14:paraId="1D71A22A">
      <w:pPr>
        <w:widowControl/>
        <w:numPr>
          <w:ilvl w:val="0"/>
          <w:numId w:val="6"/>
        </w:numPr>
        <w:spacing w:line="360" w:lineRule="auto"/>
        <w:ind w:left="0" w:hanging="357"/>
        <w:jc w:val="left"/>
        <w:rPr>
          <w:rFonts w:asciiTheme="minorEastAsia" w:hAnsiTheme="minorEastAsia"/>
          <w:color w:val="000000"/>
          <w:szCs w:val="21"/>
        </w:rPr>
      </w:pPr>
      <w:r>
        <w:rPr>
          <w:rFonts w:hint="eastAsia" w:asciiTheme="minorEastAsia" w:hAnsiTheme="minorEastAsia"/>
          <w:color w:val="000000"/>
          <w:szCs w:val="21"/>
        </w:rPr>
        <w:t>联系方式：联系人：戴老师联系电话：</w:t>
      </w:r>
      <w:r>
        <w:rPr>
          <w:rFonts w:asciiTheme="minorEastAsia" w:hAnsiTheme="minorEastAsia"/>
          <w:color w:val="000000"/>
          <w:szCs w:val="21"/>
        </w:rPr>
        <w:t>076022824123</w:t>
      </w:r>
      <w:r>
        <w:rPr>
          <w:rFonts w:hint="eastAsia" w:asciiTheme="minorEastAsia" w:hAnsiTheme="minorEastAsia"/>
          <w:color w:val="000000"/>
          <w:szCs w:val="21"/>
        </w:rPr>
        <w:t>电子邮箱：</w:t>
      </w:r>
      <w:r>
        <w:rPr>
          <w:rFonts w:asciiTheme="minorEastAsia" w:hAnsiTheme="minorEastAsia"/>
          <w:color w:val="000000"/>
          <w:szCs w:val="21"/>
        </w:rPr>
        <w:t>15863203@qq.com</w:t>
      </w:r>
    </w:p>
    <w:p w14:paraId="2DCACB30">
      <w:pPr>
        <w:pStyle w:val="4"/>
        <w:widowControl/>
        <w:spacing w:before="0" w:beforeAutospacing="0" w:after="0" w:afterAutospacing="0" w:line="360" w:lineRule="atLeast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七、其他事项</w:t>
      </w:r>
    </w:p>
    <w:p w14:paraId="131CF45E">
      <w:pPr>
        <w:widowControl/>
        <w:numPr>
          <w:ilvl w:val="0"/>
          <w:numId w:val="7"/>
        </w:numPr>
        <w:spacing w:line="360" w:lineRule="auto"/>
        <w:ind w:left="0"/>
        <w:jc w:val="left"/>
        <w:rPr>
          <w:rFonts w:hint="eastAsia" w:asciiTheme="minorEastAsia" w:hAnsiTheme="minorEastAsia"/>
          <w:color w:val="000000"/>
          <w:szCs w:val="21"/>
        </w:rPr>
      </w:pPr>
      <w:r>
        <w:rPr>
          <w:rFonts w:hint="eastAsia" w:asciiTheme="minorEastAsia" w:hAnsiTheme="minorEastAsia"/>
          <w:color w:val="000000"/>
          <w:szCs w:val="21"/>
        </w:rPr>
        <w:t>本次调研为市场前期摸底，不构成正式采购要约，我院将根据调研结果编制正式采购方案，后续采购活动将严格按照国家及地方相关法律法规执行；</w:t>
      </w:r>
    </w:p>
    <w:p w14:paraId="598EA446">
      <w:pPr>
        <w:widowControl/>
        <w:numPr>
          <w:ilvl w:val="0"/>
          <w:numId w:val="7"/>
        </w:numPr>
        <w:spacing w:line="360" w:lineRule="auto"/>
        <w:ind w:left="0"/>
        <w:jc w:val="left"/>
        <w:rPr>
          <w:rFonts w:asciiTheme="minorEastAsia" w:hAnsiTheme="minorEastAsia"/>
          <w:color w:val="000000"/>
          <w:szCs w:val="21"/>
        </w:rPr>
      </w:pPr>
      <w:r>
        <w:rPr>
          <w:rFonts w:hint="eastAsia" w:asciiTheme="minorEastAsia" w:hAnsiTheme="minorEastAsia"/>
          <w:color w:val="000000"/>
          <w:szCs w:val="21"/>
        </w:rPr>
        <w:t>供应商所提供的所有材料须真实、有效，若存在弄虚作假行为，我院将取消其参与资格，并列入医院供应商黑名单；</w:t>
      </w:r>
    </w:p>
    <w:p w14:paraId="2CFBC260">
      <w:pPr>
        <w:widowControl/>
        <w:numPr>
          <w:ilvl w:val="0"/>
          <w:numId w:val="7"/>
        </w:numPr>
        <w:spacing w:line="360" w:lineRule="auto"/>
        <w:ind w:left="0"/>
        <w:jc w:val="left"/>
        <w:rPr>
          <w:rFonts w:asciiTheme="minorEastAsia" w:hAnsiTheme="minorEastAsia"/>
          <w:color w:val="000000"/>
          <w:szCs w:val="21"/>
        </w:rPr>
      </w:pPr>
      <w:r>
        <w:rPr>
          <w:rFonts w:hint="eastAsia" w:asciiTheme="minorEastAsia" w:hAnsiTheme="minorEastAsia"/>
          <w:color w:val="000000"/>
          <w:szCs w:val="21"/>
        </w:rPr>
        <w:t>本次调研不收取任何费用，供应商参与调研产生的所有成本及费用均由供应商自行承担；</w:t>
      </w:r>
    </w:p>
    <w:p w14:paraId="47E1DC7E">
      <w:pPr>
        <w:widowControl/>
        <w:numPr>
          <w:ilvl w:val="0"/>
          <w:numId w:val="7"/>
        </w:numPr>
        <w:spacing w:line="360" w:lineRule="auto"/>
        <w:ind w:left="0"/>
        <w:jc w:val="left"/>
        <w:rPr>
          <w:rFonts w:asciiTheme="minorEastAsia" w:hAnsiTheme="minorEastAsia"/>
          <w:color w:val="000000"/>
          <w:szCs w:val="21"/>
        </w:rPr>
      </w:pPr>
      <w:r>
        <w:rPr>
          <w:rFonts w:hint="eastAsia" w:asciiTheme="minorEastAsia" w:hAnsiTheme="minorEastAsia"/>
          <w:color w:val="000000"/>
          <w:szCs w:val="21"/>
        </w:rPr>
        <w:t>我院对本次调研相关内容拥有最终解释权。</w:t>
      </w:r>
    </w:p>
    <w:bookmarkEnd w:id="0"/>
    <w:p w14:paraId="31E1F001">
      <w:pPr>
        <w:widowControl/>
        <w:spacing w:line="360" w:lineRule="auto"/>
        <w:jc w:val="left"/>
        <w:rPr>
          <w:rFonts w:hint="eastAsia" w:cs="宋体" w:asciiTheme="minorEastAsia" w:hAnsiTheme="minorEastAsia"/>
          <w:color w:val="000000"/>
          <w:szCs w:val="21"/>
        </w:rPr>
      </w:pPr>
    </w:p>
    <w:p w14:paraId="7B45269B">
      <w:pPr>
        <w:widowControl/>
        <w:spacing w:line="360" w:lineRule="auto"/>
        <w:jc w:val="left"/>
        <w:rPr>
          <w:rFonts w:asciiTheme="minorEastAsia" w:hAnsiTheme="minorEastAsia"/>
          <w:color w:val="000000"/>
          <w:szCs w:val="21"/>
        </w:rPr>
      </w:pPr>
      <w:r>
        <w:rPr>
          <w:rFonts w:hint="eastAsia" w:cs="宋体" w:asciiTheme="minorEastAsia" w:hAnsiTheme="minorEastAsia"/>
          <w:color w:val="000000"/>
          <w:szCs w:val="21"/>
        </w:rPr>
        <w:t>中山市东升医院</w:t>
      </w:r>
      <w:r>
        <w:rPr>
          <w:rFonts w:hint="eastAsia" w:cs="宋体" w:asciiTheme="minorEastAsia" w:hAnsiTheme="minorEastAsia"/>
          <w:color w:val="000000"/>
          <w:szCs w:val="21"/>
          <w:lang w:val="en-US" w:eastAsia="zh-CN"/>
        </w:rPr>
        <w:t>2026</w:t>
      </w:r>
      <w:r>
        <w:rPr>
          <w:rFonts w:hint="eastAsia" w:cs="宋体" w:asciiTheme="minorEastAsia" w:hAnsiTheme="minorEastAsia"/>
          <w:color w:val="000000"/>
          <w:szCs w:val="21"/>
        </w:rPr>
        <w:t xml:space="preserve"> 年 </w:t>
      </w:r>
      <w:r>
        <w:rPr>
          <w:rFonts w:hint="eastAsia" w:cs="宋体" w:asciiTheme="minorEastAsia" w:hAnsiTheme="minorEastAsia"/>
          <w:color w:val="000000"/>
          <w:szCs w:val="21"/>
          <w:lang w:val="en-US" w:eastAsia="zh-CN"/>
        </w:rPr>
        <w:t>05</w:t>
      </w:r>
      <w:r>
        <w:rPr>
          <w:rFonts w:hint="eastAsia" w:cs="宋体" w:asciiTheme="minorEastAsia" w:hAnsiTheme="minorEastAsia"/>
          <w:color w:val="000000"/>
          <w:szCs w:val="21"/>
        </w:rPr>
        <w:t xml:space="preserve"> 月 </w:t>
      </w:r>
      <w:r>
        <w:rPr>
          <w:rFonts w:hint="eastAsia" w:cs="宋体" w:asciiTheme="minorEastAsia" w:hAnsiTheme="minorEastAsia"/>
          <w:color w:val="000000"/>
          <w:szCs w:val="21"/>
          <w:lang w:val="en-US" w:eastAsia="zh-CN"/>
        </w:rPr>
        <w:t>18</w:t>
      </w:r>
      <w:r>
        <w:rPr>
          <w:rFonts w:hint="eastAsia" w:cs="宋体" w:asciiTheme="minorEastAsia" w:hAnsiTheme="minorEastAsia"/>
          <w:color w:val="000000"/>
          <w:szCs w:val="21"/>
        </w:rPr>
        <w:t xml:space="preserve"> 日</w:t>
      </w:r>
    </w:p>
    <w:p w14:paraId="3664C217">
      <w:pPr>
        <w:rPr>
          <w:rFonts w:ascii="宋体" w:hAnsi="宋体" w:eastAsia="宋体" w:cs="宋体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宋体 ( 正文 )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BF187CE"/>
    <w:multiLevelType w:val="multilevel"/>
    <w:tmpl w:val="8BF187CE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">
    <w:nsid w:val="8D865D94"/>
    <w:multiLevelType w:val="multilevel"/>
    <w:tmpl w:val="8D865D94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">
    <w:nsid w:val="B4DC9F97"/>
    <w:multiLevelType w:val="multilevel"/>
    <w:tmpl w:val="B4DC9F97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3">
    <w:nsid w:val="1C90EE0B"/>
    <w:multiLevelType w:val="multilevel"/>
    <w:tmpl w:val="1C90EE0B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4">
    <w:nsid w:val="1CD3103B"/>
    <w:multiLevelType w:val="singleLevel"/>
    <w:tmpl w:val="1CD3103B"/>
    <w:lvl w:ilvl="0" w:tentative="0">
      <w:start w:val="1"/>
      <w:numFmt w:val="decimal"/>
      <w:suff w:val="nothing"/>
      <w:lvlText w:val="%1、"/>
      <w:lvlJc w:val="left"/>
    </w:lvl>
  </w:abstractNum>
  <w:abstractNum w:abstractNumId="5">
    <w:nsid w:val="274841F7"/>
    <w:multiLevelType w:val="multilevel"/>
    <w:tmpl w:val="274841F7"/>
    <w:lvl w:ilvl="0" w:tentative="0">
      <w:start w:val="1"/>
      <w:numFmt w:val="japaneseCounting"/>
      <w:lvlText w:val="%1、"/>
      <w:lvlJc w:val="left"/>
      <w:pPr>
        <w:ind w:left="510" w:hanging="51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36AFC53"/>
    <w:multiLevelType w:val="multilevel"/>
    <w:tmpl w:val="536AFC53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5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CC4CA4"/>
    <w:rsid w:val="00516A51"/>
    <w:rsid w:val="00567F0E"/>
    <w:rsid w:val="0073782D"/>
    <w:rsid w:val="007D4F7E"/>
    <w:rsid w:val="009E6286"/>
    <w:rsid w:val="015E6884"/>
    <w:rsid w:val="07F65A68"/>
    <w:rsid w:val="0B920249"/>
    <w:rsid w:val="178F10EE"/>
    <w:rsid w:val="18F03CAF"/>
    <w:rsid w:val="19265A82"/>
    <w:rsid w:val="1A0D73D6"/>
    <w:rsid w:val="235E18FF"/>
    <w:rsid w:val="292024ED"/>
    <w:rsid w:val="29FB0EEE"/>
    <w:rsid w:val="2A077209"/>
    <w:rsid w:val="2B940F71"/>
    <w:rsid w:val="2BFB482B"/>
    <w:rsid w:val="2CA57C93"/>
    <w:rsid w:val="2CB5192D"/>
    <w:rsid w:val="2D0B0DBF"/>
    <w:rsid w:val="2D3F6CED"/>
    <w:rsid w:val="2F911A4F"/>
    <w:rsid w:val="2FBB2F70"/>
    <w:rsid w:val="30C47C02"/>
    <w:rsid w:val="32933D30"/>
    <w:rsid w:val="38FE7A29"/>
    <w:rsid w:val="3B194FEF"/>
    <w:rsid w:val="3F15211D"/>
    <w:rsid w:val="40322DDA"/>
    <w:rsid w:val="41CC4CA4"/>
    <w:rsid w:val="49177011"/>
    <w:rsid w:val="4A3E237C"/>
    <w:rsid w:val="4A5120AF"/>
    <w:rsid w:val="4A6A3171"/>
    <w:rsid w:val="4B1B61FA"/>
    <w:rsid w:val="4F710AFD"/>
    <w:rsid w:val="50B60EBE"/>
    <w:rsid w:val="52552958"/>
    <w:rsid w:val="553A5976"/>
    <w:rsid w:val="58AC2BA6"/>
    <w:rsid w:val="590E1522"/>
    <w:rsid w:val="59967465"/>
    <w:rsid w:val="5CC70960"/>
    <w:rsid w:val="5D6E5996"/>
    <w:rsid w:val="60793070"/>
    <w:rsid w:val="61550DBD"/>
    <w:rsid w:val="64AD6F34"/>
    <w:rsid w:val="67E20393"/>
    <w:rsid w:val="6A5F216E"/>
    <w:rsid w:val="6ABF49BB"/>
    <w:rsid w:val="6B621F16"/>
    <w:rsid w:val="6B6B6DB3"/>
    <w:rsid w:val="6DD15131"/>
    <w:rsid w:val="6F312563"/>
    <w:rsid w:val="6F4C092F"/>
    <w:rsid w:val="72255A4C"/>
    <w:rsid w:val="75B96BD7"/>
    <w:rsid w:val="7EDC3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1"/>
    <w:link w:val="11"/>
    <w:unhideWhenUsed/>
    <w:qFormat/>
    <w:uiPriority w:val="0"/>
    <w:pPr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spacing w:before="39"/>
      <w:ind w:left="120"/>
    </w:pPr>
    <w:rPr>
      <w:rFonts w:ascii="宋体" w:hAnsi="宋体" w:eastAsia="宋体"/>
      <w:szCs w:val="21"/>
    </w:rPr>
  </w:style>
  <w:style w:type="paragraph" w:customStyle="1" w:styleId="3">
    <w:name w:val="Default"/>
    <w:basedOn w:val="1"/>
    <w:next w:val="1"/>
    <w:qFormat/>
    <w:uiPriority w:val="0"/>
    <w:pPr>
      <w:autoSpaceDE w:val="0"/>
      <w:autoSpaceDN w:val="0"/>
      <w:adjustRightInd w:val="0"/>
    </w:pPr>
    <w:rPr>
      <w:rFonts w:hAnsi="等线" w:cs="Times New Roman"/>
      <w:color w:val="000000"/>
    </w:rPr>
  </w:style>
  <w:style w:type="paragraph" w:styleId="5">
    <w:name w:val="Normal (Web)"/>
    <w:basedOn w:val="1"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Hyperlink"/>
    <w:basedOn w:val="7"/>
    <w:qFormat/>
    <w:uiPriority w:val="0"/>
    <w:rPr>
      <w:color w:val="0000FF"/>
      <w:u w:val="single"/>
    </w:rPr>
  </w:style>
  <w:style w:type="character" w:customStyle="1" w:styleId="10">
    <w:name w:val="font31"/>
    <w:basedOn w:val="7"/>
    <w:qFormat/>
    <w:uiPriority w:val="0"/>
    <w:rPr>
      <w:rFonts w:hint="default" w:ascii="宋体 ( 正文 )" w:hAnsi="宋体 ( 正文 )" w:eastAsia="宋体 ( 正文 )" w:cs="宋体 ( 正文 )"/>
      <w:color w:val="000000"/>
      <w:sz w:val="20"/>
      <w:szCs w:val="20"/>
      <w:u w:val="none"/>
    </w:rPr>
  </w:style>
  <w:style w:type="character" w:customStyle="1" w:styleId="11">
    <w:name w:val="标题 2 Char"/>
    <w:basedOn w:val="7"/>
    <w:link w:val="4"/>
    <w:qFormat/>
    <w:uiPriority w:val="0"/>
    <w:rPr>
      <w:rFonts w:ascii="宋体" w:hAnsi="宋体" w:cs="宋体"/>
      <w:b/>
      <w:bCs/>
      <w:sz w:val="36"/>
      <w:szCs w:val="36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1956</Words>
  <Characters>2283</Characters>
  <Lines>16</Lines>
  <Paragraphs>4</Paragraphs>
  <TotalTime>43</TotalTime>
  <ScaleCrop>false</ScaleCrop>
  <LinksUpToDate>false</LinksUpToDate>
  <CharactersWithSpaces>2319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2025-05-28T00:16:00Z</dcterms:created>
  <dc:creator>小军</dc:creator>
  <cp:lastModifiedBy>还不错</cp:lastModifiedBy>
  <dcterms:modified xsi:type="dcterms:W3CDTF">2026-05-18T02:44:27Z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CE35F5283BBF4287BEF19A914BF3B56D_13</vt:lpwstr>
  </property>
  <property fmtid="{D5CDD505-2E9C-101B-9397-08002B2CF9AE}" pid="4" name="KSOTemplateDocerSaveRecord">
    <vt:lpwstr>eyJoZGlkIjoiNTk5Y2UwNmIxOTBjNjYxZTFjMGQ0NjRlZTNlOWVlZjMiLCJ1c2VySWQiOiI0NDE3MTQyNjgifQ==</vt:lpwstr>
  </property>
</Properties>
</file>