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9D4B2E">
      <w:pPr>
        <w:jc w:val="center"/>
        <w:rPr>
          <w:rFonts w:hint="eastAsia" w:ascii="宋体" w:hAnsi="宋体" w:eastAsia="宋体" w:cs="宋体"/>
          <w:sz w:val="36"/>
          <w:szCs w:val="36"/>
        </w:rPr>
      </w:pPr>
      <w:r>
        <w:rPr>
          <w:rFonts w:hint="eastAsia" w:ascii="宋体" w:hAnsi="宋体" w:eastAsia="宋体" w:cs="宋体"/>
          <w:sz w:val="36"/>
          <w:szCs w:val="36"/>
        </w:rPr>
        <w:t>中山市</w:t>
      </w:r>
      <w:r>
        <w:rPr>
          <w:rFonts w:hint="eastAsia" w:ascii="宋体" w:hAnsi="宋体" w:eastAsia="宋体" w:cs="宋体"/>
          <w:sz w:val="36"/>
          <w:szCs w:val="36"/>
          <w:lang w:eastAsia="zh-CN"/>
        </w:rPr>
        <w:t>东升医院</w:t>
      </w:r>
      <w:r>
        <w:rPr>
          <w:rFonts w:hint="eastAsia" w:ascii="宋体" w:hAnsi="宋体" w:eastAsia="宋体" w:cs="宋体"/>
          <w:sz w:val="36"/>
          <w:szCs w:val="36"/>
        </w:rPr>
        <w:t>202</w:t>
      </w:r>
      <w:r>
        <w:rPr>
          <w:rFonts w:hint="eastAsia" w:ascii="宋体" w:hAnsi="宋体" w:eastAsia="宋体" w:cs="宋体"/>
          <w:sz w:val="36"/>
          <w:szCs w:val="36"/>
          <w:lang w:val="en-US" w:eastAsia="zh-CN"/>
        </w:rPr>
        <w:t>6</w:t>
      </w:r>
      <w:r>
        <w:rPr>
          <w:rFonts w:hint="eastAsia" w:ascii="宋体" w:hAnsi="宋体" w:eastAsia="宋体" w:cs="宋体"/>
          <w:sz w:val="36"/>
          <w:szCs w:val="36"/>
        </w:rPr>
        <w:t>年零星修缮工程采购项目</w:t>
      </w:r>
    </w:p>
    <w:p w14:paraId="5D227F0E">
      <w:pPr>
        <w:jc w:val="center"/>
        <w:rPr>
          <w:rFonts w:hint="eastAsia"/>
          <w:sz w:val="36"/>
          <w:szCs w:val="36"/>
          <w:lang w:eastAsia="zh-CN"/>
        </w:rPr>
      </w:pPr>
      <w:r>
        <w:rPr>
          <w:rFonts w:hint="eastAsia"/>
          <w:sz w:val="36"/>
          <w:szCs w:val="36"/>
          <w:lang w:eastAsia="zh-CN"/>
        </w:rPr>
        <w:t>问卷调查表</w:t>
      </w:r>
    </w:p>
    <w:p w14:paraId="5966DC4E">
      <w:pPr>
        <w:spacing w:before="257" w:line="219" w:lineRule="auto"/>
      </w:pPr>
      <w:r>
        <w:rPr>
          <w:rFonts w:hint="eastAsia" w:ascii="宋体" w:hAnsi="宋体" w:eastAsia="宋体" w:cs="宋体"/>
          <w:b/>
          <w:bCs/>
          <w:spacing w:val="-7"/>
          <w:sz w:val="30"/>
          <w:szCs w:val="30"/>
          <w:lang w:eastAsia="zh-CN"/>
        </w:rPr>
        <w:t>一、采购需求</w:t>
      </w:r>
      <w:r>
        <w:rPr>
          <w:rFonts w:ascii="宋体" w:hAnsi="宋体" w:eastAsia="宋体" w:cs="宋体"/>
          <w:b/>
          <w:bCs/>
          <w:spacing w:val="-7"/>
          <w:sz w:val="30"/>
          <w:szCs w:val="30"/>
        </w:rPr>
        <w:t>偏离表</w:t>
      </w:r>
    </w:p>
    <w:p w14:paraId="373C8BE4">
      <w:pPr>
        <w:spacing w:before="65" w:line="228" w:lineRule="auto"/>
        <w:ind w:left="424"/>
        <w:rPr>
          <w:rFonts w:ascii="宋体" w:hAnsi="宋体" w:eastAsia="宋体" w:cs="宋体"/>
          <w:sz w:val="20"/>
          <w:szCs w:val="20"/>
        </w:rPr>
      </w:pPr>
      <w:r>
        <w:rPr>
          <w:rFonts w:ascii="宋体" w:hAnsi="宋体" w:eastAsia="宋体" w:cs="宋体"/>
          <w:spacing w:val="5"/>
          <w:sz w:val="20"/>
          <w:szCs w:val="20"/>
        </w:rPr>
        <w:t>填写要求：</w:t>
      </w:r>
    </w:p>
    <w:p w14:paraId="0F64F54D">
      <w:pPr>
        <w:spacing w:before="220" w:line="227" w:lineRule="auto"/>
        <w:ind w:left="432"/>
        <w:rPr>
          <w:rFonts w:ascii="宋体" w:hAnsi="宋体" w:eastAsia="宋体" w:cs="宋体"/>
          <w:sz w:val="20"/>
          <w:szCs w:val="20"/>
        </w:rPr>
      </w:pPr>
      <w:r>
        <w:rPr>
          <w:rFonts w:ascii="Calibri" w:hAnsi="Calibri" w:eastAsia="Calibri" w:cs="Calibri"/>
          <w:spacing w:val="8"/>
          <w:sz w:val="20"/>
          <w:szCs w:val="20"/>
        </w:rPr>
        <w:t>1</w:t>
      </w:r>
      <w:r>
        <w:rPr>
          <w:rFonts w:ascii="Calibri" w:hAnsi="Calibri" w:eastAsia="Calibri" w:cs="Calibri"/>
          <w:spacing w:val="-23"/>
          <w:sz w:val="20"/>
          <w:szCs w:val="20"/>
        </w:rPr>
        <w:t xml:space="preserve"> </w:t>
      </w:r>
      <w:r>
        <w:rPr>
          <w:rFonts w:ascii="宋体" w:hAnsi="宋体" w:eastAsia="宋体" w:cs="宋体"/>
          <w:spacing w:val="8"/>
          <w:sz w:val="20"/>
          <w:szCs w:val="20"/>
        </w:rPr>
        <w:t>、请按采购需求的要求逐条响应，正负偏离参数请备</w:t>
      </w:r>
      <w:r>
        <w:rPr>
          <w:rFonts w:ascii="宋体" w:hAnsi="宋体" w:eastAsia="宋体" w:cs="宋体"/>
          <w:spacing w:val="7"/>
          <w:sz w:val="20"/>
          <w:szCs w:val="20"/>
        </w:rPr>
        <w:t>注说明。</w:t>
      </w:r>
    </w:p>
    <w:p w14:paraId="77A9D5A4">
      <w:pPr>
        <w:spacing w:before="221" w:line="228" w:lineRule="auto"/>
        <w:ind w:left="426"/>
        <w:rPr>
          <w:rFonts w:ascii="宋体" w:hAnsi="宋体" w:eastAsia="宋体" w:cs="宋体"/>
          <w:spacing w:val="7"/>
          <w:sz w:val="20"/>
          <w:szCs w:val="20"/>
        </w:rPr>
      </w:pPr>
      <w:r>
        <w:rPr>
          <w:rFonts w:ascii="Calibri" w:hAnsi="Calibri" w:eastAsia="Calibri" w:cs="Calibri"/>
          <w:spacing w:val="7"/>
          <w:sz w:val="20"/>
          <w:szCs w:val="20"/>
        </w:rPr>
        <w:t>2</w:t>
      </w:r>
      <w:r>
        <w:rPr>
          <w:rFonts w:ascii="Calibri" w:hAnsi="Calibri" w:eastAsia="Calibri" w:cs="Calibri"/>
          <w:spacing w:val="-14"/>
          <w:sz w:val="20"/>
          <w:szCs w:val="20"/>
        </w:rPr>
        <w:t xml:space="preserve"> </w:t>
      </w:r>
      <w:r>
        <w:rPr>
          <w:rFonts w:ascii="宋体" w:hAnsi="宋体" w:eastAsia="宋体" w:cs="宋体"/>
          <w:spacing w:val="7"/>
          <w:sz w:val="20"/>
          <w:szCs w:val="20"/>
        </w:rPr>
        <w:t>、其中带★的参数是必须完全响应的参数。</w:t>
      </w:r>
    </w:p>
    <w:p w14:paraId="20722D9B">
      <w:pPr>
        <w:spacing w:before="221" w:line="228" w:lineRule="auto"/>
        <w:ind w:left="426"/>
        <w:rPr>
          <w:rFonts w:ascii="宋体" w:hAnsi="宋体" w:eastAsia="宋体" w:cs="宋体"/>
          <w:spacing w:val="7"/>
          <w:sz w:val="20"/>
          <w:szCs w:val="20"/>
        </w:rPr>
      </w:pPr>
    </w:p>
    <w:tbl>
      <w:tblPr>
        <w:tblStyle w:val="6"/>
        <w:tblW w:w="91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5"/>
        <w:gridCol w:w="5373"/>
        <w:gridCol w:w="1541"/>
        <w:gridCol w:w="1510"/>
      </w:tblGrid>
      <w:tr w14:paraId="7CF78F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705" w:type="dxa"/>
            <w:vAlign w:val="center"/>
          </w:tcPr>
          <w:p w14:paraId="14F28E84">
            <w:pPr>
              <w:spacing w:before="65" w:line="229" w:lineRule="auto"/>
              <w:jc w:val="center"/>
              <w:rPr>
                <w:rFonts w:hint="eastAsia" w:ascii="宋体" w:hAnsi="宋体" w:eastAsia="宋体" w:cs="宋体"/>
                <w:b/>
                <w:bCs/>
                <w:sz w:val="21"/>
                <w:szCs w:val="21"/>
              </w:rPr>
            </w:pPr>
            <w:r>
              <w:rPr>
                <w:rFonts w:hint="eastAsia" w:ascii="宋体" w:hAnsi="宋体" w:eastAsia="宋体" w:cs="宋体"/>
                <w:b/>
                <w:bCs/>
                <w:spacing w:val="5"/>
                <w:sz w:val="21"/>
                <w:szCs w:val="21"/>
              </w:rPr>
              <w:t>序号</w:t>
            </w:r>
          </w:p>
        </w:tc>
        <w:tc>
          <w:tcPr>
            <w:tcW w:w="5373" w:type="dxa"/>
            <w:vAlign w:val="center"/>
          </w:tcPr>
          <w:p w14:paraId="491D25F4">
            <w:pPr>
              <w:spacing w:before="65" w:line="227" w:lineRule="auto"/>
              <w:jc w:val="center"/>
              <w:rPr>
                <w:rFonts w:hint="eastAsia" w:ascii="宋体" w:hAnsi="宋体" w:eastAsia="宋体" w:cs="宋体"/>
                <w:b/>
                <w:bCs/>
                <w:sz w:val="21"/>
                <w:szCs w:val="21"/>
              </w:rPr>
            </w:pPr>
            <w:r>
              <w:rPr>
                <w:rFonts w:hint="eastAsia" w:ascii="宋体" w:hAnsi="宋体" w:eastAsia="宋体" w:cs="宋体"/>
                <w:b/>
                <w:bCs/>
                <w:spacing w:val="8"/>
                <w:sz w:val="21"/>
                <w:szCs w:val="21"/>
              </w:rPr>
              <w:t>采购需求的要求</w:t>
            </w:r>
          </w:p>
        </w:tc>
        <w:tc>
          <w:tcPr>
            <w:tcW w:w="1541" w:type="dxa"/>
            <w:vAlign w:val="center"/>
          </w:tcPr>
          <w:p w14:paraId="3985CE07">
            <w:pPr>
              <w:spacing w:before="180" w:line="356" w:lineRule="auto"/>
              <w:ind w:right="241"/>
              <w:jc w:val="center"/>
              <w:rPr>
                <w:rFonts w:hint="eastAsia" w:ascii="宋体" w:hAnsi="宋体" w:eastAsia="宋体" w:cs="宋体"/>
                <w:b/>
                <w:bCs/>
                <w:sz w:val="21"/>
                <w:szCs w:val="21"/>
              </w:rPr>
            </w:pPr>
            <w:r>
              <w:rPr>
                <w:rFonts w:hint="eastAsia" w:ascii="宋体" w:hAnsi="宋体" w:eastAsia="宋体" w:cs="宋体"/>
                <w:b/>
                <w:bCs/>
                <w:spacing w:val="7"/>
                <w:sz w:val="21"/>
                <w:szCs w:val="21"/>
              </w:rPr>
              <w:t>完全响应或</w:t>
            </w:r>
            <w:r>
              <w:rPr>
                <w:rFonts w:hint="eastAsia" w:ascii="宋体" w:hAnsi="宋体" w:eastAsia="宋体" w:cs="宋体"/>
                <w:b/>
                <w:bCs/>
                <w:spacing w:val="6"/>
                <w:sz w:val="21"/>
                <w:szCs w:val="21"/>
              </w:rPr>
              <w:t>正/负偏离</w:t>
            </w:r>
          </w:p>
        </w:tc>
        <w:tc>
          <w:tcPr>
            <w:tcW w:w="1510" w:type="dxa"/>
            <w:vAlign w:val="center"/>
          </w:tcPr>
          <w:p w14:paraId="4E32AE5A">
            <w:pPr>
              <w:spacing w:before="65" w:line="228" w:lineRule="auto"/>
              <w:jc w:val="center"/>
              <w:rPr>
                <w:rFonts w:hint="eastAsia" w:ascii="宋体" w:hAnsi="宋体" w:eastAsia="宋体" w:cs="宋体"/>
                <w:b/>
                <w:bCs/>
                <w:sz w:val="21"/>
                <w:szCs w:val="21"/>
              </w:rPr>
            </w:pPr>
            <w:r>
              <w:rPr>
                <w:rFonts w:hint="eastAsia" w:ascii="宋体" w:hAnsi="宋体" w:eastAsia="宋体" w:cs="宋体"/>
                <w:b/>
                <w:bCs/>
                <w:spacing w:val="7"/>
                <w:sz w:val="21"/>
                <w:szCs w:val="21"/>
              </w:rPr>
              <w:t>偏离情况</w:t>
            </w:r>
          </w:p>
        </w:tc>
      </w:tr>
      <w:tr w14:paraId="0F86E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4BAAEB1A">
            <w:pPr>
              <w:spacing w:before="65" w:line="270" w:lineRule="exact"/>
              <w:jc w:val="center"/>
              <w:rPr>
                <w:rFonts w:hint="eastAsia" w:ascii="宋体" w:hAnsi="宋体" w:eastAsia="宋体" w:cs="宋体"/>
                <w:sz w:val="21"/>
                <w:szCs w:val="21"/>
              </w:rPr>
            </w:pPr>
            <w:r>
              <w:rPr>
                <w:rFonts w:hint="eastAsia" w:ascii="宋体" w:hAnsi="宋体" w:eastAsia="宋体" w:cs="宋体"/>
                <w:position w:val="1"/>
                <w:sz w:val="21"/>
                <w:szCs w:val="21"/>
              </w:rPr>
              <w:t>1</w:t>
            </w:r>
          </w:p>
        </w:tc>
        <w:tc>
          <w:tcPr>
            <w:tcW w:w="5373" w:type="dxa"/>
            <w:vAlign w:val="top"/>
          </w:tcPr>
          <w:p w14:paraId="62FDB4D0">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b/>
                <w:bCs/>
                <w:sz w:val="21"/>
                <w:szCs w:val="21"/>
              </w:rPr>
            </w:pPr>
            <w:r>
              <w:rPr>
                <w:rFonts w:hint="eastAsia" w:ascii="宋体" w:hAnsi="宋体" w:eastAsia="宋体" w:cs="宋体"/>
                <w:b/>
                <w:bCs/>
                <w:sz w:val="21"/>
                <w:szCs w:val="21"/>
              </w:rPr>
              <w:t>供应商的资格要求：</w:t>
            </w:r>
          </w:p>
          <w:p w14:paraId="0C096892">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ascii="宋体" w:hAnsi="宋体" w:eastAsia="宋体" w:cs="宋体"/>
                <w:spacing w:val="7"/>
                <w:sz w:val="20"/>
                <w:szCs w:val="20"/>
              </w:rPr>
              <w:t>★</w:t>
            </w:r>
            <w:r>
              <w:rPr>
                <w:rFonts w:hint="eastAsia" w:ascii="宋体" w:hAnsi="宋体" w:eastAsia="宋体" w:cs="宋体"/>
                <w:sz w:val="21"/>
                <w:szCs w:val="21"/>
              </w:rPr>
              <w:t>1.响应供应商必须在广东政府采购智慧云平台注册帐号并可进行云平台的装修修缮项目采购；</w:t>
            </w:r>
          </w:p>
          <w:p w14:paraId="768229FA">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2.响应供应商必须是具有独立承担民事责任能力的在中华人民共和国境内注册的企业法人或其他组织或自然人；</w:t>
            </w:r>
          </w:p>
          <w:p w14:paraId="7283933A">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ascii="宋体" w:hAnsi="宋体" w:eastAsia="宋体" w:cs="宋体"/>
                <w:spacing w:val="7"/>
                <w:sz w:val="20"/>
                <w:szCs w:val="20"/>
              </w:rPr>
              <w:t>★</w:t>
            </w:r>
            <w:r>
              <w:rPr>
                <w:rFonts w:hint="eastAsia" w:ascii="宋体" w:hAnsi="宋体" w:eastAsia="宋体" w:cs="宋体"/>
                <w:sz w:val="21"/>
                <w:szCs w:val="21"/>
              </w:rPr>
              <w:t>3</w:t>
            </w:r>
            <w:r>
              <w:rPr>
                <w:rFonts w:hint="eastAsia" w:ascii="宋体" w:hAnsi="宋体" w:eastAsia="宋体" w:cs="宋体"/>
                <w:sz w:val="21"/>
                <w:szCs w:val="21"/>
              </w:rPr>
              <w:t>.响应供应商须具有效的且具备相关经营范围的营业执照</w:t>
            </w:r>
            <w:r>
              <w:rPr>
                <w:rFonts w:hint="eastAsia" w:ascii="宋体" w:hAnsi="宋体" w:eastAsia="宋体" w:cs="宋体"/>
                <w:sz w:val="21"/>
                <w:szCs w:val="21"/>
                <w:lang w:eastAsia="zh-CN"/>
              </w:rPr>
              <w:t>及相关资质（包含但不限于：</w:t>
            </w:r>
            <w:r>
              <w:rPr>
                <w:sz w:val="21"/>
                <w:szCs w:val="21"/>
              </w:rPr>
              <w:t>具备有效的建筑工程施工总承包三级或以上资质</w:t>
            </w:r>
            <w:r>
              <w:rPr>
                <w:rFonts w:hint="eastAsia"/>
                <w:sz w:val="21"/>
                <w:szCs w:val="21"/>
                <w:lang w:eastAsia="zh-CN"/>
              </w:rPr>
              <w:t>、</w:t>
            </w:r>
            <w:r>
              <w:rPr>
                <w:sz w:val="21"/>
                <w:szCs w:val="21"/>
              </w:rPr>
              <w:t>有效的建筑装修装饰工程专业承包二级或以上资质</w:t>
            </w:r>
            <w:r>
              <w:rPr>
                <w:rFonts w:hint="eastAsia"/>
                <w:sz w:val="21"/>
                <w:szCs w:val="21"/>
                <w:lang w:eastAsia="zh-CN"/>
              </w:rPr>
              <w:t>等</w:t>
            </w:r>
            <w:r>
              <w:rPr>
                <w:rFonts w:hint="eastAsia" w:ascii="宋体" w:hAnsi="宋体" w:eastAsia="宋体" w:cs="宋体"/>
                <w:sz w:val="21"/>
                <w:szCs w:val="21"/>
                <w:lang w:eastAsia="zh-CN"/>
              </w:rPr>
              <w:t>）</w:t>
            </w:r>
            <w:r>
              <w:rPr>
                <w:rFonts w:hint="eastAsia" w:ascii="宋体" w:hAnsi="宋体" w:eastAsia="宋体" w:cs="宋体"/>
                <w:sz w:val="21"/>
                <w:szCs w:val="21"/>
              </w:rPr>
              <w:t>；</w:t>
            </w:r>
          </w:p>
          <w:p w14:paraId="341E2D80">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4.响应供应商应具有项目的承接能力、合同的履约能力、售后供应能力和良好的信誉；</w:t>
            </w:r>
          </w:p>
          <w:p w14:paraId="7F8B9865">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rFonts w:hint="eastAsia" w:ascii="宋体" w:hAnsi="宋体" w:eastAsia="宋体" w:cs="宋体"/>
                <w:sz w:val="21"/>
                <w:szCs w:val="21"/>
              </w:rPr>
              <w:t>5.响应供应商在参与公开招标活动中未有违法违纪行为并受过处罚，响应供应商无围标、串标行为。</w:t>
            </w:r>
          </w:p>
        </w:tc>
        <w:tc>
          <w:tcPr>
            <w:tcW w:w="1541" w:type="dxa"/>
            <w:vAlign w:val="top"/>
          </w:tcPr>
          <w:p w14:paraId="0D59DF74">
            <w:pPr>
              <w:pStyle w:val="7"/>
              <w:rPr>
                <w:rFonts w:hint="eastAsia" w:ascii="宋体" w:hAnsi="宋体" w:eastAsia="宋体" w:cs="宋体"/>
                <w:sz w:val="21"/>
                <w:szCs w:val="21"/>
              </w:rPr>
            </w:pPr>
          </w:p>
        </w:tc>
        <w:tc>
          <w:tcPr>
            <w:tcW w:w="1510" w:type="dxa"/>
            <w:vAlign w:val="top"/>
          </w:tcPr>
          <w:p w14:paraId="414828D7">
            <w:pPr>
              <w:pStyle w:val="7"/>
              <w:rPr>
                <w:rFonts w:hint="eastAsia" w:ascii="宋体" w:hAnsi="宋体" w:eastAsia="宋体" w:cs="宋体"/>
                <w:sz w:val="21"/>
                <w:szCs w:val="21"/>
              </w:rPr>
            </w:pPr>
          </w:p>
        </w:tc>
      </w:tr>
      <w:tr w14:paraId="5C9D8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4098D3DC">
            <w:pPr>
              <w:spacing w:before="65" w:line="270" w:lineRule="exact"/>
              <w:jc w:val="center"/>
              <w:rPr>
                <w:rFonts w:hint="eastAsia"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2</w:t>
            </w:r>
          </w:p>
        </w:tc>
        <w:tc>
          <w:tcPr>
            <w:tcW w:w="5373" w:type="dxa"/>
            <w:vAlign w:val="top"/>
          </w:tcPr>
          <w:p w14:paraId="4C4D7322">
            <w:pPr>
              <w:pStyle w:val="3"/>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360" w:lineRule="auto"/>
              <w:ind w:right="0"/>
              <w:jc w:val="left"/>
              <w:textAlignment w:val="baseline"/>
              <w:rPr>
                <w:rFonts w:hint="eastAsia" w:ascii="宋体" w:hAnsi="宋体" w:eastAsia="宋体" w:cs="宋体"/>
                <w:sz w:val="21"/>
                <w:szCs w:val="21"/>
              </w:rPr>
            </w:pPr>
            <w:r>
              <w:rPr>
                <w:sz w:val="21"/>
              </w:rPr>
              <w:t>合同履行期限：自服务合同生效之日起一年。备注：（1）当在服务期限内结算金额达到采购预算金额时，采购人不再继续委托成交供应商提供服务，并终止合同。（2）合同期限期满时，结算金额未达到采购预算金额的，按实结算，合同终止。</w:t>
            </w:r>
          </w:p>
        </w:tc>
        <w:tc>
          <w:tcPr>
            <w:tcW w:w="1541" w:type="dxa"/>
            <w:vAlign w:val="top"/>
          </w:tcPr>
          <w:p w14:paraId="27900034">
            <w:pPr>
              <w:pStyle w:val="7"/>
              <w:rPr>
                <w:rFonts w:hint="eastAsia" w:ascii="宋体" w:hAnsi="宋体" w:eastAsia="宋体" w:cs="宋体"/>
                <w:sz w:val="21"/>
                <w:szCs w:val="21"/>
              </w:rPr>
            </w:pPr>
          </w:p>
        </w:tc>
        <w:tc>
          <w:tcPr>
            <w:tcW w:w="1510" w:type="dxa"/>
            <w:vAlign w:val="top"/>
          </w:tcPr>
          <w:p w14:paraId="7326CAC2">
            <w:pPr>
              <w:pStyle w:val="7"/>
              <w:rPr>
                <w:rFonts w:hint="eastAsia" w:ascii="宋体" w:hAnsi="宋体" w:eastAsia="宋体" w:cs="宋体"/>
                <w:sz w:val="21"/>
                <w:szCs w:val="21"/>
              </w:rPr>
            </w:pPr>
          </w:p>
        </w:tc>
      </w:tr>
      <w:tr w14:paraId="3A015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329017F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3</w:t>
            </w:r>
          </w:p>
        </w:tc>
        <w:tc>
          <w:tcPr>
            <w:tcW w:w="5373" w:type="dxa"/>
            <w:vAlign w:val="top"/>
          </w:tcPr>
          <w:p w14:paraId="7DAB4C5F">
            <w:pPr>
              <w:numPr>
                <w:ilvl w:val="0"/>
                <w:numId w:val="0"/>
              </w:numPr>
              <w:jc w:val="left"/>
              <w:rPr>
                <w:rFonts w:hint="eastAsia" w:ascii="宋体" w:hAnsi="宋体" w:eastAsia="宋体" w:cs="宋体"/>
                <w:sz w:val="21"/>
                <w:szCs w:val="21"/>
                <w:lang w:val="en-US" w:eastAsia="zh-CN"/>
              </w:rPr>
            </w:pPr>
            <w:r>
              <w:rPr>
                <w:b/>
                <w:bCs/>
                <w:sz w:val="21"/>
              </w:rPr>
              <w:t>项目范围：</w:t>
            </w:r>
            <w:r>
              <w:rPr>
                <w:sz w:val="21"/>
              </w:rPr>
              <w:t>中山市</w:t>
            </w:r>
            <w:r>
              <w:rPr>
                <w:rFonts w:hint="eastAsia"/>
                <w:sz w:val="21"/>
                <w:lang w:eastAsia="zh-CN"/>
              </w:rPr>
              <w:t>东升医院</w:t>
            </w:r>
            <w:r>
              <w:rPr>
                <w:sz w:val="21"/>
              </w:rPr>
              <w:t>所</w:t>
            </w:r>
            <w:r>
              <w:rPr>
                <w:rFonts w:hint="eastAsia"/>
                <w:sz w:val="21"/>
                <w:lang w:eastAsia="zh-CN"/>
              </w:rPr>
              <w:t>管理辖区范围</w:t>
            </w:r>
            <w:r>
              <w:rPr>
                <w:sz w:val="21"/>
              </w:rPr>
              <w:t>以及外围管理区域内产生的5万元（不含）以下零星修缮工程（包含</w:t>
            </w:r>
            <w:r>
              <w:rPr>
                <w:rFonts w:hint="eastAsia"/>
                <w:sz w:val="21"/>
                <w:lang w:eastAsia="zh-CN"/>
              </w:rPr>
              <w:t>坦背院区</w:t>
            </w:r>
            <w:r>
              <w:rPr>
                <w:sz w:val="21"/>
              </w:rPr>
              <w:t>），含土建、水电修缮等。具体内容包括但不限于室内新建或改造钢结构房间、楼内地面空鼓开裂修复、办公场所天花吊顶改造或修复、楼顶漏水修补，墙体修补及粉刷，沟渠、下水道、阴井修复或疏通，电源线路、水管改造或修复等。以上均为部分常见事项，最终以采购人报修为准。</w:t>
            </w:r>
          </w:p>
        </w:tc>
        <w:tc>
          <w:tcPr>
            <w:tcW w:w="1541" w:type="dxa"/>
            <w:vAlign w:val="top"/>
          </w:tcPr>
          <w:p w14:paraId="41626F82">
            <w:pPr>
              <w:pStyle w:val="7"/>
              <w:rPr>
                <w:rFonts w:hint="eastAsia" w:ascii="宋体" w:hAnsi="宋体" w:eastAsia="宋体" w:cs="宋体"/>
                <w:sz w:val="21"/>
                <w:szCs w:val="21"/>
              </w:rPr>
            </w:pPr>
          </w:p>
        </w:tc>
        <w:tc>
          <w:tcPr>
            <w:tcW w:w="1510" w:type="dxa"/>
            <w:vAlign w:val="top"/>
          </w:tcPr>
          <w:p w14:paraId="03D77C60">
            <w:pPr>
              <w:pStyle w:val="7"/>
              <w:rPr>
                <w:rFonts w:hint="eastAsia" w:ascii="宋体" w:hAnsi="宋体" w:eastAsia="宋体" w:cs="宋体"/>
                <w:sz w:val="21"/>
                <w:szCs w:val="21"/>
              </w:rPr>
            </w:pPr>
          </w:p>
        </w:tc>
      </w:tr>
      <w:tr w14:paraId="59AC2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5F60DF14">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4</w:t>
            </w:r>
          </w:p>
        </w:tc>
        <w:tc>
          <w:tcPr>
            <w:tcW w:w="5373" w:type="dxa"/>
            <w:vAlign w:val="top"/>
          </w:tcPr>
          <w:p w14:paraId="33935DD6">
            <w:pPr>
              <w:jc w:val="both"/>
            </w:pPr>
            <w:r>
              <w:rPr>
                <w:sz w:val="21"/>
              </w:rPr>
              <w:t>本项目采用</w:t>
            </w:r>
            <w:r>
              <w:rPr>
                <w:b/>
                <w:sz w:val="21"/>
              </w:rPr>
              <w:t>折扣率</w:t>
            </w:r>
            <w:r>
              <w:rPr>
                <w:sz w:val="21"/>
              </w:rPr>
              <w:t>方式报价，</w:t>
            </w:r>
            <w:r>
              <w:rPr>
                <w:b/>
                <w:sz w:val="21"/>
              </w:rPr>
              <w:t>供应商的报价折扣率不超过100%</w:t>
            </w:r>
            <w:r>
              <w:rPr>
                <w:sz w:val="21"/>
              </w:rPr>
              <w:t>，响应报价超过报价最高折扣率的将按无效响应处理。具体计算方式：工程结算费用=结算审核价×成交折扣率</w:t>
            </w:r>
          </w:p>
          <w:p w14:paraId="128ECA67">
            <w:pPr>
              <w:jc w:val="both"/>
            </w:pPr>
            <w:r>
              <w:rPr>
                <w:sz w:val="21"/>
              </w:rPr>
              <w:t>结算审核价为采购人委托第三方具备资质公司进行核算出来的价格。</w:t>
            </w:r>
          </w:p>
          <w:p w14:paraId="14BC0162">
            <w:pPr>
              <w:numPr>
                <w:ilvl w:val="0"/>
                <w:numId w:val="0"/>
              </w:numPr>
              <w:ind w:leftChars="0"/>
              <w:jc w:val="left"/>
              <w:rPr>
                <w:rFonts w:hint="eastAsia" w:ascii="宋体" w:hAnsi="宋体" w:eastAsia="宋体" w:cs="宋体"/>
                <w:sz w:val="21"/>
                <w:szCs w:val="21"/>
                <w:lang w:val="en-US" w:eastAsia="zh-CN"/>
              </w:rPr>
            </w:pPr>
            <w:r>
              <w:rPr>
                <w:sz w:val="21"/>
              </w:rPr>
              <w:t>报价说明：供应商的报价应包括服务过程和项目实施过程中的所有费用【包括但不限于施工、材料、机械设备、质量保证、工期、安全、文明施工、验收（合格或以上）、资料移交（归档）、保险、人工、社保、合理利润以及实施过程中不可预见费用等全部含税费用】。成交供应商负责竞争性磋商文件要求的一切事宜及责任，在报价中如有任何遗漏，均被视为遗漏部分价格已经包含在报价中（成交供应商自行负责），采购人不再支付任何费用。</w:t>
            </w:r>
          </w:p>
        </w:tc>
        <w:tc>
          <w:tcPr>
            <w:tcW w:w="1541" w:type="dxa"/>
            <w:vAlign w:val="top"/>
          </w:tcPr>
          <w:p w14:paraId="0A74B89D">
            <w:pPr>
              <w:pStyle w:val="7"/>
              <w:rPr>
                <w:rFonts w:hint="eastAsia" w:ascii="宋体" w:hAnsi="宋体" w:eastAsia="宋体" w:cs="宋体"/>
                <w:sz w:val="21"/>
                <w:szCs w:val="21"/>
              </w:rPr>
            </w:pPr>
          </w:p>
        </w:tc>
        <w:tc>
          <w:tcPr>
            <w:tcW w:w="1510" w:type="dxa"/>
            <w:vAlign w:val="top"/>
          </w:tcPr>
          <w:p w14:paraId="521DB8CF">
            <w:pPr>
              <w:pStyle w:val="7"/>
              <w:rPr>
                <w:rFonts w:hint="eastAsia" w:ascii="宋体" w:hAnsi="宋体" w:eastAsia="宋体" w:cs="宋体"/>
                <w:sz w:val="21"/>
                <w:szCs w:val="21"/>
              </w:rPr>
            </w:pPr>
          </w:p>
        </w:tc>
      </w:tr>
      <w:tr w14:paraId="059C5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2" w:hRule="atLeast"/>
        </w:trPr>
        <w:tc>
          <w:tcPr>
            <w:tcW w:w="705" w:type="dxa"/>
            <w:vAlign w:val="center"/>
          </w:tcPr>
          <w:p w14:paraId="5050866F">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5</w:t>
            </w:r>
          </w:p>
        </w:tc>
        <w:tc>
          <w:tcPr>
            <w:tcW w:w="5373" w:type="dxa"/>
            <w:vAlign w:val="top"/>
          </w:tcPr>
          <w:p w14:paraId="01E9510D">
            <w:pPr>
              <w:jc w:val="both"/>
              <w:rPr>
                <w:rFonts w:hint="eastAsia"/>
                <w:b/>
                <w:bCs/>
                <w:sz w:val="21"/>
              </w:rPr>
            </w:pPr>
            <w:r>
              <w:rPr>
                <w:rFonts w:hint="eastAsia"/>
                <w:b/>
                <w:bCs/>
                <w:sz w:val="21"/>
              </w:rPr>
              <w:t>工程质量及验收要求</w:t>
            </w:r>
          </w:p>
          <w:p w14:paraId="2809F501">
            <w:pPr>
              <w:jc w:val="both"/>
            </w:pPr>
            <w:r>
              <w:rPr>
                <w:sz w:val="21"/>
              </w:rPr>
              <w:t>1.本工程以设计变更和参照《建筑工程施工质量验收统一标准》（GB50300-2013）、《建筑装饰装修工程质量验收标准》（GB50210-2018）等国家制订的施工及验收规范为质量评定验收标准，并达到合格标准。</w:t>
            </w:r>
          </w:p>
          <w:p w14:paraId="2679261E">
            <w:pPr>
              <w:jc w:val="both"/>
            </w:pPr>
            <w:r>
              <w:rPr>
                <w:sz w:val="21"/>
              </w:rPr>
              <w:t>2.成交供应商严格按采购人技术要求及核定的单项提供服务。</w:t>
            </w:r>
          </w:p>
          <w:p w14:paraId="46D6E71C">
            <w:pPr>
              <w:jc w:val="both"/>
            </w:pPr>
            <w:r>
              <w:rPr>
                <w:sz w:val="21"/>
              </w:rPr>
              <w:t>3.成交供应商根据采购人提出的指令要求开展施工，并要积极配合有关部门做好各项迎检工作。</w:t>
            </w:r>
          </w:p>
          <w:p w14:paraId="77A7D495">
            <w:pPr>
              <w:jc w:val="both"/>
            </w:pPr>
            <w:r>
              <w:rPr>
                <w:sz w:val="21"/>
              </w:rPr>
              <w:t>4.成交供应商在施工期间应严格遵守《中华人民共和国建筑法》《中华人民共和国安全生产法》《建设工程安全生产管理条例》《建筑安装工人安全技术操作规程》《中华人民共和国消防法》和其它相关的法规、规范。</w:t>
            </w:r>
          </w:p>
          <w:p w14:paraId="01105957">
            <w:pPr>
              <w:jc w:val="both"/>
            </w:pPr>
            <w:r>
              <w:rPr>
                <w:sz w:val="21"/>
              </w:rPr>
              <w:t>5.成交供应商在施工中如果工程质量不符合设计要求的有关规定，经评定工程质量不合格的，采购人可以要求停工和返工，成交供应商必须立即执行，并承担由此产生的各种费用，且工期不得顺延。</w:t>
            </w:r>
          </w:p>
          <w:p w14:paraId="5781D6D8">
            <w:pPr>
              <w:jc w:val="both"/>
            </w:pPr>
            <w:r>
              <w:rPr>
                <w:sz w:val="21"/>
              </w:rPr>
              <w:t>6.强调维修创造精品意识，按有关规范执行，做好精细管理，从细处入手，把好质量关，杜绝劣质工程发生。</w:t>
            </w:r>
          </w:p>
          <w:p w14:paraId="160A39DB">
            <w:pPr>
              <w:jc w:val="both"/>
            </w:pPr>
            <w:r>
              <w:rPr>
                <w:sz w:val="21"/>
              </w:rPr>
              <w:t>7.成交供应商包工、包料、包质量、包安全、包文明施工、包验收合格，所用的材料为原厂、原装、全新、节能环保产品，且符合国家标准，具备有关质检部门出具的产品检验合格证明。</w:t>
            </w:r>
          </w:p>
          <w:p w14:paraId="45BC1461">
            <w:pPr>
              <w:jc w:val="both"/>
            </w:pPr>
            <w:r>
              <w:rPr>
                <w:sz w:val="21"/>
              </w:rPr>
              <w:t>8.成交供应商及采购人双方应及时办理隐蔽工程和中间工程的检查手续，成交供应商应于检查前24小时通知采购人，采购人接到通知后24小时内应到现场检查，得到采购人认可后，方可进行下一工序施工。若采购人要求复查时，成交供应商应按要求办理复查。若复查合格，采购人应承担复查费用，由此造成停工，工期顺延；若复查不合格，其复查及返工费用由成交供应商承担，但工期也不予顺延。</w:t>
            </w:r>
          </w:p>
          <w:p w14:paraId="3BC9A3EC">
            <w:pPr>
              <w:jc w:val="both"/>
            </w:pPr>
            <w:r>
              <w:rPr>
                <w:sz w:val="21"/>
              </w:rPr>
              <w:t>9.由于成交供应商原因造成质量事故，其返工费用以及因此造成的损失均由成交供应商承担，工期不顺延。</w:t>
            </w:r>
          </w:p>
          <w:p w14:paraId="68B3A99A">
            <w:pPr>
              <w:jc w:val="both"/>
            </w:pPr>
            <w:r>
              <w:rPr>
                <w:sz w:val="21"/>
              </w:rPr>
              <w:t>10.工程项目竣工验收必须达到合格工程标准。</w:t>
            </w:r>
          </w:p>
          <w:p w14:paraId="23EDD413">
            <w:pPr>
              <w:jc w:val="both"/>
            </w:pPr>
            <w:r>
              <w:rPr>
                <w:sz w:val="21"/>
              </w:rPr>
              <w:t>11.执行国家、广东省、中山市现行验收评审标准。</w:t>
            </w:r>
          </w:p>
          <w:p w14:paraId="311D250C">
            <w:pPr>
              <w:jc w:val="both"/>
            </w:pPr>
            <w:r>
              <w:rPr>
                <w:sz w:val="21"/>
              </w:rPr>
              <w:t>12.工程竣工后，成交供应商按规定整理提供完整的技术档案资料并发出竣工通知书经双方协商确定验收时间，采购人在双方确定的验收时间内组织验收，并办理验收、移交手续。若验收不合格，成交供应商应在采购人限定时间内修改后重新验收，并承担由于修改而产生的费用。工期不予顺延，竣工日期以最后检验合格的日期为准。</w:t>
            </w:r>
          </w:p>
          <w:p w14:paraId="0F57B3A6">
            <w:pPr>
              <w:jc w:val="both"/>
            </w:pPr>
            <w:r>
              <w:rPr>
                <w:sz w:val="21"/>
              </w:rPr>
              <w:t>13.工程竣工验收，应以施工图纸、技术交底纪要、设计更改通知、国家颁发的施工验收规范和质量检验标准为依据。修缮工程保修期自该项施工工程移交采购人管理之日起计算，为期1年，在保修期内因施工造成的工程质量问题，成交供应商应该及时进行处理。</w:t>
            </w:r>
          </w:p>
          <w:p w14:paraId="61E634AB">
            <w:pPr>
              <w:jc w:val="both"/>
              <w:rPr>
                <w:rFonts w:hint="eastAsia" w:ascii="宋体" w:hAnsi="宋体" w:eastAsia="宋体" w:cs="宋体"/>
                <w:sz w:val="21"/>
                <w:szCs w:val="21"/>
                <w:lang w:val="en-US" w:eastAsia="zh-CN"/>
              </w:rPr>
            </w:pPr>
            <w:r>
              <w:rPr>
                <w:sz w:val="21"/>
              </w:rPr>
              <w:t>14.保修期按《建设工程质量管理条例》等相关规定执行。凡在保修期内出现任何质量问题，成交供应商在24小时内无条件组织施工。如成交供应商未按磋商文件及合同要求提供保修服务的，采购人有权委托第三方提供保修服务，因此产生的费用由成交供应商承担，成交供应商应按采购人通知的期限付清保修费用。</w:t>
            </w:r>
          </w:p>
        </w:tc>
        <w:tc>
          <w:tcPr>
            <w:tcW w:w="1541" w:type="dxa"/>
            <w:vAlign w:val="top"/>
          </w:tcPr>
          <w:p w14:paraId="659B76A9">
            <w:pPr>
              <w:pStyle w:val="7"/>
              <w:rPr>
                <w:rFonts w:hint="eastAsia" w:ascii="宋体" w:hAnsi="宋体" w:eastAsia="宋体" w:cs="宋体"/>
                <w:sz w:val="21"/>
                <w:szCs w:val="21"/>
              </w:rPr>
            </w:pPr>
          </w:p>
        </w:tc>
        <w:tc>
          <w:tcPr>
            <w:tcW w:w="1510" w:type="dxa"/>
            <w:vAlign w:val="top"/>
          </w:tcPr>
          <w:p w14:paraId="4B54845C">
            <w:pPr>
              <w:pStyle w:val="7"/>
              <w:rPr>
                <w:rFonts w:hint="eastAsia" w:ascii="宋体" w:hAnsi="宋体" w:eastAsia="宋体" w:cs="宋体"/>
                <w:sz w:val="21"/>
                <w:szCs w:val="21"/>
              </w:rPr>
            </w:pPr>
          </w:p>
        </w:tc>
      </w:tr>
      <w:tr w14:paraId="73A80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80C9119">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6</w:t>
            </w:r>
          </w:p>
        </w:tc>
        <w:tc>
          <w:tcPr>
            <w:tcW w:w="5373" w:type="dxa"/>
            <w:vAlign w:val="top"/>
          </w:tcPr>
          <w:p w14:paraId="59D6E703">
            <w:pPr>
              <w:jc w:val="both"/>
            </w:pPr>
            <w:r>
              <w:rPr>
                <w:rFonts w:hint="eastAsia"/>
                <w:b/>
                <w:sz w:val="21"/>
                <w:lang w:eastAsia="zh-CN"/>
              </w:rPr>
              <w:t>管理</w:t>
            </w:r>
            <w:r>
              <w:rPr>
                <w:b/>
                <w:sz w:val="21"/>
              </w:rPr>
              <w:t>人员及</w:t>
            </w:r>
            <w:r>
              <w:rPr>
                <w:rFonts w:hint="eastAsia"/>
                <w:b/>
                <w:sz w:val="21"/>
                <w:lang w:eastAsia="zh-CN"/>
              </w:rPr>
              <w:t>施工</w:t>
            </w:r>
            <w:r>
              <w:rPr>
                <w:b/>
                <w:sz w:val="21"/>
              </w:rPr>
              <w:t>人员要求</w:t>
            </w:r>
          </w:p>
          <w:p w14:paraId="65C9C889">
            <w:pPr>
              <w:jc w:val="both"/>
            </w:pPr>
            <w:r>
              <w:rPr>
                <w:b/>
                <w:sz w:val="21"/>
              </w:rPr>
              <w:t>1.项目负责人（1人）：</w:t>
            </w:r>
            <w:r>
              <w:rPr>
                <w:sz w:val="21"/>
              </w:rPr>
              <w:t>具备建筑相关专业知识并持有相关证书。该人员负责本项目服务期内工程现场组织，指挥，管理，协调等工作。项目完成后规定的保修期内，根据项目实际保修工作需随时到场负责指挥，安排应做的保修工作。具体零星工程施工期间应确保项目负责人不缺位，如出现因项目负责人缺位而严重影响本工程的情况，采购人有权提出更换项目负责人，同时由此造成的损失由成交供应商承担。</w:t>
            </w:r>
          </w:p>
          <w:p w14:paraId="0F135F87">
            <w:pPr>
              <w:jc w:val="both"/>
            </w:pPr>
            <w:r>
              <w:rPr>
                <w:b/>
                <w:sz w:val="21"/>
              </w:rPr>
              <w:t>2.专职安全管理人员（1人）：</w:t>
            </w:r>
            <w:r>
              <w:rPr>
                <w:sz w:val="21"/>
              </w:rPr>
              <w:t>该人员负责本项目服务期内工程现场安全生产管理工作。具体零星工程施工期间应确保项目专职安全管理人员不缺位，如出现因项目负责人缺位而严重影响本工程的情况，采购人有权提出更换专职安全管理人员。同时由此造成的损失由成交供应商承担。</w:t>
            </w:r>
          </w:p>
          <w:p w14:paraId="49F04976">
            <w:pPr>
              <w:jc w:val="left"/>
              <w:rPr>
                <w:rFonts w:hint="eastAsia" w:ascii="宋体" w:hAnsi="宋体" w:eastAsia="宋体" w:cs="宋体"/>
                <w:sz w:val="21"/>
                <w:szCs w:val="21"/>
                <w:lang w:val="en-US" w:eastAsia="zh-CN"/>
              </w:rPr>
            </w:pPr>
            <w:r>
              <w:rPr>
                <w:b/>
                <w:sz w:val="21"/>
              </w:rPr>
              <w:t>3.项目团队人员：</w:t>
            </w:r>
            <w:r>
              <w:rPr>
                <w:sz w:val="21"/>
              </w:rPr>
              <w:t>需配置施工员、质量员以及采购人认为有必要设置的保证工程质量的相关岗位。</w:t>
            </w:r>
          </w:p>
        </w:tc>
        <w:tc>
          <w:tcPr>
            <w:tcW w:w="1541" w:type="dxa"/>
            <w:vAlign w:val="top"/>
          </w:tcPr>
          <w:p w14:paraId="0F2EBC3F">
            <w:pPr>
              <w:pStyle w:val="7"/>
              <w:rPr>
                <w:rFonts w:hint="eastAsia" w:ascii="宋体" w:hAnsi="宋体" w:eastAsia="宋体" w:cs="宋体"/>
                <w:sz w:val="21"/>
                <w:szCs w:val="21"/>
              </w:rPr>
            </w:pPr>
          </w:p>
        </w:tc>
        <w:tc>
          <w:tcPr>
            <w:tcW w:w="1510" w:type="dxa"/>
            <w:vAlign w:val="top"/>
          </w:tcPr>
          <w:p w14:paraId="0FDABF3E">
            <w:pPr>
              <w:pStyle w:val="7"/>
              <w:rPr>
                <w:rFonts w:hint="eastAsia" w:ascii="宋体" w:hAnsi="宋体" w:eastAsia="宋体" w:cs="宋体"/>
                <w:sz w:val="21"/>
                <w:szCs w:val="21"/>
              </w:rPr>
            </w:pPr>
          </w:p>
        </w:tc>
      </w:tr>
      <w:tr w14:paraId="42914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53" w:hRule="atLeast"/>
        </w:trPr>
        <w:tc>
          <w:tcPr>
            <w:tcW w:w="705" w:type="dxa"/>
            <w:vAlign w:val="center"/>
          </w:tcPr>
          <w:p w14:paraId="652EB871">
            <w:pPr>
              <w:spacing w:before="65" w:line="270" w:lineRule="exact"/>
              <w:jc w:val="center"/>
              <w:rPr>
                <w:rFonts w:hint="default" w:ascii="宋体" w:hAnsi="宋体" w:eastAsia="宋体" w:cs="宋体"/>
                <w:position w:val="1"/>
                <w:sz w:val="21"/>
                <w:szCs w:val="21"/>
                <w:lang w:val="en-US" w:eastAsia="zh-CN"/>
              </w:rPr>
            </w:pPr>
            <w:r>
              <w:rPr>
                <w:rFonts w:hint="eastAsia" w:ascii="宋体" w:hAnsi="宋体" w:eastAsia="宋体" w:cs="宋体"/>
                <w:position w:val="1"/>
                <w:sz w:val="21"/>
                <w:szCs w:val="21"/>
                <w:lang w:val="en-US" w:eastAsia="zh-CN"/>
              </w:rPr>
              <w:t>7</w:t>
            </w:r>
          </w:p>
        </w:tc>
        <w:tc>
          <w:tcPr>
            <w:tcW w:w="5373" w:type="dxa"/>
            <w:vAlign w:val="top"/>
          </w:tcPr>
          <w:p w14:paraId="221B29DC">
            <w:pPr>
              <w:jc w:val="both"/>
              <w:rPr>
                <w:rFonts w:hint="eastAsia"/>
                <w:b/>
                <w:bCs/>
                <w:sz w:val="21"/>
                <w:lang w:eastAsia="zh-CN"/>
              </w:rPr>
            </w:pPr>
            <w:r>
              <w:rPr>
                <w:rFonts w:hint="eastAsia"/>
                <w:b/>
                <w:bCs/>
                <w:sz w:val="21"/>
                <w:lang w:eastAsia="zh-CN"/>
              </w:rPr>
              <w:t>支付方式：</w:t>
            </w:r>
          </w:p>
          <w:p w14:paraId="244998EF">
            <w:pPr>
              <w:jc w:val="both"/>
            </w:pPr>
            <w:r>
              <w:rPr>
                <w:sz w:val="21"/>
              </w:rPr>
              <w:t>1.每季度进行一次结算，成交供应商出具零星工程结算书，采购人委托第三方具备资质公司进行结算审核，以结算审核价乘以成交折扣率进行项目结算。（具体计算工程结算费用方式：工程结算费用</w:t>
            </w:r>
            <w:r>
              <w:rPr>
                <w:rFonts w:hint="eastAsia"/>
                <w:sz w:val="21"/>
                <w:lang w:val="en-US" w:eastAsia="zh-CN"/>
              </w:rPr>
              <w:t>=</w:t>
            </w:r>
            <w:r>
              <w:rPr>
                <w:sz w:val="21"/>
              </w:rPr>
              <w:t>结算审核价×成交折扣率）</w:t>
            </w:r>
          </w:p>
          <w:p w14:paraId="721CC32C">
            <w:pPr>
              <w:keepNext w:val="0"/>
              <w:keepLines w:val="0"/>
              <w:pageBreakBefore w:val="0"/>
              <w:widowControl w:val="0"/>
              <w:suppressLineNumbers w:val="0"/>
              <w:kinsoku w:val="0"/>
              <w:wordWrap/>
              <w:overflowPunct/>
              <w:topLinePunct w:val="0"/>
              <w:autoSpaceDE w:val="0"/>
              <w:bidi w:val="0"/>
              <w:adjustRightInd w:val="0"/>
              <w:snapToGrid w:val="0"/>
              <w:spacing w:before="0" w:beforeAutospacing="0" w:after="0" w:afterAutospacing="0" w:line="260" w:lineRule="exact"/>
              <w:ind w:left="0" w:right="0"/>
              <w:jc w:val="left"/>
              <w:textAlignment w:val="baseline"/>
              <w:rPr>
                <w:rFonts w:hint="eastAsia" w:ascii="宋体" w:hAnsi="宋体" w:eastAsia="宋体" w:cs="宋体"/>
                <w:spacing w:val="-2"/>
                <w:sz w:val="21"/>
                <w:szCs w:val="21"/>
                <w:highlight w:val="none"/>
                <w:lang w:val="en-US"/>
              </w:rPr>
            </w:pPr>
            <w:r>
              <w:rPr>
                <w:rFonts w:hint="eastAsia" w:ascii="宋体" w:hAnsi="宋体" w:eastAsia="宋体" w:cs="宋体"/>
                <w:snapToGrid w:val="0"/>
                <w:color w:val="000000"/>
                <w:spacing w:val="-2"/>
                <w:kern w:val="2"/>
                <w:sz w:val="21"/>
                <w:szCs w:val="21"/>
                <w:highlight w:val="none"/>
                <w:lang w:val="en-US" w:eastAsia="zh-CN" w:bidi="ar"/>
              </w:rPr>
              <w:t>2.成交供应商季度工程结算通过后，开具相应金额的增值税普通发票之日起60个工作日内支付支付项目工程款。</w:t>
            </w:r>
          </w:p>
          <w:p w14:paraId="3708F052">
            <w:pPr>
              <w:jc w:val="left"/>
              <w:rPr>
                <w:sz w:val="21"/>
              </w:rPr>
            </w:pPr>
            <w:r>
              <w:rPr>
                <w:rFonts w:hint="eastAsia" w:ascii="宋体" w:hAnsi="宋体" w:eastAsia="宋体" w:cs="宋体"/>
                <w:snapToGrid w:val="0"/>
                <w:color w:val="000000"/>
                <w:spacing w:val="-2"/>
                <w:kern w:val="2"/>
                <w:sz w:val="21"/>
                <w:szCs w:val="21"/>
                <w:highlight w:val="none"/>
                <w:lang w:val="en-US" w:eastAsia="zh-CN" w:bidi="ar"/>
              </w:rPr>
              <w:t>2. 特别说明：合同约定的付款期限，遵守《保障中小企业款项支付条例》的规定。如供应商为中小企业，付款期限最长不超过60日。</w:t>
            </w:r>
          </w:p>
        </w:tc>
        <w:tc>
          <w:tcPr>
            <w:tcW w:w="1541" w:type="dxa"/>
            <w:vAlign w:val="top"/>
          </w:tcPr>
          <w:p w14:paraId="07F62CFD">
            <w:pPr>
              <w:pStyle w:val="7"/>
              <w:rPr>
                <w:rFonts w:hint="eastAsia" w:ascii="宋体" w:hAnsi="宋体" w:eastAsia="宋体" w:cs="宋体"/>
                <w:sz w:val="21"/>
                <w:szCs w:val="21"/>
              </w:rPr>
            </w:pPr>
          </w:p>
        </w:tc>
        <w:tc>
          <w:tcPr>
            <w:tcW w:w="1510" w:type="dxa"/>
            <w:vAlign w:val="top"/>
          </w:tcPr>
          <w:p w14:paraId="5AFF3CB9">
            <w:pPr>
              <w:pStyle w:val="7"/>
              <w:rPr>
                <w:rFonts w:hint="eastAsia" w:ascii="宋体" w:hAnsi="宋体" w:eastAsia="宋体" w:cs="宋体"/>
                <w:sz w:val="21"/>
                <w:szCs w:val="21"/>
              </w:rPr>
            </w:pPr>
          </w:p>
        </w:tc>
      </w:tr>
    </w:tbl>
    <w:p w14:paraId="008117D3">
      <w:pPr>
        <w:jc w:val="left"/>
        <w:rPr>
          <w:rFonts w:hint="eastAsia" w:ascii="宋体" w:hAnsi="宋体" w:eastAsia="宋体" w:cs="宋体"/>
          <w:snapToGrid w:val="0"/>
          <w:color w:val="000000"/>
          <w:spacing w:val="-2"/>
          <w:kern w:val="2"/>
          <w:sz w:val="21"/>
          <w:szCs w:val="21"/>
          <w:highlight w:val="none"/>
          <w:lang w:val="en-US" w:eastAsia="zh-CN" w:bidi="ar"/>
        </w:rPr>
      </w:pPr>
    </w:p>
    <w:p w14:paraId="347074B6">
      <w:pPr>
        <w:numPr>
          <w:ilvl w:val="0"/>
          <w:numId w:val="0"/>
        </w:numPr>
        <w:jc w:val="left"/>
        <w:rPr>
          <w:rFonts w:hint="eastAsia" w:ascii="宋体" w:hAnsi="宋体" w:eastAsia="宋体" w:cs="宋体"/>
          <w:b/>
          <w:bCs/>
          <w:snapToGrid w:val="0"/>
          <w:color w:val="000000"/>
          <w:spacing w:val="-2"/>
          <w:kern w:val="2"/>
          <w:sz w:val="32"/>
          <w:szCs w:val="32"/>
          <w:highlight w:val="none"/>
          <w:lang w:val="en-US" w:eastAsia="zh-CN" w:bidi="ar"/>
        </w:rPr>
      </w:pPr>
      <w:r>
        <w:rPr>
          <w:rFonts w:hint="eastAsia" w:ascii="宋体" w:hAnsi="宋体" w:eastAsia="宋体" w:cs="宋体"/>
          <w:b/>
          <w:bCs/>
          <w:snapToGrid w:val="0"/>
          <w:color w:val="000000"/>
          <w:spacing w:val="-2"/>
          <w:kern w:val="2"/>
          <w:sz w:val="32"/>
          <w:szCs w:val="32"/>
          <w:lang w:val="en-US" w:eastAsia="zh-CN" w:bidi="ar"/>
        </w:rPr>
        <w:t>二、</w:t>
      </w:r>
      <w:r>
        <w:rPr>
          <w:rFonts w:hint="eastAsia" w:ascii="宋体" w:hAnsi="宋体" w:eastAsia="宋体" w:cs="宋体"/>
          <w:b/>
          <w:bCs/>
          <w:snapToGrid w:val="0"/>
          <w:color w:val="000000"/>
          <w:spacing w:val="-2"/>
          <w:kern w:val="2"/>
          <w:sz w:val="32"/>
          <w:szCs w:val="32"/>
          <w:highlight w:val="none"/>
          <w:lang w:val="en-US" w:eastAsia="zh-CN" w:bidi="ar"/>
        </w:rPr>
        <w:t>如有项目需求补充请下面提出建议</w:t>
      </w:r>
    </w:p>
    <w:p w14:paraId="4C7E5F88">
      <w:pPr>
        <w:numPr>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1...</w:t>
      </w:r>
    </w:p>
    <w:p w14:paraId="3DF1D185">
      <w:pPr>
        <w:numPr>
          <w:numId w:val="0"/>
        </w:numPr>
        <w:jc w:val="left"/>
        <w:rPr>
          <w:rFonts w:hint="eastAsia"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2...</w:t>
      </w:r>
    </w:p>
    <w:p w14:paraId="0C5D9847">
      <w:pPr>
        <w:numPr>
          <w:numId w:val="0"/>
        </w:numPr>
        <w:jc w:val="left"/>
        <w:rPr>
          <w:rFonts w:hint="default" w:ascii="宋体" w:hAnsi="宋体" w:eastAsia="宋体" w:cs="宋体"/>
          <w:b w:val="0"/>
          <w:bCs w:val="0"/>
          <w:snapToGrid w:val="0"/>
          <w:color w:val="000000"/>
          <w:spacing w:val="-2"/>
          <w:kern w:val="2"/>
          <w:sz w:val="28"/>
          <w:szCs w:val="28"/>
          <w:highlight w:val="none"/>
          <w:lang w:val="en-US" w:eastAsia="zh-CN" w:bidi="ar"/>
        </w:rPr>
      </w:pPr>
      <w:r>
        <w:rPr>
          <w:rFonts w:hint="eastAsia" w:ascii="宋体" w:hAnsi="宋体" w:eastAsia="宋体" w:cs="宋体"/>
          <w:b w:val="0"/>
          <w:bCs w:val="0"/>
          <w:snapToGrid w:val="0"/>
          <w:color w:val="000000"/>
          <w:spacing w:val="-2"/>
          <w:kern w:val="2"/>
          <w:sz w:val="28"/>
          <w:szCs w:val="28"/>
          <w:highlight w:val="none"/>
          <w:lang w:val="en-US" w:eastAsia="zh-CN" w:bidi="ar"/>
        </w:rPr>
        <w:t>3...</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867353"/>
    <w:rsid w:val="4E5B2D9E"/>
    <w:rsid w:val="728673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Normal (Web)"/>
    <w:basedOn w:val="1"/>
    <w:qFormat/>
    <w:uiPriority w:val="0"/>
    <w:pPr>
      <w:spacing w:before="100" w:beforeAutospacing="1" w:after="100" w:afterAutospacing="1"/>
      <w:ind w:left="0" w:right="0"/>
      <w:jc w:val="left"/>
    </w:pPr>
    <w:rPr>
      <w:kern w:val="0"/>
      <w:sz w:val="24"/>
      <w:lang w:val="en-US" w:eastAsia="zh-CN" w:bidi="ar"/>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2026-03-04T07:41:00Z</dcterms:created>
  <dc:creator>18924981193</dc:creator>
  <cp:lastModifiedBy>18924981193</cp:lastModifiedBy>
  <dcterms:modified xsi:type="dcterms:W3CDTF">2026-03-04T08:36:06Z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8F9AE296E2D9497D98503E90364D4CE2_11</vt:lpwstr>
  </property>
  <property fmtid="{D5CDD505-2E9C-101B-9397-08002B2CF9AE}" pid="4" name="KSOTemplateDocerSaveRecord">
    <vt:lpwstr>eyJoZGlkIjoiMDI1YTQ0MGQ2NDc4NmQ3MjU4NTFkMzZmNDA5NDM5ODgiLCJ1c2VySWQiOiI3MDcxOTEyNjEifQ==</vt:lpwstr>
  </property>
</Properties>
</file>