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中山市东升医院坦背院区板房拆除及处置服务项目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上浮率报价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中山市东升医院坦背院区板房拆除及处置服务项目</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455" w:type="dxa"/>
            <w:vAlign w:val="center"/>
          </w:tcPr>
          <w:p w14:paraId="417A2084">
            <w:pPr>
              <w:jc w:val="center"/>
              <w:rPr>
                <w:rFonts w:hint="default" w:eastAsia="宋体"/>
                <w:lang w:val="en-US" w:eastAsia="zh-CN"/>
              </w:rPr>
            </w:pPr>
          </w:p>
        </w:tc>
      </w:tr>
    </w:tbl>
    <w:p w14:paraId="06BFCCF9">
      <w:pPr>
        <w:pStyle w:val="3"/>
        <w:spacing w:line="371" w:lineRule="auto"/>
      </w:pPr>
    </w:p>
    <w:p w14:paraId="1CE97BEE">
      <w:pPr>
        <w:pStyle w:val="3"/>
        <w:spacing w:line="371" w:lineRule="auto"/>
      </w:pPr>
    </w:p>
    <w:p w14:paraId="7491E2FB">
      <w:pPr>
        <w:pStyle w:val="4"/>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须按残值回收模式，项目底价人民币10000元，进行上浮率报价，报价的上浮率必须是＞0%（不含本位数），合同成交金额=（1+中标上浮率）*底价（可保留小数点后两位），否则视为无效报价。</w:t>
      </w:r>
      <w:r>
        <w:rPr>
          <w:rFonts w:hint="eastAsia" w:ascii="宋体" w:hAnsi="宋体" w:eastAsia="宋体" w:cs="宋体"/>
          <w:b/>
          <w:bCs/>
          <w:spacing w:val="7"/>
          <w:sz w:val="20"/>
          <w:szCs w:val="20"/>
          <w:lang w:eastAsia="zh-CN"/>
        </w:rPr>
        <w:t>不得随意更改本表格式。</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经资格审查合格的供应商，将通过公平竞拍方式参与本项目。本项目以人民币10000元为底价，遵循价高者得原则，出价最高的供应商拟确定为成交供应商。若出现两家及以上供应商报价相同的情况，将由评审专家随机抽签确定。</w:t>
      </w:r>
      <w:bookmarkStart w:id="0" w:name="_GoBack"/>
      <w:bookmarkEnd w:id="0"/>
    </w:p>
    <w:p w14:paraId="40A56808">
      <w:pPr>
        <w:pStyle w:val="4"/>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eastAsia" w:hAnsi="宋体" w:cs="宋体"/>
          <w:b/>
          <w:bCs/>
          <w:sz w:val="20"/>
          <w:szCs w:val="20"/>
          <w:lang w:val="en-US" w:eastAsia="zh-CN"/>
        </w:rPr>
      </w:pPr>
      <w:r>
        <w:rPr>
          <w:rFonts w:hint="eastAsia" w:hAnsi="宋体" w:cs="宋体"/>
          <w:b/>
          <w:bCs/>
          <w:sz w:val="20"/>
          <w:szCs w:val="20"/>
          <w:lang w:val="en-US" w:eastAsia="zh-CN"/>
        </w:rPr>
        <w:t>3. 报价次数：1次。</w:t>
      </w:r>
    </w:p>
    <w:p w14:paraId="17E08FB6">
      <w:pPr>
        <w:pStyle w:val="3"/>
        <w:rPr>
          <w:rFonts w:ascii="宋体" w:hAnsi="宋体" w:eastAsia="宋体" w:cs="宋体"/>
          <w:spacing w:val="2"/>
          <w:sz w:val="24"/>
          <w:szCs w:val="24"/>
          <w:lang w:eastAsia="zh-CN"/>
        </w:rPr>
      </w:pPr>
    </w:p>
    <w:p w14:paraId="573023C5">
      <w:pPr>
        <w:pStyle w:val="4"/>
        <w:rPr>
          <w:rFonts w:ascii="宋体" w:hAnsi="宋体" w:eastAsia="宋体" w:cs="宋体"/>
          <w:spacing w:val="2"/>
          <w:sz w:val="24"/>
          <w:szCs w:val="24"/>
          <w:lang w:eastAsia="zh-CN"/>
        </w:rPr>
      </w:pPr>
    </w:p>
    <w:p w14:paraId="400D596C">
      <w:pPr>
        <w:pStyle w:val="4"/>
        <w:rPr>
          <w:rFonts w:ascii="宋体" w:hAnsi="宋体" w:eastAsia="宋体" w:cs="宋体"/>
          <w:spacing w:val="2"/>
          <w:sz w:val="24"/>
          <w:szCs w:val="24"/>
          <w:lang w:eastAsia="zh-CN"/>
        </w:rPr>
      </w:pPr>
    </w:p>
    <w:p w14:paraId="4E28C739">
      <w:pPr>
        <w:pStyle w:val="4"/>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48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中山市东升医院坦背院区板房拆除及处置服务项目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中山市东升医院坦背院区板房拆除及处置服务项目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十一、相关资质证明文件，包括但不限于：有效的建筑工程施工总承包三级或以上资质，或钢结构工程专业承包三级及以上资质，同时具备有效的安全生产许可证。</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958"/>
        <w:gridCol w:w="5373"/>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958"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373"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373" w:type="dxa"/>
          </w:tcPr>
          <w:p w14:paraId="1B6E6B5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eastAsia="zh-CN"/>
              </w:rPr>
              <w:t>一、</w:t>
            </w:r>
            <w:r>
              <w:rPr>
                <w:rFonts w:hint="eastAsia" w:ascii="宋体" w:hAnsi="宋体" w:eastAsia="宋体" w:cs="宋体"/>
                <w:sz w:val="20"/>
                <w:szCs w:val="20"/>
              </w:rPr>
              <w:t>项目概况</w:t>
            </w:r>
          </w:p>
          <w:p w14:paraId="3F8C1B6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rPr>
              <w:t>项目名称：</w:t>
            </w:r>
            <w:r>
              <w:rPr>
                <w:rFonts w:hint="eastAsia" w:ascii="宋体" w:hAnsi="宋体" w:eastAsia="宋体" w:cs="宋体"/>
                <w:sz w:val="20"/>
                <w:szCs w:val="20"/>
                <w:lang w:eastAsia="zh-CN"/>
              </w:rPr>
              <w:t>中山市东升医院坦背院区</w:t>
            </w:r>
            <w:r>
              <w:rPr>
                <w:rFonts w:hint="eastAsia" w:ascii="宋体" w:hAnsi="宋体" w:eastAsia="宋体" w:cs="宋体"/>
                <w:sz w:val="20"/>
                <w:szCs w:val="20"/>
              </w:rPr>
              <w:t>板房拆除及处置服务</w:t>
            </w:r>
            <w:r>
              <w:rPr>
                <w:rFonts w:hint="eastAsia" w:ascii="宋体" w:hAnsi="宋体" w:eastAsia="宋体" w:cs="宋体"/>
                <w:sz w:val="20"/>
                <w:szCs w:val="20"/>
                <w:lang w:eastAsia="zh-CN"/>
              </w:rPr>
              <w:t>项目</w:t>
            </w:r>
          </w:p>
          <w:p w14:paraId="755F76B8">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项目编号：FW-CW-CW-2026033</w:t>
            </w:r>
          </w:p>
          <w:p w14:paraId="32DBE33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rPr>
              <w:t>项目地点：</w:t>
            </w:r>
            <w:r>
              <w:rPr>
                <w:rFonts w:hint="eastAsia" w:ascii="宋体" w:hAnsi="宋体" w:eastAsia="宋体" w:cs="宋体"/>
                <w:sz w:val="20"/>
                <w:szCs w:val="20"/>
                <w:lang w:eastAsia="zh-CN"/>
              </w:rPr>
              <w:t>中山市小榄镇坦背沿河西路</w:t>
            </w:r>
            <w:r>
              <w:rPr>
                <w:rFonts w:hint="eastAsia" w:ascii="宋体" w:hAnsi="宋体" w:eastAsia="宋体" w:cs="宋体"/>
                <w:sz w:val="20"/>
                <w:szCs w:val="20"/>
                <w:lang w:val="en-US" w:eastAsia="zh-CN"/>
              </w:rPr>
              <w:t>19号</w:t>
            </w:r>
          </w:p>
          <w:p w14:paraId="0D1FD098">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项目底价：人民币10000元（采用残值回收模式，由供应商向采购人支付残值费用，供应商报价即为此残值回收报价，且拆除、运输及处置等相关费用均由供应商自行承担）</w:t>
            </w:r>
          </w:p>
          <w:p w14:paraId="0E51A94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工期要求：自合同签订之日起7个日历天内完成全部工作</w:t>
            </w:r>
          </w:p>
          <w:p w14:paraId="2A717BD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 本项目所提供的数据仅供参考，供应商应依据现场实际状况复核工程量。若存在疑问，须以书面形式提出，否则将视为清单要求已涵盖项目实际的全部内容及配套收尾工程。</w:t>
            </w:r>
          </w:p>
          <w:p w14:paraId="637FDAE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7</w:t>
            </w:r>
            <w:r>
              <w:rPr>
                <w:rFonts w:hint="eastAsia" w:ascii="宋体" w:hAnsi="宋体" w:eastAsia="宋体" w:cs="宋体"/>
                <w:sz w:val="20"/>
                <w:szCs w:val="20"/>
              </w:rPr>
              <w:t>. 本项目采用总价承包方式，报价</w:t>
            </w:r>
            <w:r>
              <w:rPr>
                <w:rFonts w:hint="eastAsia" w:ascii="宋体" w:hAnsi="宋体" w:eastAsia="宋体" w:cs="宋体"/>
                <w:sz w:val="20"/>
                <w:szCs w:val="20"/>
                <w:lang w:eastAsia="zh-CN"/>
              </w:rPr>
              <w:t>应</w:t>
            </w:r>
            <w:r>
              <w:rPr>
                <w:rFonts w:hint="eastAsia" w:ascii="宋体" w:hAnsi="宋体" w:eastAsia="宋体" w:cs="宋体"/>
                <w:sz w:val="20"/>
                <w:szCs w:val="20"/>
              </w:rPr>
              <w:t>包含人工、材料、机械、运输、</w:t>
            </w:r>
            <w:r>
              <w:rPr>
                <w:rFonts w:hint="eastAsia" w:ascii="宋体" w:hAnsi="宋体" w:eastAsia="宋体" w:cs="宋体"/>
                <w:sz w:val="20"/>
                <w:szCs w:val="20"/>
                <w:lang w:eastAsia="zh-CN"/>
              </w:rPr>
              <w:t>残值</w:t>
            </w:r>
            <w:r>
              <w:rPr>
                <w:rFonts w:hint="eastAsia" w:ascii="宋体" w:hAnsi="宋体" w:eastAsia="宋体" w:cs="宋体"/>
                <w:sz w:val="20"/>
                <w:szCs w:val="20"/>
              </w:rPr>
              <w:t>处置</w:t>
            </w:r>
            <w:r>
              <w:rPr>
                <w:rFonts w:hint="eastAsia" w:ascii="宋体" w:hAnsi="宋体" w:eastAsia="宋体" w:cs="宋体"/>
                <w:sz w:val="20"/>
                <w:szCs w:val="20"/>
                <w:lang w:eastAsia="zh-CN"/>
              </w:rPr>
              <w:t>、</w:t>
            </w:r>
            <w:r>
              <w:rPr>
                <w:rFonts w:hint="eastAsia" w:ascii="宋体" w:hAnsi="宋体" w:eastAsia="宋体" w:cs="宋体"/>
                <w:sz w:val="20"/>
                <w:szCs w:val="20"/>
              </w:rPr>
              <w:t>安全措施、税金等所有</w:t>
            </w:r>
            <w:r>
              <w:rPr>
                <w:rFonts w:hint="eastAsia" w:ascii="宋体" w:hAnsi="宋体" w:eastAsia="宋体" w:cs="宋体"/>
                <w:sz w:val="20"/>
                <w:szCs w:val="20"/>
                <w:lang w:eastAsia="zh-CN"/>
              </w:rPr>
              <w:t>相关</w:t>
            </w:r>
            <w:r>
              <w:rPr>
                <w:rFonts w:hint="eastAsia" w:ascii="宋体" w:hAnsi="宋体" w:eastAsia="宋体" w:cs="宋体"/>
                <w:sz w:val="20"/>
                <w:szCs w:val="20"/>
              </w:rPr>
              <w:t>费用。</w:t>
            </w:r>
          </w:p>
          <w:p w14:paraId="046EF8A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8. </w:t>
            </w:r>
            <w:r>
              <w:rPr>
                <w:rFonts w:hint="eastAsia" w:ascii="宋体" w:hAnsi="宋体" w:eastAsia="宋体" w:cs="宋体"/>
                <w:sz w:val="20"/>
                <w:szCs w:val="20"/>
              </w:rPr>
              <w:t>拆除规模与范围</w:t>
            </w:r>
            <w:r>
              <w:rPr>
                <w:rFonts w:hint="eastAsia" w:ascii="宋体" w:hAnsi="宋体" w:eastAsia="宋体" w:cs="宋体"/>
                <w:sz w:val="20"/>
                <w:szCs w:val="20"/>
                <w:lang w:eastAsia="zh-CN"/>
              </w:rPr>
              <w:t>：</w:t>
            </w:r>
          </w:p>
          <w:p w14:paraId="6608485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8.1 本次拆除的板房位于中山市小榄镇坦背沿河西路19号坦背院区办公楼天台及门诊楼天台，总建筑面积约700平方米。其中，办公楼天台与门诊楼天台的板房均为单层结构，采用轻钢骨架复合彩钢板围护体系，基础依托原建筑物天面。</w:t>
            </w:r>
          </w:p>
          <w:p w14:paraId="2E84412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8.2 本次拆除范围仅限于板房主体，原建筑物天面及办公楼楼梯口不锈钢门予以保留。拆除后需对场地进行平整，并负责建筑垃圾的清运与处置。板房内存在以下固定资产：挂式空气消毒机3台、柜式空气消毒机1台、手术无影灯5套、供氧系统1套、大会议桌1张。其中，空气消毒机与手术无影灯拆除后需搬运至住院部四楼的指定房间内集中摆放。</w:t>
            </w:r>
          </w:p>
          <w:p w14:paraId="31035A70">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8.3 本项目的具体内容以现场实际情况复核的工程量及残值价值为准。</w:t>
            </w:r>
          </w:p>
          <w:p w14:paraId="66B31C20">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9. 本项目成交供应商在签订合同后3个工作日内，须向采购人缴纳保证金人民币20000元。待工程完成并通过验收后，供应商可向采购人提出退款申请，经审核通过后30个工作日内，该保证金将无息退还成交供应商。</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958"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373" w:type="dxa"/>
          </w:tcPr>
          <w:p w14:paraId="3356C58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供应商的资格要求</w:t>
            </w:r>
          </w:p>
          <w:p w14:paraId="41062A1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39ACA3B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响应供应商须具备有效的营业执照及相关经营范围，并拥有相应资质（包含但不限于：有效的建筑工程施工总承包三级或以上资质，或钢结构工程专业承包三级及以上资质，同时具备有效的安全生产许可证）。</w:t>
            </w:r>
          </w:p>
          <w:p w14:paraId="53BC8EE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响应供应商应具备项目承接能力、合同履约能力、售后保障能力及良好的商业信誉。</w:t>
            </w:r>
          </w:p>
          <w:p w14:paraId="52A6431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 响应供应商在参与公开招标活动中，不得有违法违纪行为及受处罚记录，且不存在围标、串标等行为。</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373" w:type="dxa"/>
          </w:tcPr>
          <w:p w14:paraId="5B501B4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三、项目总体要求</w:t>
            </w:r>
          </w:p>
          <w:p w14:paraId="6DDBA83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（一）</w:t>
            </w:r>
            <w:r>
              <w:rPr>
                <w:rFonts w:hint="eastAsia" w:ascii="宋体" w:hAnsi="宋体" w:eastAsia="宋体" w:cs="宋体"/>
                <w:sz w:val="20"/>
                <w:szCs w:val="20"/>
                <w:lang w:eastAsia="zh-CN"/>
              </w:rPr>
              <w:t>人员要求</w:t>
            </w:r>
          </w:p>
          <w:p w14:paraId="3D66956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须委派1名项目负责人，该负责人应持有有效的二级或以上注册建造师（建筑工程专业）证书及安全生产考核合格证（B证），负责在本项目服务期内对工程现场进行组织、指挥、管理与协调等工作，确保工程在规定期限内完成。在项目完成后的规定保修期内，须根据项目实际保修工作需求随时到场负责指挥，并安排相应的保修工作。在具体零星工程施工期间，应确保项目负责人在岗，若因项目负责人缺位而严重影响工程进展，采购人有权要求更换项目负责人，由此造成的损失由成交供应商承担。【响应方式：①在响应文件中提供拟投入项目负责人的有效二级或以上注册建造师（建筑工程专业）证书、安全生产考核合格证（B证）及身份证复印件；②为证明拟投入项目负责人系供应商员工，供应商需提供为其购买社保证明的复印件（开标当天前三个月内的任意一个月），若供应商成立时间不足1个月，应提供《社保声明函》（格式自拟）以替代社保证明（成立时间以营业执照注册时间为准）。】</w:t>
            </w:r>
          </w:p>
          <w:p w14:paraId="241BB99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成交供应商需委派1名专职安全员，该安全员应持有安全生产考核合格证（C证）及建筑工程相关专业助理工程师（初级）或以上职称，负责项目的安全管理、检查与监督工作。</w:t>
            </w:r>
          </w:p>
          <w:p w14:paraId="161E916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对于须持证上岗的作业项目，如高空作业、电工、焊工等，操作人员须具备相应的有效证件，并在进场前向采购人报备。</w:t>
            </w:r>
            <w:r>
              <w:rPr>
                <w:rFonts w:hint="eastAsia" w:ascii="宋体" w:hAnsi="宋体" w:eastAsia="宋体" w:cs="宋体"/>
                <w:sz w:val="20"/>
                <w:szCs w:val="20"/>
                <w:lang w:eastAsia="zh-CN"/>
              </w:rPr>
              <w:t>【响应方式：提供承诺函。】</w:t>
            </w:r>
          </w:p>
          <w:p w14:paraId="1D4605B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建筑工程施工人员人身保险单（供应商投标时提供承诺函，中标后须向采购人提交有效期内复印件）</w:t>
            </w:r>
          </w:p>
          <w:p w14:paraId="7D22F7B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清拆要求：</w:t>
            </w:r>
          </w:p>
          <w:p w14:paraId="1AA66DD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本次拆除范围仅限板房主体，原建筑物天面及办公楼楼梯口不锈钢门予以保留。施工完成后需进行场地平整及建筑垃圾清运处置工作。板房内包含以下固定资产：挂式空气消毒机3台、柜式空气消毒机1台、手术无影灯5套、供氧系统1套、大会议桌1张。其中空气消毒机与手术无影灯拆除后须搬运至住院部四楼房间内集中存放。</w:t>
            </w:r>
          </w:p>
          <w:p w14:paraId="530891D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成交供应商须严格依照相关部门规定，配备防尘设施设备，规范设置警戒线，严防扬尘污染，确保不影响周边环境卫生。</w:t>
            </w:r>
          </w:p>
          <w:p w14:paraId="36AA85B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成交供应商应接受主管部门监督，完成施工备案流程并满足审批部门各项要求，建筑垃圾处理须按规定在行政管理部门完成方案备案、排放核准等手续。</w:t>
            </w:r>
          </w:p>
          <w:p w14:paraId="0DB694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4. </w:t>
            </w:r>
            <w:r>
              <w:rPr>
                <w:rFonts w:hint="eastAsia" w:ascii="宋体" w:hAnsi="宋体" w:eastAsia="宋体" w:cs="宋体"/>
                <w:sz w:val="20"/>
                <w:szCs w:val="20"/>
                <w:lang w:eastAsia="zh-CN"/>
              </w:rPr>
              <w:t>成交供应商须确保清拆工作符合国家及履约地相关安全质量标准、行业技术规范标准与环保节能标准。</w:t>
            </w:r>
          </w:p>
          <w:p w14:paraId="19C72EA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板房等建（构）筑物拆除后，成交供应商须按时将全部拆除物（含建筑垃圾及可回收废旧材料等）清运出场。除医院固定资产外，成交供应商拥有对拆除物的处置权，但须依照国家相关法律法规及广东省、中山市有关规定进行合规处置。渣土、垃圾须运送至相关部门指定地点倾倒，出场前应冲洗车轮及车身，运输过程中确保车辆清洁、封盖严密，防止抛洒、溢漏及道路、城市环境污染。否则，由此产生的一切经济及法律责任由成交供应商自行承担。供应商须安排专人指挥交通，避免发生交通事故或造成交通堵塞。</w:t>
            </w:r>
          </w:p>
          <w:p w14:paraId="04C4D08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 清拆工程质量须接受采购人或监理单位验收。</w:t>
            </w:r>
          </w:p>
          <w:p w14:paraId="07D69E5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 成交供应商必须严格依据相关法规施工作业，落实文明施工要求，主动与周边单位及群众做好协调工作。应采取有效措施降低噪音与粉尘污染，严格执行环保规定：通过洒水降尘控制粉尘，合理控制施工噪声，消除安全隐患。施工过程中须保障周边道路畅通、水电供应正常、排水系统通畅，确保周边环境设施完好。施工时间按国家相关规定执行，暂定每日上午8:00-12:00、下午14:00-18:00，如需调整由双方协商确定。应合理安排作业时间，保障施工现场周边群众正常工作与休息，不得对附近办公区域、商业大楼及住户的正常生产生活造成显著影响。</w:t>
            </w:r>
          </w:p>
          <w:p w14:paraId="1F9C985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三</w:t>
            </w:r>
            <w:r>
              <w:rPr>
                <w:rFonts w:hint="eastAsia" w:ascii="宋体" w:hAnsi="宋体" w:eastAsia="宋体" w:cs="宋体"/>
                <w:sz w:val="20"/>
                <w:szCs w:val="20"/>
                <w:lang w:eastAsia="zh-CN"/>
              </w:rPr>
              <w:t>）安全施工要求：</w:t>
            </w:r>
          </w:p>
          <w:p w14:paraId="3BEE1B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应严格遵守安全生产管理规定及采购人、上级主管部门的监督要求。负责在施工前对施工人员进行安全教育，制定安全施工方案，配备足额专职安全员，在施工现场设置安全标识与警示标语。自清拆工作实施起至总体验收合格期间，须全面落实安全防护措施，消除事故隐患；配合采购人做好拆除过程中的维稳工作；拆除期间须服从采购人现场统一管理与指挥，遇拆除障碍时及时向采购人报告，确保拆除工作安全顺利进行。施工人员进入现场须佩戴安全帽，高空作业人员应穿着防滑鞋、系挂安全带，按规定配备并使用有效安全防护用品。现场须设置专职监护人员，严禁废品回收人员等非施工人员进入，防止意外事故发生。</w:t>
            </w:r>
          </w:p>
          <w:p w14:paraId="5B12361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为保障现场周边及过往群众的安全与通行便利，在必要时及采购人或有关主管部门要求的情况下，成交供应商须负责提供照明、警卫、护棚、警告标志等安全防护设施，并承担相应责任。成交供应商须为施工人员购买安全责任保险（保险责任应包含从业人员责任险、第三者责任险、救援费用责任险），现场施工须遵守国家及地方关于劳动安全、劳务用工的法律法规与规章制度，确保用工合法合规。成交供应商必须按国家有关规定为施工人员配备合格的劳动防护用品与安全用具，因清拆施工引发的工作人员或过往群众安全事故，由成交供应商承担全部责任。</w:t>
            </w:r>
          </w:p>
          <w:p w14:paraId="6778ABE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保证施工人员均经过专业技能培训，操作专业设备的技术人员须持有有效上岗证。成交供应商应从事拆除作业的人员须严格依照法律法规落实安全作业责任，规范佩戴安全帽，进行高处作业时应系牢安全带，进入危险区域必须采取严格的防护措施。施工过程中若发生伤亡责任事故，应严格按照法定程序及时限向有关部门报告，严禁拖延或隐瞒。</w:t>
            </w:r>
          </w:p>
          <w:p w14:paraId="044791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拆除区域须设置连续封闭的围挡，围挡效果图须经采购人或监理单位确认同意后方可实施设置，成交供应商须无条件遵从采购人或监理单位关于围挡设置的调整意见。（若存在毗邻房屋的附属物影响围挡施工，成交供应商应与毗邻房屋业主进行沟通，在征得业主同意后，对所拆除的附属物，应在工程竣工后予以重新修复或搭建，由此产生的相关费用由成交供应商承担。）</w:t>
            </w:r>
          </w:p>
          <w:p w14:paraId="2BE00EA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施工区域周边应设置临时交通标志、夜间反光警示灯，并配备专职交通引导员；人行道严禁堆放材料或设备；运输车辆须错峰进出（避开7:30-9:00、17:00-19:00高峰时段）。</w:t>
            </w:r>
          </w:p>
          <w:p w14:paraId="1A4893A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四</w:t>
            </w:r>
            <w:r>
              <w:rPr>
                <w:rFonts w:hint="eastAsia" w:ascii="宋体" w:hAnsi="宋体" w:eastAsia="宋体" w:cs="宋体"/>
                <w:sz w:val="20"/>
                <w:szCs w:val="20"/>
                <w:lang w:eastAsia="zh-CN"/>
              </w:rPr>
              <w:t>）施工技术要求：</w:t>
            </w:r>
          </w:p>
          <w:p w14:paraId="2F1302A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lang w:eastAsia="zh-CN"/>
              </w:rPr>
              <w:t>拆除工程必须严格执行行业标准《建筑拆除工程安全技术规范》（JGJ147-2016）。具体技术要求如下：</w:t>
            </w:r>
          </w:p>
          <w:p w14:paraId="109CA10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（1）拆除顺序：拆除施工应自上而下分区域进行，严禁实施立体交叉作业。具体可按照“先清理后拆除、先地上后地下、先非承重后承重”的原则执行。</w:t>
            </w:r>
          </w:p>
          <w:p w14:paraId="79CC0B2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2）安全监测：拆除过程中应对拆除物的稳定状态进行监测，一旦发现安全隐患，必须立即停止作业；当局部构件拆除可能影响结构安全时，应先进行加固，再实施拆除。</w:t>
            </w:r>
          </w:p>
          <w:p w14:paraId="01FE327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3）拆除前准备：应首先切断电源、水源，而后拆除设备管线设施及主体结构。</w:t>
            </w:r>
          </w:p>
          <w:p w14:paraId="54B353B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4）保留部分保护：若需保留部分板房，应采取有效保护措施，确保保留部分的结构安全及功能完整。</w:t>
            </w:r>
          </w:p>
          <w:p w14:paraId="2178600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）成交供应商的责任：</w:t>
            </w:r>
          </w:p>
          <w:p w14:paraId="61CB9F4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在清拆、清运等施工期间，成交供应商应文明规范施工，落实安全防范措施，施工人员的人身安全由成交供应商负责，且成交供应商必须为现场施工人员购买意外保险。</w:t>
            </w:r>
          </w:p>
          <w:p w14:paraId="6CD5177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2. </w:t>
            </w:r>
            <w:r>
              <w:rPr>
                <w:rFonts w:hint="eastAsia" w:ascii="宋体" w:hAnsi="宋体" w:eastAsia="宋体" w:cs="宋体"/>
                <w:sz w:val="20"/>
                <w:szCs w:val="20"/>
                <w:lang w:eastAsia="zh-CN"/>
              </w:rPr>
              <w:t>成交供应商在施工过程中，如因清拆工程导致人身损害、财产损失、劳资纠纷等情况，一律由成交供应商承担全部责任及赔偿费用，具体包括但不限于以下情形：</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（1）对周边房屋等造成损坏的；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（2）对周边行人的人身安全造成损害的；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（3）对周边行车或停泊车辆造成损坏的；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（4）对周边公共设施造成损坏的；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（5）成交供应商与其施工人员之间的劳动纠纷、工伤保险待遇纠纷等。</w:t>
            </w:r>
          </w:p>
          <w:p w14:paraId="4509438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lang w:eastAsia="zh-CN"/>
              </w:rPr>
              <w:t>因施工引发管线破损、道路塌陷等事故，成交供应商须立即停工，并承担全部修复费用及赔偿责任。</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10" w:hRule="atLeast"/>
        </w:trPr>
        <w:tc>
          <w:tcPr>
            <w:tcW w:w="958"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373" w:type="dxa"/>
          </w:tcPr>
          <w:p w14:paraId="536500D0">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四、工程质量要求</w:t>
            </w:r>
          </w:p>
          <w:p w14:paraId="0AF8E145">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工程质量须符合国家及行业规定的建筑工程质量检验评定“合格”标准。</w:t>
            </w:r>
          </w:p>
          <w:p w14:paraId="26F8D015">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成交供应商应严格依据国家颁布的现行施工规范及安全操作规程进行施工。</w:t>
            </w:r>
          </w:p>
          <w:p w14:paraId="195258A9">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施工现场各类管线、设施情况复杂，施工期间应注意保护原有设备设施，若造成损坏，成交供应商应负责修复或照价赔偿。</w:t>
            </w:r>
          </w:p>
          <w:p w14:paraId="4D6DD9B1">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lang w:val="en-US" w:eastAsia="zh-CN"/>
              </w:rPr>
            </w:pPr>
            <w:r>
              <w:rPr>
                <w:rFonts w:hint="eastAsia" w:ascii="宋体" w:hAnsi="宋体" w:eastAsia="宋体" w:cs="宋体"/>
                <w:sz w:val="20"/>
                <w:szCs w:val="20"/>
                <w:lang w:val="en-US" w:eastAsia="zh-CN"/>
              </w:rPr>
              <w:t>4. 因成交供应商原因导致工程质量未达到双方约定标准的，采购人有权要求成交供应商在规定期限内返工，直至工程质量符合合同约定标准，由此增加的费用和（或）延误的工期由成交供应商承担。</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958"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373" w:type="dxa"/>
          </w:tcPr>
          <w:p w14:paraId="5C1AEF9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五、材料及设备要求</w:t>
            </w:r>
          </w:p>
          <w:p w14:paraId="0F5CAA5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本项目施工所需的设备由成交供应商自行解决（相关费用已包含在成交价中）。</w:t>
            </w:r>
          </w:p>
          <w:p w14:paraId="3527519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项目所用材料由成交供应商自行采购（相关费用已包含在成交价中）。所用材料必须符合国家及行业质量要求，主要材料需提供出厂合格证或检验报告，并经采购人、设计单位、监理单位（若有）共同确认后方可使用。</w:t>
            </w:r>
          </w:p>
          <w:p w14:paraId="10484178">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采购人保留对本工程使用的主要材料品质进行确认审查的权利，以及另行委托第三方检测机构对本工程进行独立检测的权利。</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958"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373" w:type="dxa"/>
          </w:tcPr>
          <w:p w14:paraId="564A9A0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六、安全文明措施</w:t>
            </w:r>
          </w:p>
          <w:p w14:paraId="58FEB6C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安全文明施工应达到中山市规定的文明工地标准，并按照采购人的相关制度执行。</w:t>
            </w:r>
          </w:p>
          <w:p w14:paraId="50F97D0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遵守工程建设安全生产有关管理规定，严格依照安全标准组织施工，采取必要的安全防护措施，消除事故隐患。严格按照安全技术操作规程进行操作，采取严格科学的安全措施，确保施工安全和第三施工方应保障作业人员安全，对因自身安全措施不足引发的事故承担全部责任及相关费用。</w:t>
            </w:r>
          </w:p>
          <w:p w14:paraId="6223572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成交供应商在施工期间须严格遵守国家及省、市关于防火、爆破、施工安全、文明施工、夜间施工、环境卫生及城市管理等相关规定，建立健全规章制度并落实防护措施。</w:t>
            </w:r>
          </w:p>
          <w:p w14:paraId="34EB01D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施工过程中应遵循文明施工要求，严格遵守现场管理规定，服从主管部门监管，保持施工区域环境卫生整洁，妥善处理现场垃圾，控制施工噪音，避免对周边人员造成影响。</w:t>
            </w:r>
          </w:p>
          <w:p w14:paraId="1F65A03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落实安全施工规范，在施工现场设置安全警示标识，对危险区域实施有效围蔽，严禁无关人员进入；施工期间须确保用电安全，规范操作流程，保障自身及他人生命财产安全。因成交供应商责任导致的施工事故，由其承担全部责任。</w:t>
            </w:r>
          </w:p>
          <w:p w14:paraId="2D0745D8">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施工期间，人员安全防护用品须按规定配备；对违规危险施工行为，一经发现将予以严肃处理；特种作业人员须经专业培训并持有效证件上岗，上岗前应接受专项安全培训。</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054" w:hRule="atLeast"/>
        </w:trPr>
        <w:tc>
          <w:tcPr>
            <w:tcW w:w="958"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373" w:type="dxa"/>
          </w:tcPr>
          <w:p w14:paraId="744821D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七、验收</w:t>
            </w:r>
          </w:p>
          <w:p w14:paraId="05E4064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工程施工及验收须严格依照国家、省、市现行质量评定标准及施工验收规范执行。本工程质量评定验收标准以设计变更文件及《建筑工程施工质量验收统一标准》（GB50300-2013）等国家现行施工验收规范为依据，工程质量应达到合格标准。</w:t>
            </w:r>
          </w:p>
          <w:p w14:paraId="0686061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成交供应商负责确保本工程通过采购人组织的验收。</w:t>
            </w:r>
          </w:p>
          <w:p w14:paraId="429D263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本项目质保期自工程竣工验收合格之日起计算。验收时，成交供应商应向采购人提交质量保修书，质保期内出现的质量问题由成交供应商负责无偿维修。</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373" w:type="dxa"/>
          </w:tcPr>
          <w:p w14:paraId="722F002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八、违约责任</w:t>
            </w:r>
          </w:p>
          <w:p w14:paraId="668D5CF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若采购人提出维修需求，成交供应商未能在30分钟内到达现场并采取有效措施响应处理的，每次从保证金中扣减500元。</w:t>
            </w:r>
          </w:p>
          <w:p w14:paraId="3867E7C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维修项目未在采购人要求期限内完成或施工质量未达标准的，成交供应商须在限期内整改；逾期未处理的，采购人有权委托第三方公司实施，同时扣减成交供应商3000元，相关费用及扣减金额从保证金中列支，不足部分采购人有权向成交供应商追偿。</w:t>
            </w:r>
          </w:p>
          <w:p w14:paraId="633A5F8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成交供应商负责维修施工现场的安全围蔽及管理工作，因管理不当造成他人损害的，应按过错程度承担赔偿责任；若导致采购人被索赔，采购人有权在成交供应商责任范围内向其追偿。</w:t>
            </w:r>
          </w:p>
          <w:p w14:paraId="14A4D57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合同有效期内，若发生重大安全事故造成人员重伤、死亡或重大财产损失的，采购人有权解除合同，成交供应商须按过错程度承担相应责任及赔偿，并向采购人支付违约金5万元。因成交供应商原因导致第三方损害的，由其承担赔偿责任；若采购人已垫付赔偿款项，有权就垫付金额向成交供应商全额追偿。</w:t>
            </w:r>
          </w:p>
          <w:p w14:paraId="030031D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成交供应商使用的材料、工具及器械等须符合国家安全标准，严禁使用不合格产品；一经发现，采购人有权解除合同，成交供应商须承担相关责任及赔偿，并支付违约金5万元。</w:t>
            </w:r>
          </w:p>
          <w:p w14:paraId="2F01C28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6. 因成交供应商服务不达标导致周边居民投诉或检查不合格的，每次扣减500元；情节严重的，予以加倍处罚。</w:t>
            </w:r>
          </w:p>
          <w:p w14:paraId="52C62AD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7. 因成交供应商服务问题导致采购人遭受第三方索赔、补偿、罚款或其他经济损失的，采购人有权就相关损失及维权产生的律师费等支出向成交供应商全额追偿。</w:t>
            </w:r>
          </w:p>
          <w:p w14:paraId="25AF00D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8. 其他未尽违约责任依照《中华人民共和国民法典》相关规定处理。</w:t>
            </w:r>
          </w:p>
          <w:p w14:paraId="4EF46D0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9. 合同履行过程中发生争议的，双方应先行协商解决；协商不成的，可提交主管部门调解；调解仍未达成一致的，依法向采购人所在地人民法院提起诉讼。</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373" w:type="dxa"/>
          </w:tcPr>
          <w:p w14:paraId="13F2E2A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5732842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成交供应商应于成交通知书发出之日起30日内与采购人签订合同，并按采购人通知及合同约定时间进场作业。招标文件、成交供应商响应文件及成交通知书均作为合同签订的重要依据。</w:t>
            </w:r>
          </w:p>
          <w:p w14:paraId="54F374E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自成交供应商与采购人签订合同之日起3个工在工作日内，成交供应商须将拆除残值处置款项按照报价金额与项目保证金的总和，一次性全额汇入采购人指定的银行账户。采购人在收到该款项后，应向成交供应商出具相应的收款凭证。若成交供应商逾期未将款项转入指定银行账户，采购人有权取消其中标资格。</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373" w:type="dxa"/>
          </w:tcPr>
          <w:p w14:paraId="4B43DB5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十、报价及评审方式</w:t>
            </w:r>
          </w:p>
          <w:p w14:paraId="08BF7C3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该项目采取在底价的基础上报出响应上浮率，价高者得的方式（格式详见响应文件模板中（一）报价单）。响应服务商按残值回收模式，项目底价人民币10000元，进行上浮率报价，合同成交金额=（1+中标上浮率）*底价（可保留小数点后两位），报价的上浮率必须是＞0%（不含本位数），否则视为无效报价。</w:t>
            </w:r>
          </w:p>
          <w:p w14:paraId="3BD3DC7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报价次数：1次。</w:t>
            </w:r>
          </w:p>
          <w:p w14:paraId="0B2FA71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经资格审查合格的供应商，将通过公平竞拍方式参与本项目。本项目以人民币10000元为底价，遵循价高者得原则，出价最高的供应商拟确定为成交供应商。若出现两家及以上供应商报价相同的情况，将由评审专家随机抽签确定。</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B84180D">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十四、拟投入人员配置清单：</w:t>
      </w:r>
    </w:p>
    <w:p w14:paraId="4EFB4FEF">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1. 拟投入项目负责人:1名，应持有有效的二级或以上注册建造师（建筑工程专业）证书、安全生产考核合格证（B证）及身份证复印件。</w:t>
      </w:r>
    </w:p>
    <w:p w14:paraId="270E37C9">
      <w:pPr>
        <w:keepNext w:val="0"/>
        <w:keepLines w:val="0"/>
        <w:pageBreakBefore w:val="0"/>
        <w:widowControl/>
        <w:kinsoku w:val="0"/>
        <w:wordWrap/>
        <w:overflowPunct/>
        <w:topLinePunct w:val="0"/>
        <w:autoSpaceDE w:val="0"/>
        <w:autoSpaceDN w:val="0"/>
        <w:bidi w:val="0"/>
        <w:adjustRightInd w:val="0"/>
        <w:snapToGrid w:val="0"/>
        <w:spacing w:before="157" w:beforeLines="50" w:line="228" w:lineRule="auto"/>
        <w:textAlignment w:val="baseline"/>
        <w:rPr>
          <w:rFonts w:hint="eastAsia" w:ascii="宋体" w:hAnsi="宋体" w:eastAsia="宋体" w:cs="宋体"/>
          <w:b/>
          <w:bCs/>
          <w:sz w:val="20"/>
          <w:szCs w:val="20"/>
          <w:lang w:val="en-US" w:eastAsia="zh-CN"/>
        </w:rPr>
      </w:pPr>
      <w:r>
        <w:rPr>
          <w:rFonts w:hint="eastAsia" w:ascii="宋体" w:hAnsi="宋体" w:eastAsia="宋体" w:cs="宋体"/>
          <w:b/>
          <w:bCs/>
          <w:spacing w:val="7"/>
          <w:sz w:val="20"/>
          <w:szCs w:val="20"/>
          <w:lang w:val="en-US" w:eastAsia="zh-CN"/>
        </w:rPr>
        <w:t>2. 拟投入专职安全员：1名，应持有安全生产考核合格证（C证）、建筑工程相关专业助理工程师（初级）或以上职称及</w:t>
      </w:r>
      <w:r>
        <w:rPr>
          <w:rFonts w:hint="eastAsia" w:ascii="宋体" w:hAnsi="宋体" w:eastAsia="宋体" w:cs="宋体"/>
          <w:b/>
          <w:bCs/>
          <w:sz w:val="20"/>
          <w:szCs w:val="20"/>
          <w:lang w:val="en-US" w:eastAsia="zh-CN"/>
        </w:rPr>
        <w:t>身份证复印件。</w:t>
      </w:r>
    </w:p>
    <w:p w14:paraId="7D6A0AC1">
      <w:pPr>
        <w:pStyle w:val="3"/>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default"/>
          <w:lang w:val="en-US" w:eastAsia="zh-CN"/>
        </w:rPr>
      </w:pPr>
      <w:r>
        <w:rPr>
          <w:rFonts w:hint="eastAsia" w:ascii="宋体" w:hAnsi="宋体" w:eastAsia="宋体" w:cs="宋体"/>
          <w:b/>
          <w:bCs/>
          <w:sz w:val="20"/>
          <w:szCs w:val="20"/>
          <w:lang w:val="en-US" w:eastAsia="zh-CN"/>
        </w:rPr>
        <w:t>3. 拟投入其它须持证上岗人员：如高空作业、电工、焊工等，须持有相应有效证件，并于进场前向采购人办理报备手续。</w:t>
      </w:r>
    </w:p>
    <w:p w14:paraId="7D41CDD9">
      <w:pPr>
        <w:pStyle w:val="3"/>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如为退休返聘人员，需要提供返聘合同或证明。】</w:t>
      </w:r>
    </w:p>
    <w:p w14:paraId="4A274DAC">
      <w:pPr>
        <w:pStyle w:val="4"/>
        <w:rPr>
          <w:rFonts w:hint="eastAsia"/>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pStyle w:val="4"/>
              <w:jc w:val="center"/>
              <w:rPr>
                <w:rFonts w:hint="eastAsia"/>
                <w:b/>
                <w:bCs/>
                <w:sz w:val="20"/>
                <w:szCs w:val="20"/>
                <w:lang w:val="en-US" w:eastAsia="zh-CN"/>
              </w:rPr>
            </w:pPr>
            <w:r>
              <w:rPr>
                <w:rFonts w:hint="eastAsia"/>
                <w:b/>
                <w:bCs/>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pStyle w:val="4"/>
              <w:jc w:val="center"/>
              <w:rPr>
                <w:rFonts w:hint="eastAsia"/>
                <w:b/>
                <w:bCs/>
                <w:sz w:val="20"/>
                <w:szCs w:val="20"/>
                <w:lang w:val="en-US" w:eastAsia="zh-CN"/>
              </w:rPr>
            </w:pPr>
            <w:r>
              <w:rPr>
                <w:rFonts w:hint="eastAsia"/>
                <w:b/>
                <w:bCs/>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pStyle w:val="4"/>
              <w:jc w:val="center"/>
              <w:rPr>
                <w:rFonts w:hint="eastAsia"/>
                <w:b/>
                <w:bCs/>
                <w:sz w:val="20"/>
                <w:szCs w:val="20"/>
                <w:lang w:val="en-US" w:eastAsia="zh-CN"/>
              </w:rPr>
            </w:pPr>
            <w:r>
              <w:rPr>
                <w:rFonts w:hint="eastAsia"/>
                <w:b/>
                <w:bCs/>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pStyle w:val="4"/>
              <w:jc w:val="center"/>
              <w:rPr>
                <w:rFonts w:hint="eastAsia"/>
                <w:b/>
                <w:bCs/>
                <w:sz w:val="20"/>
                <w:szCs w:val="20"/>
                <w:lang w:val="en-US" w:eastAsia="zh-CN"/>
              </w:rPr>
            </w:pPr>
            <w:r>
              <w:rPr>
                <w:rFonts w:hint="eastAsia"/>
                <w:b/>
                <w:bCs/>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pStyle w:val="4"/>
              <w:jc w:val="center"/>
              <w:rPr>
                <w:rFonts w:hint="eastAsia"/>
                <w:b/>
                <w:bCs/>
                <w:sz w:val="20"/>
                <w:szCs w:val="20"/>
                <w:lang w:val="en-US" w:eastAsia="zh-CN"/>
              </w:rPr>
            </w:pPr>
            <w:r>
              <w:rPr>
                <w:rFonts w:hint="eastAsia"/>
                <w:b/>
                <w:bCs/>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pStyle w:val="4"/>
              <w:jc w:val="center"/>
              <w:rPr>
                <w:rFonts w:hint="eastAsia"/>
                <w:b/>
                <w:bCs/>
                <w:sz w:val="20"/>
                <w:szCs w:val="20"/>
                <w:lang w:val="en-US" w:eastAsia="zh-CN"/>
              </w:rPr>
            </w:pPr>
            <w:r>
              <w:rPr>
                <w:rFonts w:hint="eastAsia"/>
                <w:b/>
                <w:bCs/>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pStyle w:val="4"/>
              <w:jc w:val="center"/>
              <w:rPr>
                <w:rFonts w:hint="eastAsia"/>
                <w:b/>
                <w:bCs/>
                <w:sz w:val="20"/>
                <w:szCs w:val="20"/>
                <w:lang w:val="en-US" w:eastAsia="zh-CN"/>
              </w:rPr>
            </w:pPr>
            <w:r>
              <w:rPr>
                <w:rFonts w:hint="eastAsia"/>
                <w:b/>
                <w:bCs/>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pStyle w:val="4"/>
              <w:jc w:val="center"/>
              <w:rPr>
                <w:rFonts w:hint="eastAsia"/>
                <w:b/>
                <w:bCs/>
                <w:sz w:val="20"/>
                <w:szCs w:val="20"/>
                <w:lang w:val="en-US" w:eastAsia="zh-CN"/>
              </w:rPr>
            </w:pPr>
            <w:r>
              <w:rPr>
                <w:rFonts w:hint="eastAsia"/>
                <w:b/>
                <w:bCs/>
                <w:sz w:val="20"/>
                <w:szCs w:val="20"/>
                <w:lang w:val="en-US" w:eastAsia="zh-CN"/>
              </w:rPr>
              <w:t>拟担任职务或承</w:t>
            </w:r>
          </w:p>
          <w:p w14:paraId="73D0902D">
            <w:pPr>
              <w:pStyle w:val="4"/>
              <w:jc w:val="center"/>
              <w:rPr>
                <w:rFonts w:hint="eastAsia"/>
                <w:b/>
                <w:bCs/>
                <w:sz w:val="20"/>
                <w:szCs w:val="20"/>
                <w:lang w:val="en-US" w:eastAsia="zh-CN"/>
              </w:rPr>
            </w:pPr>
            <w:r>
              <w:rPr>
                <w:rFonts w:hint="eastAsia"/>
                <w:b/>
                <w:bCs/>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pStyle w:val="4"/>
              <w:jc w:val="center"/>
              <w:rPr>
                <w:rFonts w:hint="eastAsia"/>
                <w:b/>
                <w:bCs/>
                <w:sz w:val="20"/>
                <w:szCs w:val="20"/>
                <w:lang w:val="en-US" w:eastAsia="zh-CN"/>
              </w:rPr>
            </w:pPr>
            <w:r>
              <w:rPr>
                <w:rFonts w:hint="eastAsia"/>
                <w:b/>
                <w:bCs/>
                <w:sz w:val="20"/>
                <w:szCs w:val="20"/>
                <w:lang w:val="en-US" w:eastAsia="zh-CN"/>
              </w:rPr>
              <w:t>1</w:t>
            </w:r>
          </w:p>
        </w:tc>
        <w:tc>
          <w:tcPr>
            <w:tcW w:w="993" w:type="dxa"/>
            <w:vAlign w:val="center"/>
          </w:tcPr>
          <w:p w14:paraId="4DC70521">
            <w:pPr>
              <w:pStyle w:val="4"/>
              <w:jc w:val="center"/>
              <w:rPr>
                <w:rFonts w:hint="eastAsia"/>
                <w:b/>
                <w:bCs/>
                <w:sz w:val="20"/>
                <w:szCs w:val="20"/>
                <w:lang w:val="en-US" w:eastAsia="zh-CN"/>
              </w:rPr>
            </w:pPr>
          </w:p>
        </w:tc>
        <w:tc>
          <w:tcPr>
            <w:tcW w:w="992" w:type="dxa"/>
            <w:vAlign w:val="center"/>
          </w:tcPr>
          <w:p w14:paraId="6D45F58A">
            <w:pPr>
              <w:pStyle w:val="4"/>
              <w:jc w:val="center"/>
              <w:rPr>
                <w:rFonts w:hint="eastAsia"/>
                <w:b/>
                <w:bCs/>
                <w:sz w:val="20"/>
                <w:szCs w:val="20"/>
                <w:lang w:val="en-US" w:eastAsia="zh-CN"/>
              </w:rPr>
            </w:pPr>
          </w:p>
        </w:tc>
        <w:tc>
          <w:tcPr>
            <w:tcW w:w="850" w:type="dxa"/>
            <w:vAlign w:val="center"/>
          </w:tcPr>
          <w:p w14:paraId="240BD05E">
            <w:pPr>
              <w:pStyle w:val="4"/>
              <w:jc w:val="center"/>
              <w:rPr>
                <w:rFonts w:hint="eastAsia"/>
                <w:b/>
                <w:bCs/>
                <w:sz w:val="20"/>
                <w:szCs w:val="20"/>
                <w:lang w:val="en-US" w:eastAsia="zh-CN"/>
              </w:rPr>
            </w:pPr>
          </w:p>
        </w:tc>
        <w:tc>
          <w:tcPr>
            <w:tcW w:w="1134" w:type="dxa"/>
            <w:vAlign w:val="center"/>
          </w:tcPr>
          <w:p w14:paraId="1340D212">
            <w:pPr>
              <w:pStyle w:val="4"/>
              <w:jc w:val="center"/>
              <w:rPr>
                <w:rFonts w:hint="eastAsia"/>
                <w:b/>
                <w:bCs/>
                <w:sz w:val="20"/>
                <w:szCs w:val="20"/>
                <w:lang w:val="en-US" w:eastAsia="zh-CN"/>
              </w:rPr>
            </w:pPr>
          </w:p>
        </w:tc>
        <w:tc>
          <w:tcPr>
            <w:tcW w:w="993" w:type="dxa"/>
            <w:vAlign w:val="center"/>
          </w:tcPr>
          <w:p w14:paraId="0E970A95">
            <w:pPr>
              <w:pStyle w:val="4"/>
              <w:jc w:val="center"/>
              <w:rPr>
                <w:rFonts w:hint="eastAsia"/>
                <w:b/>
                <w:bCs/>
                <w:sz w:val="20"/>
                <w:szCs w:val="20"/>
                <w:lang w:val="en-US" w:eastAsia="zh-CN"/>
              </w:rPr>
            </w:pPr>
          </w:p>
        </w:tc>
        <w:tc>
          <w:tcPr>
            <w:tcW w:w="1275" w:type="dxa"/>
            <w:vAlign w:val="center"/>
          </w:tcPr>
          <w:p w14:paraId="6EF3B018">
            <w:pPr>
              <w:pStyle w:val="4"/>
              <w:jc w:val="center"/>
              <w:rPr>
                <w:rFonts w:hint="eastAsia"/>
                <w:b/>
                <w:bCs/>
                <w:sz w:val="20"/>
                <w:szCs w:val="20"/>
                <w:lang w:val="en-US" w:eastAsia="zh-CN"/>
              </w:rPr>
            </w:pPr>
          </w:p>
        </w:tc>
        <w:tc>
          <w:tcPr>
            <w:tcW w:w="1843" w:type="dxa"/>
            <w:tcBorders>
              <w:right w:val="single" w:color="000000" w:sz="10" w:space="0"/>
            </w:tcBorders>
            <w:vAlign w:val="center"/>
          </w:tcPr>
          <w:p w14:paraId="05049427">
            <w:pPr>
              <w:pStyle w:val="4"/>
              <w:jc w:val="center"/>
              <w:rPr>
                <w:rFonts w:hint="eastAsia"/>
                <w:b/>
                <w:bCs/>
                <w:sz w:val="20"/>
                <w:szCs w:val="20"/>
                <w:lang w:val="en-US" w:eastAsia="zh-CN"/>
              </w:rPr>
            </w:pPr>
            <w:r>
              <w:rPr>
                <w:rFonts w:hint="eastAsia"/>
                <w:b/>
                <w:bCs/>
                <w:sz w:val="20"/>
                <w:szCs w:val="20"/>
                <w:lang w:val="en-US" w:eastAsia="zh-CN"/>
              </w:rPr>
              <w:t>项目总负责人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pStyle w:val="4"/>
              <w:jc w:val="center"/>
              <w:rPr>
                <w:rFonts w:hint="eastAsia"/>
                <w:b/>
                <w:bCs/>
                <w:sz w:val="20"/>
                <w:szCs w:val="20"/>
                <w:lang w:val="en-US" w:eastAsia="zh-CN"/>
              </w:rPr>
            </w:pPr>
            <w:r>
              <w:rPr>
                <w:rFonts w:hint="eastAsia"/>
                <w:b/>
                <w:bCs/>
                <w:sz w:val="20"/>
                <w:szCs w:val="20"/>
                <w:lang w:val="en-US" w:eastAsia="zh-CN"/>
              </w:rPr>
              <w:t>2</w:t>
            </w:r>
          </w:p>
        </w:tc>
        <w:tc>
          <w:tcPr>
            <w:tcW w:w="993" w:type="dxa"/>
            <w:vAlign w:val="center"/>
          </w:tcPr>
          <w:p w14:paraId="54BC48C4">
            <w:pPr>
              <w:pStyle w:val="4"/>
              <w:jc w:val="center"/>
              <w:rPr>
                <w:rFonts w:hint="eastAsia"/>
                <w:b/>
                <w:bCs/>
                <w:sz w:val="20"/>
                <w:szCs w:val="20"/>
                <w:lang w:val="en-US" w:eastAsia="zh-CN"/>
              </w:rPr>
            </w:pPr>
          </w:p>
        </w:tc>
        <w:tc>
          <w:tcPr>
            <w:tcW w:w="992" w:type="dxa"/>
            <w:vAlign w:val="center"/>
          </w:tcPr>
          <w:p w14:paraId="4E2F130F">
            <w:pPr>
              <w:pStyle w:val="4"/>
              <w:jc w:val="center"/>
              <w:rPr>
                <w:rFonts w:hint="eastAsia"/>
                <w:b/>
                <w:bCs/>
                <w:sz w:val="20"/>
                <w:szCs w:val="20"/>
                <w:lang w:val="en-US" w:eastAsia="zh-CN"/>
              </w:rPr>
            </w:pPr>
          </w:p>
        </w:tc>
        <w:tc>
          <w:tcPr>
            <w:tcW w:w="850" w:type="dxa"/>
            <w:vAlign w:val="center"/>
          </w:tcPr>
          <w:p w14:paraId="4EB5834A">
            <w:pPr>
              <w:pStyle w:val="4"/>
              <w:jc w:val="center"/>
              <w:rPr>
                <w:rFonts w:hint="eastAsia"/>
                <w:b/>
                <w:bCs/>
                <w:sz w:val="20"/>
                <w:szCs w:val="20"/>
                <w:lang w:val="en-US" w:eastAsia="zh-CN"/>
              </w:rPr>
            </w:pPr>
          </w:p>
        </w:tc>
        <w:tc>
          <w:tcPr>
            <w:tcW w:w="1134" w:type="dxa"/>
            <w:vAlign w:val="center"/>
          </w:tcPr>
          <w:p w14:paraId="7D7F222B">
            <w:pPr>
              <w:pStyle w:val="4"/>
              <w:jc w:val="center"/>
              <w:rPr>
                <w:rFonts w:hint="eastAsia"/>
                <w:b/>
                <w:bCs/>
                <w:sz w:val="20"/>
                <w:szCs w:val="20"/>
                <w:lang w:val="en-US" w:eastAsia="zh-CN"/>
              </w:rPr>
            </w:pPr>
          </w:p>
        </w:tc>
        <w:tc>
          <w:tcPr>
            <w:tcW w:w="993" w:type="dxa"/>
            <w:vAlign w:val="center"/>
          </w:tcPr>
          <w:p w14:paraId="3A301724">
            <w:pPr>
              <w:pStyle w:val="4"/>
              <w:jc w:val="center"/>
              <w:rPr>
                <w:rFonts w:hint="eastAsia"/>
                <w:b/>
                <w:bCs/>
                <w:sz w:val="20"/>
                <w:szCs w:val="20"/>
                <w:lang w:val="en-US" w:eastAsia="zh-CN"/>
              </w:rPr>
            </w:pPr>
          </w:p>
        </w:tc>
        <w:tc>
          <w:tcPr>
            <w:tcW w:w="1275" w:type="dxa"/>
            <w:vAlign w:val="center"/>
          </w:tcPr>
          <w:p w14:paraId="4584A004">
            <w:pPr>
              <w:pStyle w:val="4"/>
              <w:jc w:val="center"/>
              <w:rPr>
                <w:rFonts w:hint="eastAsia"/>
                <w:b/>
                <w:bCs/>
                <w:sz w:val="20"/>
                <w:szCs w:val="20"/>
                <w:lang w:val="en-US" w:eastAsia="zh-CN"/>
              </w:rPr>
            </w:pPr>
          </w:p>
        </w:tc>
        <w:tc>
          <w:tcPr>
            <w:tcW w:w="1843" w:type="dxa"/>
            <w:tcBorders>
              <w:right w:val="single" w:color="000000" w:sz="10" w:space="0"/>
            </w:tcBorders>
            <w:vAlign w:val="center"/>
          </w:tcPr>
          <w:p w14:paraId="0B6DFD92">
            <w:pPr>
              <w:pStyle w:val="4"/>
              <w:jc w:val="center"/>
              <w:rPr>
                <w:rFonts w:hint="eastAsia"/>
                <w:b/>
                <w:bCs/>
                <w:sz w:val="20"/>
                <w:szCs w:val="20"/>
                <w:lang w:val="en-US" w:eastAsia="zh-CN"/>
              </w:rPr>
            </w:pPr>
            <w:r>
              <w:rPr>
                <w:rFonts w:hint="eastAsia"/>
                <w:b/>
                <w:bCs/>
                <w:sz w:val="20"/>
                <w:szCs w:val="20"/>
                <w:lang w:val="en-US" w:eastAsia="zh-CN"/>
              </w:rPr>
              <w:t>安全员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202D3443">
            <w:pPr>
              <w:pStyle w:val="4"/>
              <w:jc w:val="center"/>
              <w:rPr>
                <w:rFonts w:hint="eastAsia"/>
                <w:b/>
                <w:bCs/>
                <w:sz w:val="20"/>
                <w:szCs w:val="20"/>
                <w:lang w:val="en-US" w:eastAsia="zh-CN"/>
              </w:rPr>
            </w:pPr>
            <w:r>
              <w:rPr>
                <w:rFonts w:hint="eastAsia"/>
                <w:b/>
                <w:bCs/>
                <w:sz w:val="20"/>
                <w:szCs w:val="20"/>
                <w:lang w:val="en-US" w:eastAsia="zh-CN"/>
              </w:rPr>
              <w:t>3</w:t>
            </w:r>
          </w:p>
        </w:tc>
        <w:tc>
          <w:tcPr>
            <w:tcW w:w="993" w:type="dxa"/>
            <w:tcBorders>
              <w:bottom w:val="single" w:color="000000" w:sz="10" w:space="0"/>
            </w:tcBorders>
            <w:vAlign w:val="center"/>
          </w:tcPr>
          <w:p w14:paraId="65435ABF">
            <w:pPr>
              <w:pStyle w:val="4"/>
              <w:jc w:val="center"/>
              <w:rPr>
                <w:rFonts w:hint="eastAsia"/>
                <w:b/>
                <w:bCs/>
                <w:sz w:val="20"/>
                <w:szCs w:val="20"/>
                <w:lang w:val="en-US" w:eastAsia="zh-CN"/>
              </w:rPr>
            </w:pPr>
          </w:p>
        </w:tc>
        <w:tc>
          <w:tcPr>
            <w:tcW w:w="992" w:type="dxa"/>
            <w:tcBorders>
              <w:bottom w:val="single" w:color="000000" w:sz="10" w:space="0"/>
            </w:tcBorders>
            <w:vAlign w:val="center"/>
          </w:tcPr>
          <w:p w14:paraId="7BCFE8BB">
            <w:pPr>
              <w:pStyle w:val="4"/>
              <w:jc w:val="center"/>
              <w:rPr>
                <w:rFonts w:hint="eastAsia"/>
                <w:b/>
                <w:bCs/>
                <w:sz w:val="20"/>
                <w:szCs w:val="20"/>
                <w:lang w:val="en-US" w:eastAsia="zh-CN"/>
              </w:rPr>
            </w:pPr>
          </w:p>
        </w:tc>
        <w:tc>
          <w:tcPr>
            <w:tcW w:w="850" w:type="dxa"/>
            <w:tcBorders>
              <w:bottom w:val="single" w:color="000000" w:sz="10" w:space="0"/>
            </w:tcBorders>
            <w:vAlign w:val="center"/>
          </w:tcPr>
          <w:p w14:paraId="4EB10A2E">
            <w:pPr>
              <w:pStyle w:val="4"/>
              <w:jc w:val="center"/>
              <w:rPr>
                <w:rFonts w:hint="eastAsia"/>
                <w:b/>
                <w:bCs/>
                <w:sz w:val="20"/>
                <w:szCs w:val="20"/>
                <w:lang w:val="en-US" w:eastAsia="zh-CN"/>
              </w:rPr>
            </w:pPr>
          </w:p>
        </w:tc>
        <w:tc>
          <w:tcPr>
            <w:tcW w:w="1134" w:type="dxa"/>
            <w:tcBorders>
              <w:bottom w:val="single" w:color="000000" w:sz="10" w:space="0"/>
            </w:tcBorders>
            <w:vAlign w:val="center"/>
          </w:tcPr>
          <w:p w14:paraId="206C8091">
            <w:pPr>
              <w:pStyle w:val="4"/>
              <w:jc w:val="center"/>
              <w:rPr>
                <w:rFonts w:hint="eastAsia"/>
                <w:b/>
                <w:bCs/>
                <w:sz w:val="20"/>
                <w:szCs w:val="20"/>
                <w:lang w:val="en-US" w:eastAsia="zh-CN"/>
              </w:rPr>
            </w:pPr>
          </w:p>
        </w:tc>
        <w:tc>
          <w:tcPr>
            <w:tcW w:w="993" w:type="dxa"/>
            <w:tcBorders>
              <w:bottom w:val="single" w:color="000000" w:sz="10" w:space="0"/>
            </w:tcBorders>
            <w:vAlign w:val="center"/>
          </w:tcPr>
          <w:p w14:paraId="5EB59745">
            <w:pPr>
              <w:pStyle w:val="4"/>
              <w:jc w:val="center"/>
              <w:rPr>
                <w:rFonts w:hint="eastAsia"/>
                <w:b/>
                <w:bCs/>
                <w:sz w:val="20"/>
                <w:szCs w:val="20"/>
                <w:lang w:val="en-US" w:eastAsia="zh-CN"/>
              </w:rPr>
            </w:pPr>
          </w:p>
        </w:tc>
        <w:tc>
          <w:tcPr>
            <w:tcW w:w="1275" w:type="dxa"/>
            <w:tcBorders>
              <w:bottom w:val="single" w:color="000000" w:sz="10" w:space="0"/>
            </w:tcBorders>
            <w:vAlign w:val="center"/>
          </w:tcPr>
          <w:p w14:paraId="71892D5E">
            <w:pPr>
              <w:pStyle w:val="4"/>
              <w:jc w:val="center"/>
              <w:rPr>
                <w:rFonts w:hint="eastAsia"/>
                <w:b/>
                <w:bCs/>
                <w:sz w:val="20"/>
                <w:szCs w:val="20"/>
                <w:lang w:val="en-US" w:eastAsia="zh-CN"/>
              </w:rPr>
            </w:pPr>
          </w:p>
        </w:tc>
        <w:tc>
          <w:tcPr>
            <w:tcW w:w="1843" w:type="dxa"/>
            <w:tcBorders>
              <w:bottom w:val="single" w:color="000000" w:sz="10" w:space="0"/>
              <w:right w:val="single" w:color="000000" w:sz="10" w:space="0"/>
            </w:tcBorders>
            <w:vAlign w:val="center"/>
          </w:tcPr>
          <w:p w14:paraId="44E16C58">
            <w:pPr>
              <w:pStyle w:val="4"/>
              <w:jc w:val="center"/>
              <w:rPr>
                <w:rFonts w:hint="eastAsia"/>
                <w:b/>
                <w:bCs/>
                <w:sz w:val="20"/>
                <w:szCs w:val="20"/>
                <w:lang w:val="en-US" w:eastAsia="zh-CN"/>
              </w:rPr>
            </w:pPr>
            <w:r>
              <w:rPr>
                <w:rFonts w:hint="eastAsia"/>
                <w:b/>
                <w:bCs/>
                <w:sz w:val="20"/>
                <w:szCs w:val="20"/>
                <w:lang w:val="en-US" w:eastAsia="zh-CN"/>
              </w:rPr>
              <w:t>…</w:t>
            </w:r>
          </w:p>
        </w:tc>
      </w:tr>
    </w:tbl>
    <w:p w14:paraId="49B9EC5F">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b/>
          <w:bCs/>
          <w:sz w:val="22"/>
          <w:szCs w:val="22"/>
          <w:lang w:val="en-US" w:eastAsia="zh-CN"/>
        </w:rPr>
      </w:pPr>
      <w:r>
        <w:rPr>
          <w:rFonts w:hint="eastAsia"/>
          <w:b/>
          <w:bCs/>
          <w:sz w:val="22"/>
          <w:szCs w:val="22"/>
          <w:lang w:val="en-US" w:eastAsia="zh-CN"/>
        </w:rPr>
        <w:t>注：供应商必须如实填写此表格。（此表可延长）</w:t>
      </w:r>
    </w:p>
    <w:p w14:paraId="70FC09FE">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50316514">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承诺函（格式自拟），包括但不限于：①对于须持证上岗的作业项目，如高空作业、电工、焊工等，操作人员须具备相应的有效证件，并在进场前向采购人报备；②为建筑工程施工人员人身保险，中标后须向采购人提交有效期内复印件。</w:t>
      </w:r>
    </w:p>
    <w:p w14:paraId="08F3CD74">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包括但不限于：项目总体要求、工程质量要求、材料及设备要求、安全文明措施等。</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177A27"/>
    <w:rsid w:val="01E26336"/>
    <w:rsid w:val="041B280B"/>
    <w:rsid w:val="05D250F6"/>
    <w:rsid w:val="06984FFC"/>
    <w:rsid w:val="07D772C8"/>
    <w:rsid w:val="07DE22A7"/>
    <w:rsid w:val="09537203"/>
    <w:rsid w:val="0A1B60BD"/>
    <w:rsid w:val="0A382368"/>
    <w:rsid w:val="0E881903"/>
    <w:rsid w:val="0E9C78E3"/>
    <w:rsid w:val="126C008B"/>
    <w:rsid w:val="13666B31"/>
    <w:rsid w:val="16DD5993"/>
    <w:rsid w:val="18C80C4B"/>
    <w:rsid w:val="1E9D0594"/>
    <w:rsid w:val="1EA21FDF"/>
    <w:rsid w:val="1EDF5020"/>
    <w:rsid w:val="1FB73B6E"/>
    <w:rsid w:val="20607AD1"/>
    <w:rsid w:val="20BE2A44"/>
    <w:rsid w:val="220611C3"/>
    <w:rsid w:val="22732647"/>
    <w:rsid w:val="231E7145"/>
    <w:rsid w:val="23487B36"/>
    <w:rsid w:val="243E45C7"/>
    <w:rsid w:val="2695736E"/>
    <w:rsid w:val="26B446CD"/>
    <w:rsid w:val="281105FD"/>
    <w:rsid w:val="28580DF7"/>
    <w:rsid w:val="2EB9081B"/>
    <w:rsid w:val="36073C0B"/>
    <w:rsid w:val="37620175"/>
    <w:rsid w:val="3AC4344A"/>
    <w:rsid w:val="3B082DE1"/>
    <w:rsid w:val="3BF85816"/>
    <w:rsid w:val="3EB26D88"/>
    <w:rsid w:val="40671DCB"/>
    <w:rsid w:val="40C03509"/>
    <w:rsid w:val="433379C8"/>
    <w:rsid w:val="43B35DD1"/>
    <w:rsid w:val="45D45685"/>
    <w:rsid w:val="45F428E0"/>
    <w:rsid w:val="48993DFC"/>
    <w:rsid w:val="4A4831FA"/>
    <w:rsid w:val="4C030C69"/>
    <w:rsid w:val="50573AD2"/>
    <w:rsid w:val="5178029F"/>
    <w:rsid w:val="526F5AAA"/>
    <w:rsid w:val="535864C5"/>
    <w:rsid w:val="54B97F1A"/>
    <w:rsid w:val="556A1102"/>
    <w:rsid w:val="5774562F"/>
    <w:rsid w:val="58514D81"/>
    <w:rsid w:val="58C84041"/>
    <w:rsid w:val="597F545A"/>
    <w:rsid w:val="5AC43250"/>
    <w:rsid w:val="5E5E5F4E"/>
    <w:rsid w:val="609028F6"/>
    <w:rsid w:val="68391C49"/>
    <w:rsid w:val="69CE3A78"/>
    <w:rsid w:val="6DC8099B"/>
    <w:rsid w:val="72507210"/>
    <w:rsid w:val="726C3C18"/>
    <w:rsid w:val="72EC5D52"/>
    <w:rsid w:val="73052C46"/>
    <w:rsid w:val="73252077"/>
    <w:rsid w:val="7372318C"/>
    <w:rsid w:val="74273CFD"/>
    <w:rsid w:val="74C07CAE"/>
    <w:rsid w:val="75E87F4B"/>
    <w:rsid w:val="790F76AC"/>
    <w:rsid w:val="7A904F05"/>
    <w:rsid w:val="7EA0305E"/>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2"/>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5"/>
    <w:autoRedefine/>
    <w:qFormat/>
    <w:uiPriority w:val="0"/>
    <w:rPr>
      <w:szCs w:val="20"/>
    </w:rPr>
  </w:style>
  <w:style w:type="character" w:customStyle="1" w:styleId="13">
    <w:name w:val="font11"/>
    <w:basedOn w:val="8"/>
    <w:autoRedefine/>
    <w:qFormat/>
    <w:uiPriority w:val="0"/>
    <w:rPr>
      <w:rFonts w:hint="eastAsia" w:ascii="宋体" w:hAnsi="宋体" w:eastAsia="宋体" w:cs="宋体"/>
      <w:color w:val="000000"/>
      <w:sz w:val="22"/>
      <w:szCs w:val="22"/>
      <w:u w:val="single"/>
    </w:rPr>
  </w:style>
  <w:style w:type="character" w:customStyle="1" w:styleId="14">
    <w:name w:val="font31"/>
    <w:basedOn w:val="8"/>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9745</Words>
  <Characters>10038</Characters>
  <Lines>55</Lines>
  <Paragraphs>15</Paragraphs>
  <TotalTime>0</TotalTime>
  <ScaleCrop>false</ScaleCrop>
  <LinksUpToDate>false</LinksUpToDate>
  <CharactersWithSpaces>10495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2026-06-02T06:55:16Z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