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A55727"/>
    <w:p w14:paraId="43684AF0">
      <w:pPr>
        <w:rPr>
          <w:rFonts w:ascii="方正小标宋简体" w:hAnsi="方正小标宋简体" w:eastAsia="方正小标宋简体" w:cs="宋体"/>
          <w:sz w:val="72"/>
          <w:szCs w:val="44"/>
        </w:rPr>
      </w:pPr>
    </w:p>
    <w:p w14:paraId="033900D3">
      <w:pPr>
        <w:pStyle w:val="4"/>
      </w:pPr>
    </w:p>
    <w:p w14:paraId="5C4174E1">
      <w:pPr>
        <w:tabs>
          <w:tab w:val="left" w:pos="420"/>
          <w:tab w:val="left" w:pos="6660"/>
        </w:tabs>
        <w:spacing w:line="360" w:lineRule="auto"/>
        <w:jc w:val="center"/>
        <w:rPr>
          <w:rFonts w:hint="eastAsia" w:ascii="宋体" w:hAnsi="宋体" w:eastAsia="宋体" w:cs="宋体"/>
          <w:b/>
          <w:color w:val="auto"/>
          <w:sz w:val="72"/>
          <w:szCs w:val="72"/>
          <w:highlight w:val="none"/>
          <w:lang w:val="en-US" w:eastAsia="zh-CN"/>
        </w:rPr>
      </w:pPr>
      <w:r>
        <w:rPr>
          <w:rFonts w:hint="eastAsia" w:ascii="宋体" w:hAnsi="宋体" w:eastAsia="宋体" w:cs="宋体"/>
          <w:b/>
          <w:color w:val="auto"/>
          <w:sz w:val="72"/>
          <w:szCs w:val="72"/>
          <w:highlight w:val="none"/>
          <w:lang w:val="en-US" w:eastAsia="zh-CN"/>
        </w:rPr>
        <w:t>遴 选 文 件</w:t>
      </w:r>
    </w:p>
    <w:p w14:paraId="4874BF08">
      <w:pPr>
        <w:widowControl/>
        <w:spacing w:line="360" w:lineRule="auto"/>
        <w:jc w:val="center"/>
        <w:rPr>
          <w:rFonts w:hint="eastAsia" w:ascii="宋体" w:hAnsi="宋体" w:eastAsia="宋体" w:cs="宋体"/>
          <w:b/>
          <w:color w:val="auto"/>
          <w:sz w:val="36"/>
          <w:szCs w:val="36"/>
          <w:highlight w:val="none"/>
        </w:rPr>
      </w:pPr>
    </w:p>
    <w:p w14:paraId="45CEFA5D">
      <w:pPr>
        <w:pStyle w:val="9"/>
        <w:rPr>
          <w:rFonts w:hint="eastAsia" w:ascii="宋体" w:hAnsi="宋体" w:eastAsia="宋体" w:cs="宋体"/>
          <w:b/>
          <w:color w:val="auto"/>
          <w:sz w:val="36"/>
          <w:szCs w:val="36"/>
          <w:highlight w:val="none"/>
        </w:rPr>
      </w:pPr>
    </w:p>
    <w:p w14:paraId="24341DBA">
      <w:pPr>
        <w:pStyle w:val="10"/>
        <w:rPr>
          <w:rFonts w:hint="eastAsia" w:ascii="宋体" w:hAnsi="宋体" w:eastAsia="宋体" w:cs="宋体"/>
          <w:b/>
          <w:color w:val="auto"/>
          <w:sz w:val="36"/>
          <w:szCs w:val="36"/>
          <w:highlight w:val="none"/>
        </w:rPr>
      </w:pPr>
    </w:p>
    <w:p w14:paraId="40192DB1">
      <w:pPr>
        <w:pStyle w:val="9"/>
        <w:rPr>
          <w:rFonts w:hint="eastAsia" w:ascii="宋体" w:hAnsi="宋体" w:eastAsia="宋体" w:cs="宋体"/>
          <w:b/>
          <w:color w:val="auto"/>
          <w:sz w:val="36"/>
          <w:szCs w:val="36"/>
          <w:highlight w:val="none"/>
        </w:rPr>
      </w:pPr>
    </w:p>
    <w:p w14:paraId="0F50E733">
      <w:pPr>
        <w:widowControl/>
        <w:spacing w:line="360" w:lineRule="auto"/>
        <w:jc w:val="both"/>
        <w:rPr>
          <w:rFonts w:hint="eastAsia" w:ascii="宋体" w:hAnsi="宋体" w:eastAsia="宋体" w:cs="宋体"/>
          <w:b/>
          <w:color w:val="auto"/>
          <w:sz w:val="36"/>
          <w:szCs w:val="36"/>
          <w:highlight w:val="none"/>
        </w:rPr>
      </w:pPr>
    </w:p>
    <w:p w14:paraId="2E2AA6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rPr>
        <w:t>项目名称：</w:t>
      </w:r>
      <w:r>
        <w:rPr>
          <w:rFonts w:hint="eastAsia" w:ascii="宋体" w:hAnsi="宋体" w:eastAsia="宋体" w:cs="宋体"/>
          <w:b/>
          <w:bCs/>
          <w:color w:val="auto"/>
          <w:sz w:val="36"/>
          <w:szCs w:val="36"/>
          <w:highlight w:val="none"/>
          <w:lang w:val="en-US" w:eastAsia="zh-CN"/>
        </w:rPr>
        <w:t>中山市东升医院食堂服务项目</w:t>
      </w:r>
    </w:p>
    <w:p w14:paraId="7AC540BE">
      <w:pPr>
        <w:pStyle w:val="30"/>
        <w:ind w:firstLine="1807" w:firstLineChars="500"/>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项目编号：FW-CW-CW-2025053</w:t>
      </w:r>
    </w:p>
    <w:p w14:paraId="31D05B97">
      <w:pPr>
        <w:jc w:val="center"/>
        <w:rPr>
          <w:rFonts w:ascii="黑体" w:hAnsi="黑体" w:eastAsia="黑体" w:cs="宋体"/>
          <w:sz w:val="72"/>
          <w:szCs w:val="44"/>
        </w:rPr>
      </w:pPr>
    </w:p>
    <w:p w14:paraId="2D61D4B6"/>
    <w:p w14:paraId="6C3B7082"/>
    <w:p w14:paraId="5012D04D">
      <w:pPr>
        <w:ind w:left="3050" w:leftChars="686" w:hanging="1609" w:hangingChars="503"/>
        <w:rPr>
          <w:rFonts w:ascii="黑体" w:hAnsi="黑体" w:eastAsia="黑体"/>
          <w:sz w:val="32"/>
          <w:szCs w:val="32"/>
        </w:rPr>
      </w:pPr>
    </w:p>
    <w:p w14:paraId="404C37FF">
      <w:pPr>
        <w:ind w:left="3050" w:leftChars="686" w:hanging="1609" w:hangingChars="503"/>
        <w:rPr>
          <w:rFonts w:ascii="黑体" w:hAnsi="黑体" w:eastAsia="黑体"/>
          <w:sz w:val="32"/>
          <w:szCs w:val="32"/>
        </w:rPr>
      </w:pPr>
    </w:p>
    <w:p w14:paraId="0FD187AA">
      <w:pPr>
        <w:spacing w:line="560" w:lineRule="exact"/>
        <w:ind w:firstLine="640" w:firstLineChars="200"/>
        <w:jc w:val="left"/>
        <w:rPr>
          <w:rFonts w:hint="default" w:ascii="仿宋" w:hAnsi="仿宋" w:eastAsia="仿宋"/>
          <w:sz w:val="32"/>
          <w:szCs w:val="32"/>
          <w:u w:val="single"/>
          <w:lang w:val="en-US" w:eastAsia="zh-CN"/>
        </w:rPr>
      </w:pPr>
    </w:p>
    <w:p w14:paraId="6F64EAFE">
      <w:pPr>
        <w:rPr>
          <w:rFonts w:hint="eastAsia" w:ascii="宋体" w:hAnsi="宋体" w:eastAsia="宋体" w:cs="宋体"/>
          <w:b/>
          <w:color w:val="auto"/>
          <w:kern w:val="28"/>
          <w:sz w:val="32"/>
          <w:szCs w:val="32"/>
          <w:highlight w:val="none"/>
        </w:rPr>
      </w:pPr>
      <w:r>
        <w:br w:type="page"/>
      </w:r>
    </w:p>
    <w:p w14:paraId="22008305">
      <w:pPr>
        <w:adjustRightInd w:val="0"/>
        <w:snapToGrid w:val="0"/>
        <w:spacing w:line="360" w:lineRule="auto"/>
        <w:jc w:val="center"/>
        <w:rPr>
          <w:rFonts w:hint="eastAsia" w:ascii="宋体" w:hAnsi="宋体" w:eastAsia="宋体" w:cs="宋体"/>
          <w:b/>
          <w:color w:val="auto"/>
          <w:kern w:val="28"/>
          <w:sz w:val="28"/>
          <w:szCs w:val="28"/>
          <w:highlight w:val="none"/>
          <w:lang w:eastAsia="zh-CN"/>
        </w:rPr>
      </w:pPr>
      <w:r>
        <w:rPr>
          <w:rFonts w:hint="eastAsia" w:ascii="宋体" w:hAnsi="宋体" w:eastAsia="宋体" w:cs="宋体"/>
          <w:b/>
          <w:color w:val="auto"/>
          <w:kern w:val="28"/>
          <w:sz w:val="32"/>
          <w:szCs w:val="32"/>
          <w:highlight w:val="none"/>
        </w:rPr>
        <w:t xml:space="preserve"> </w:t>
      </w:r>
      <w:r>
        <w:rPr>
          <w:rFonts w:hint="eastAsia" w:ascii="宋体" w:hAnsi="宋体" w:eastAsia="宋体" w:cs="宋体"/>
          <w:b/>
          <w:color w:val="auto"/>
          <w:kern w:val="28"/>
          <w:sz w:val="32"/>
          <w:szCs w:val="32"/>
          <w:highlight w:val="none"/>
          <w:lang w:eastAsia="zh-CN"/>
        </w:rPr>
        <w:t>第一部分</w:t>
      </w:r>
      <w:r>
        <w:rPr>
          <w:rFonts w:hint="eastAsia" w:ascii="宋体" w:hAnsi="宋体" w:eastAsia="宋体" w:cs="宋体"/>
          <w:b/>
          <w:color w:val="auto"/>
          <w:kern w:val="28"/>
          <w:sz w:val="32"/>
          <w:szCs w:val="32"/>
          <w:highlight w:val="none"/>
          <w:lang w:val="en-US" w:eastAsia="zh-CN"/>
        </w:rPr>
        <w:t xml:space="preserve">    遴选</w:t>
      </w:r>
      <w:r>
        <w:rPr>
          <w:rFonts w:hint="eastAsia" w:ascii="宋体" w:hAnsi="宋体" w:eastAsia="宋体" w:cs="宋体"/>
          <w:b/>
          <w:color w:val="auto"/>
          <w:kern w:val="28"/>
          <w:sz w:val="32"/>
          <w:szCs w:val="32"/>
          <w:highlight w:val="none"/>
          <w:lang w:eastAsia="zh-CN"/>
        </w:rPr>
        <w:t>邀请函</w:t>
      </w:r>
    </w:p>
    <w:p w14:paraId="2C3FB4BB">
      <w:pPr>
        <w:pStyle w:val="17"/>
        <w:widowControl/>
        <w:numPr>
          <w:ilvl w:val="0"/>
          <w:numId w:val="1"/>
        </w:numPr>
        <w:shd w:val="clear" w:color="auto" w:fill="FFFFFF"/>
        <w:spacing w:beforeAutospacing="0" w:afterAutospacing="0" w:line="360" w:lineRule="auto"/>
        <w:ind w:firstLine="0"/>
        <w:jc w:val="both"/>
        <w:textAlignment w:val="baseline"/>
        <w:rPr>
          <w:rFonts w:hint="eastAsia" w:ascii="宋体" w:hAnsi="宋体" w:eastAsia="宋体" w:cs="宋体"/>
          <w:b/>
          <w:bCs/>
          <w:color w:val="auto"/>
          <w:sz w:val="24"/>
          <w:szCs w:val="24"/>
          <w:highlight w:val="none"/>
        </w:rPr>
      </w:pPr>
      <w:r>
        <w:rPr>
          <w:rStyle w:val="23"/>
          <w:rFonts w:hint="eastAsia" w:ascii="宋体" w:hAnsi="宋体" w:eastAsia="宋体" w:cs="宋体"/>
          <w:bCs/>
          <w:color w:val="auto"/>
          <w:sz w:val="24"/>
          <w:szCs w:val="24"/>
          <w:highlight w:val="none"/>
          <w:shd w:val="clear" w:color="auto" w:fill="FFFFFF"/>
        </w:rPr>
        <w:t>项目基本情况</w:t>
      </w:r>
    </w:p>
    <w:p w14:paraId="79DF764E">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w:t>
      </w:r>
      <w:r>
        <w:rPr>
          <w:rFonts w:hint="eastAsia" w:cs="宋体"/>
          <w:i w:val="0"/>
          <w:iCs w:val="0"/>
          <w:caps w:val="0"/>
          <w:color w:val="auto"/>
          <w:spacing w:val="0"/>
          <w:kern w:val="0"/>
          <w:sz w:val="24"/>
          <w:szCs w:val="24"/>
          <w:shd w:val="clear" w:color="auto" w:fill="FFFFFF"/>
          <w:lang w:val="en-US" w:eastAsia="zh-CN" w:bidi="ar"/>
        </w:rPr>
        <w:t>项目名称：</w:t>
      </w:r>
      <w:r>
        <w:rPr>
          <w:rFonts w:hint="eastAsia" w:ascii="宋体" w:hAnsi="宋体" w:eastAsia="宋体" w:cs="宋体"/>
          <w:b w:val="0"/>
          <w:bCs w:val="0"/>
          <w:color w:val="auto"/>
          <w:sz w:val="24"/>
          <w:szCs w:val="24"/>
          <w:highlight w:val="none"/>
          <w:lang w:val="en-US" w:eastAsia="zh-CN"/>
        </w:rPr>
        <w:t>中山市东升医院食堂服务项目</w:t>
      </w:r>
    </w:p>
    <w:p w14:paraId="1D1DFE6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cs="宋体"/>
          <w:i w:val="0"/>
          <w:iCs w:val="0"/>
          <w:caps w:val="0"/>
          <w:color w:val="auto"/>
          <w:spacing w:val="0"/>
          <w:kern w:val="0"/>
          <w:sz w:val="24"/>
          <w:szCs w:val="24"/>
          <w:shd w:val="clear" w:color="auto" w:fill="FFFFFF"/>
          <w:lang w:val="en-US" w:eastAsia="zh-CN" w:bidi="ar"/>
        </w:rPr>
      </w:pPr>
      <w:r>
        <w:rPr>
          <w:rFonts w:hint="eastAsia" w:cs="宋体"/>
          <w:i w:val="0"/>
          <w:iCs w:val="0"/>
          <w:caps w:val="0"/>
          <w:color w:val="auto"/>
          <w:spacing w:val="0"/>
          <w:kern w:val="0"/>
          <w:sz w:val="24"/>
          <w:szCs w:val="24"/>
          <w:shd w:val="clear" w:color="auto" w:fill="FFFFFF"/>
          <w:lang w:val="en-US" w:eastAsia="zh-CN" w:bidi="ar"/>
        </w:rPr>
        <w:t>2.项目编号：FW-CW-CW-2025053</w:t>
      </w:r>
    </w:p>
    <w:p w14:paraId="2BF0AF6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cs="宋体"/>
          <w:i w:val="0"/>
          <w:iCs w:val="0"/>
          <w:caps w:val="0"/>
          <w:color w:val="auto"/>
          <w:spacing w:val="0"/>
          <w:kern w:val="0"/>
          <w:sz w:val="24"/>
          <w:szCs w:val="24"/>
          <w:shd w:val="clear" w:color="auto" w:fill="FFFFFF"/>
          <w:lang w:val="en-US" w:eastAsia="zh-CN" w:bidi="ar"/>
        </w:rPr>
        <w:t>3.评审</w:t>
      </w:r>
      <w:r>
        <w:rPr>
          <w:rFonts w:hint="eastAsia" w:ascii="宋体" w:hAnsi="宋体" w:eastAsia="宋体" w:cs="宋体"/>
          <w:i w:val="0"/>
          <w:iCs w:val="0"/>
          <w:caps w:val="0"/>
          <w:color w:val="auto"/>
          <w:spacing w:val="0"/>
          <w:kern w:val="0"/>
          <w:sz w:val="24"/>
          <w:szCs w:val="24"/>
          <w:shd w:val="clear" w:color="auto" w:fill="FFFFFF"/>
          <w:lang w:val="en-US" w:eastAsia="zh-CN" w:bidi="ar"/>
        </w:rPr>
        <w:t>方式：院内遴选（综合评分法）</w:t>
      </w:r>
    </w:p>
    <w:p w14:paraId="2D2A695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cs="宋体"/>
          <w:i w:val="0"/>
          <w:iCs w:val="0"/>
          <w:caps w:val="0"/>
          <w:color w:val="auto"/>
          <w:spacing w:val="0"/>
          <w:kern w:val="0"/>
          <w:sz w:val="24"/>
          <w:szCs w:val="24"/>
          <w:shd w:val="clear" w:color="auto" w:fill="FFFFFF"/>
          <w:lang w:val="en-US" w:eastAsia="zh-CN" w:bidi="ar"/>
        </w:rPr>
        <w:t>4</w:t>
      </w:r>
      <w:r>
        <w:rPr>
          <w:rFonts w:hint="eastAsia" w:ascii="宋体" w:hAnsi="宋体" w:eastAsia="宋体" w:cs="宋体"/>
          <w:i w:val="0"/>
          <w:iCs w:val="0"/>
          <w:caps w:val="0"/>
          <w:color w:val="auto"/>
          <w:spacing w:val="0"/>
          <w:kern w:val="0"/>
          <w:sz w:val="24"/>
          <w:szCs w:val="24"/>
          <w:shd w:val="clear" w:color="auto" w:fill="FFFFFF"/>
          <w:lang w:val="en-US" w:eastAsia="zh-CN" w:bidi="ar"/>
        </w:rPr>
        <w:t>.项目内容：遴选1家具有丰富经验、专业团队和良好信誉的食堂经营服务商，以提高医院食堂整体服务水平，提供职工、患者及家属优质及干净卫生的餐饮服务。具体要求详见遴选文件用户需求书。</w:t>
      </w:r>
    </w:p>
    <w:p w14:paraId="47DFDA47">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cs="宋体"/>
          <w:i w:val="0"/>
          <w:iCs w:val="0"/>
          <w:caps w:val="0"/>
          <w:color w:val="auto"/>
          <w:spacing w:val="0"/>
          <w:kern w:val="0"/>
          <w:sz w:val="24"/>
          <w:szCs w:val="24"/>
          <w:shd w:val="clear" w:color="auto" w:fill="FFFFFF"/>
          <w:lang w:val="en-US" w:eastAsia="zh-CN" w:bidi="ar"/>
        </w:rPr>
        <w:t>5</w:t>
      </w:r>
      <w:r>
        <w:rPr>
          <w:rFonts w:hint="eastAsia" w:ascii="宋体" w:hAnsi="宋体" w:eastAsia="宋体" w:cs="宋体"/>
          <w:i w:val="0"/>
          <w:iCs w:val="0"/>
          <w:caps w:val="0"/>
          <w:color w:val="auto"/>
          <w:spacing w:val="0"/>
          <w:kern w:val="0"/>
          <w:sz w:val="24"/>
          <w:szCs w:val="24"/>
          <w:shd w:val="clear" w:color="auto" w:fill="FFFFFF"/>
          <w:lang w:val="en-US" w:eastAsia="zh-CN" w:bidi="ar"/>
        </w:rPr>
        <w:t>.注:本文件所称“业主方”即中山市东升医院；“服务商”即有意参与本项目遴选的各公司。</w:t>
      </w:r>
    </w:p>
    <w:tbl>
      <w:tblPr>
        <w:tblStyle w:val="20"/>
        <w:tblW w:w="9192" w:type="dxa"/>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65"/>
        <w:gridCol w:w="1994"/>
        <w:gridCol w:w="2371"/>
        <w:gridCol w:w="2088"/>
        <w:gridCol w:w="1974"/>
      </w:tblGrid>
      <w:tr w14:paraId="0A11B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52" w:hRule="atLeast"/>
        </w:trPr>
        <w:tc>
          <w:tcPr>
            <w:tcW w:w="765" w:type="dxa"/>
            <w:shd w:val="clear" w:color="auto" w:fill="F2F2F2"/>
            <w:tcMar>
              <w:left w:w="105" w:type="dxa"/>
              <w:right w:w="105" w:type="dxa"/>
            </w:tcMar>
            <w:vAlign w:val="center"/>
          </w:tcPr>
          <w:p w14:paraId="0B11FE06">
            <w:pPr>
              <w:pStyle w:val="17"/>
              <w:widowControl/>
              <w:spacing w:beforeAutospacing="0" w:afterAutospacing="0"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94" w:type="dxa"/>
            <w:shd w:val="clear" w:color="auto" w:fill="F2F2F2"/>
            <w:tcMar>
              <w:left w:w="105" w:type="dxa"/>
              <w:right w:w="105" w:type="dxa"/>
            </w:tcMar>
            <w:vAlign w:val="center"/>
          </w:tcPr>
          <w:p w14:paraId="59BBD523">
            <w:pPr>
              <w:pStyle w:val="17"/>
              <w:widowControl/>
              <w:spacing w:beforeAutospacing="0" w:afterAutospacing="0"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371" w:type="dxa"/>
            <w:shd w:val="clear" w:color="auto" w:fill="F2F2F2"/>
            <w:tcMar>
              <w:left w:w="105" w:type="dxa"/>
              <w:right w:w="105" w:type="dxa"/>
            </w:tcMar>
            <w:vAlign w:val="center"/>
          </w:tcPr>
          <w:p w14:paraId="3898E5AE">
            <w:pPr>
              <w:pStyle w:val="17"/>
              <w:widowControl/>
              <w:spacing w:beforeAutospacing="0" w:afterAutospacing="0"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资金来源</w:t>
            </w:r>
            <w:r>
              <w:rPr>
                <w:rFonts w:hint="eastAsia" w:ascii="宋体" w:hAnsi="宋体" w:eastAsia="宋体" w:cs="宋体"/>
                <w:color w:val="auto"/>
                <w:sz w:val="24"/>
                <w:szCs w:val="24"/>
                <w:highlight w:val="none"/>
              </w:rPr>
              <w:t>（元）</w:t>
            </w:r>
          </w:p>
        </w:tc>
        <w:tc>
          <w:tcPr>
            <w:tcW w:w="2088" w:type="dxa"/>
            <w:shd w:val="clear" w:color="auto" w:fill="F2F2F2"/>
            <w:tcMar>
              <w:left w:w="105" w:type="dxa"/>
              <w:right w:w="105" w:type="dxa"/>
            </w:tcMar>
            <w:vAlign w:val="center"/>
          </w:tcPr>
          <w:p w14:paraId="1C79C84D">
            <w:pPr>
              <w:pStyle w:val="17"/>
              <w:widowControl/>
              <w:spacing w:beforeAutospacing="0" w:afterAutospacing="0" w:line="360" w:lineRule="auto"/>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服务期</w:t>
            </w:r>
          </w:p>
        </w:tc>
        <w:tc>
          <w:tcPr>
            <w:tcW w:w="1974" w:type="dxa"/>
            <w:shd w:val="clear" w:color="auto" w:fill="F2F2F2"/>
            <w:tcMar>
              <w:left w:w="105" w:type="dxa"/>
              <w:right w:w="105" w:type="dxa"/>
            </w:tcMar>
            <w:vAlign w:val="center"/>
          </w:tcPr>
          <w:p w14:paraId="6944A377">
            <w:pPr>
              <w:pStyle w:val="17"/>
              <w:widowControl/>
              <w:spacing w:beforeAutospacing="0" w:afterAutospacing="0" w:line="360" w:lineRule="auto"/>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04202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4" w:hRule="atLeast"/>
        </w:trPr>
        <w:tc>
          <w:tcPr>
            <w:tcW w:w="765" w:type="dxa"/>
            <w:shd w:val="clear" w:color="auto" w:fill="FFFFFF"/>
            <w:noWrap/>
            <w:tcMar>
              <w:left w:w="105" w:type="dxa"/>
              <w:right w:w="105" w:type="dxa"/>
            </w:tcMar>
            <w:vAlign w:val="center"/>
          </w:tcPr>
          <w:p w14:paraId="462C8498">
            <w:pPr>
              <w:pStyle w:val="17"/>
              <w:widowControl/>
              <w:spacing w:beforeAutospacing="0" w:afterAutospacing="0"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94" w:type="dxa"/>
            <w:shd w:val="clear" w:color="auto" w:fill="FFFFFF"/>
            <w:noWrap/>
            <w:tcMar>
              <w:left w:w="105" w:type="dxa"/>
              <w:right w:w="105" w:type="dxa"/>
            </w:tcMar>
            <w:vAlign w:val="center"/>
          </w:tcPr>
          <w:p w14:paraId="5A4DF229">
            <w:pPr>
              <w:pStyle w:val="17"/>
              <w:widowControl/>
              <w:spacing w:beforeAutospacing="0" w:afterAutospacing="0" w:line="360" w:lineRule="auto"/>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中山市东升医院食堂服务项目</w:t>
            </w:r>
          </w:p>
        </w:tc>
        <w:tc>
          <w:tcPr>
            <w:tcW w:w="2371" w:type="dxa"/>
            <w:shd w:val="clear" w:color="auto" w:fill="FFFFFF"/>
            <w:noWrap/>
            <w:tcMar>
              <w:left w:w="105" w:type="dxa"/>
              <w:right w:w="105" w:type="dxa"/>
            </w:tcMar>
            <w:vAlign w:val="center"/>
          </w:tcPr>
          <w:p w14:paraId="050DE6A4">
            <w:pPr>
              <w:pStyle w:val="17"/>
              <w:widowControl/>
              <w:numPr>
                <w:ilvl w:val="0"/>
                <w:numId w:val="0"/>
              </w:numPr>
              <w:spacing w:beforeAutospacing="0" w:afterAutospacing="0" w:line="360" w:lineRule="auto"/>
              <w:jc w:val="left"/>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资金来源：医院补贴部分+职工自付部分</w:t>
            </w:r>
          </w:p>
        </w:tc>
        <w:tc>
          <w:tcPr>
            <w:tcW w:w="2088" w:type="dxa"/>
            <w:shd w:val="clear" w:color="auto" w:fill="FFFFFF"/>
            <w:noWrap/>
            <w:tcMar>
              <w:left w:w="105" w:type="dxa"/>
              <w:right w:w="105" w:type="dxa"/>
            </w:tcMar>
            <w:vAlign w:val="center"/>
          </w:tcPr>
          <w:p w14:paraId="04AF5AB7">
            <w:pPr>
              <w:pStyle w:val="17"/>
              <w:widowControl/>
              <w:spacing w:beforeAutospacing="0" w:afterAutospacing="0" w:line="360" w:lineRule="auto"/>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
              </w:rPr>
              <w:t>自服务合同生效之日起</w:t>
            </w:r>
            <w:r>
              <w:rPr>
                <w:rFonts w:hint="eastAsia" w:ascii="宋体" w:hAnsi="宋体" w:eastAsia="宋体" w:cs="宋体"/>
                <w:i w:val="0"/>
                <w:iCs w:val="0"/>
                <w:caps w:val="0"/>
                <w:color w:val="auto"/>
                <w:spacing w:val="0"/>
                <w:kern w:val="0"/>
                <w:sz w:val="24"/>
                <w:szCs w:val="24"/>
                <w:u w:val="single"/>
                <w:shd w:val="clear" w:color="auto" w:fill="FFFFFF"/>
                <w:lang w:val="en-US" w:eastAsia="zh-CN" w:bidi="ar"/>
              </w:rPr>
              <w:t xml:space="preserve"> 一 </w:t>
            </w:r>
            <w:r>
              <w:rPr>
                <w:rFonts w:hint="eastAsia" w:ascii="宋体" w:hAnsi="宋体" w:eastAsia="宋体" w:cs="宋体"/>
                <w:i w:val="0"/>
                <w:iCs w:val="0"/>
                <w:caps w:val="0"/>
                <w:color w:val="auto"/>
                <w:spacing w:val="0"/>
                <w:kern w:val="0"/>
                <w:sz w:val="24"/>
                <w:szCs w:val="24"/>
                <w:shd w:val="clear" w:color="auto" w:fill="FFFFFF"/>
                <w:lang w:val="en-US" w:eastAsia="zh-CN" w:bidi="ar"/>
              </w:rPr>
              <w:t>年</w:t>
            </w:r>
          </w:p>
        </w:tc>
        <w:tc>
          <w:tcPr>
            <w:tcW w:w="1974" w:type="dxa"/>
            <w:shd w:val="clear" w:color="auto" w:fill="FFFFFF"/>
            <w:noWrap/>
            <w:tcMar>
              <w:left w:w="105" w:type="dxa"/>
              <w:right w:w="105" w:type="dxa"/>
            </w:tcMar>
            <w:vAlign w:val="center"/>
          </w:tcPr>
          <w:p w14:paraId="446FDDD9">
            <w:pPr>
              <w:pStyle w:val="17"/>
              <w:widowControl/>
              <w:numPr>
                <w:ilvl w:val="0"/>
                <w:numId w:val="0"/>
              </w:numPr>
              <w:spacing w:beforeAutospacing="0" w:afterAutospacing="0" w:line="360" w:lineRule="auto"/>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
              </w:rPr>
              <w:t>项目具体要求，详见遴选文件。</w:t>
            </w:r>
          </w:p>
        </w:tc>
      </w:tr>
    </w:tbl>
    <w:p w14:paraId="730164F7">
      <w:pPr>
        <w:pStyle w:val="17"/>
        <w:widowControl/>
        <w:numPr>
          <w:ilvl w:val="0"/>
          <w:numId w:val="1"/>
        </w:numPr>
        <w:spacing w:beforeAutospacing="0" w:afterAutospacing="0" w:line="360" w:lineRule="auto"/>
        <w:ind w:firstLine="0"/>
        <w:textAlignment w:val="baseline"/>
        <w:rPr>
          <w:rFonts w:hint="eastAsia" w:ascii="宋体" w:hAnsi="宋体" w:eastAsia="宋体" w:cs="宋体"/>
          <w:color w:val="auto"/>
          <w:sz w:val="24"/>
          <w:szCs w:val="24"/>
          <w:highlight w:val="none"/>
        </w:rPr>
      </w:pPr>
      <w:r>
        <w:rPr>
          <w:rStyle w:val="23"/>
          <w:rFonts w:hint="eastAsia" w:ascii="宋体" w:hAnsi="宋体" w:eastAsia="宋体" w:cs="宋体"/>
          <w:bCs/>
          <w:color w:val="auto"/>
          <w:sz w:val="24"/>
          <w:szCs w:val="24"/>
          <w:highlight w:val="none"/>
          <w:shd w:val="clear" w:color="auto" w:fill="FFFFFF"/>
          <w:lang w:val="en-US" w:eastAsia="zh-CN"/>
        </w:rPr>
        <w:t>服务商</w:t>
      </w:r>
      <w:r>
        <w:rPr>
          <w:rStyle w:val="23"/>
          <w:rFonts w:hint="eastAsia" w:ascii="宋体" w:hAnsi="宋体" w:eastAsia="宋体" w:cs="宋体"/>
          <w:bCs/>
          <w:color w:val="auto"/>
          <w:sz w:val="24"/>
          <w:szCs w:val="24"/>
          <w:highlight w:val="none"/>
          <w:shd w:val="clear" w:color="auto" w:fill="FFFFFF"/>
        </w:rPr>
        <w:t>的资格要求</w:t>
      </w:r>
    </w:p>
    <w:p w14:paraId="3EB44722">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具有独立承担民事责任的能力：提供在中华人民共和国境内注册的法人或其他组织的营业执照或事业单位法人证书或社会团体法人登记证书扫描件及食品药品经营许可证扫描件；如国家另有规定的，则从其规定。且营业范围包括餐饮管理或饮食管理或食品经营管理。</w:t>
      </w:r>
    </w:p>
    <w:p w14:paraId="03538BC7">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2.有依法缴纳税收和社会保障资金的良好记录：报名截止日前6个月内任意1个月依法缴纳税收和社会保障资金的相关材料。如依法免税或不需要缴纳社会保障资金的，提供相应证明材料。</w:t>
      </w:r>
    </w:p>
    <w:p w14:paraId="00386F66">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3.具有良好的商业信誉和健全的财务会计制度：提供2024年度财务状况报告扫描件或报名截止日前6个月内任意1个月的财务报表扫描件或基本开户行出具的资信证明扫描件。</w:t>
      </w:r>
    </w:p>
    <w:p w14:paraId="68DC76A9">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4.履行合同所必需的设备和专业技术能力：提供“具有履行合同所必需的设备和专业技术能力”的声明或承诺，或提供“具有设备和专业技术能力（人员）”的相关证明资料，或提供《设备和专业技术能力（人员）情况表》（格式自拟）。</w:t>
      </w:r>
    </w:p>
    <w:p w14:paraId="4D9A5686">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5.参加本次遴选活动前三年内，在经营活动中没有重大违法记录，提供承诺函。重大违法记录，是指供应商因违法经营受到刑事处罚或者责令停产停业、吊销许可证或者执照、较大数额罚款等行政处罚。若投标人同时提供承诺函和证明材料的，资格审查时以证明材料为准。（根据财库〔2022〕3号文，“较大数额罚款”认定为200万元以上的罚款，法律、行政法规以及国务院有关部门明确规定相关领域“较大数额罚款”标准高于200万元的，从其规定）。</w:t>
      </w:r>
    </w:p>
    <w:p w14:paraId="5438E04D">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6.参选公司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14:paraId="6B400AE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7.单位负责人为同一人或者存在直接控股、管理关系的不同参选公司，不得同时参加本项目。参选公司提供承诺函。</w:t>
      </w:r>
    </w:p>
    <w:p w14:paraId="54D8275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baseline"/>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投标人须具备有效的《食品药品经营许可证》或《食品经营许可证》（或同等含义的相关证书），许可证过期的，如能提供相关部门顺延证书有效期的文件，且符合文件规定的，则视为仍然有效。如投标人的许可证书与营业执照合并办理的，提供扫描营业执照二维码后的有效备案信息截图。</w:t>
      </w:r>
    </w:p>
    <w:p w14:paraId="0C957B84">
      <w:pPr>
        <w:pStyle w:val="1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Style w:val="23"/>
          <w:rFonts w:hint="eastAsia" w:ascii="宋体" w:hAnsi="宋体" w:eastAsia="宋体" w:cs="宋体"/>
          <w:b/>
          <w:bCs/>
          <w:i w:val="0"/>
          <w:iCs w:val="0"/>
          <w:caps w:val="0"/>
          <w:color w:val="auto"/>
          <w:spacing w:val="0"/>
          <w:sz w:val="24"/>
          <w:szCs w:val="24"/>
          <w:highlight w:val="none"/>
          <w:shd w:val="clear" w:fill="FFFFFF"/>
          <w:vertAlign w:val="baseline"/>
          <w:lang w:val="en-US"/>
        </w:rPr>
      </w:pPr>
      <w:r>
        <w:rPr>
          <w:rStyle w:val="23"/>
          <w:rFonts w:hint="eastAsia" w:ascii="宋体" w:hAnsi="宋体" w:eastAsia="宋体" w:cs="宋体"/>
          <w:b/>
          <w:bCs/>
          <w:i w:val="0"/>
          <w:iCs w:val="0"/>
          <w:caps w:val="0"/>
          <w:color w:val="auto"/>
          <w:spacing w:val="0"/>
          <w:sz w:val="24"/>
          <w:szCs w:val="24"/>
          <w:highlight w:val="none"/>
          <w:shd w:val="clear" w:fill="FFFFFF"/>
          <w:vertAlign w:val="baseline"/>
          <w:lang w:val="en-US" w:eastAsia="zh-CN"/>
        </w:rPr>
        <w:t>报名截止时间、响应文件递交方式</w:t>
      </w:r>
    </w:p>
    <w:p w14:paraId="0E8D7C1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textAlignment w:val="baseline"/>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1.报名</w:t>
      </w:r>
      <w:r>
        <w:rPr>
          <w:rFonts w:hint="eastAsia" w:ascii="宋体" w:hAnsi="宋体" w:eastAsia="宋体" w:cs="宋体"/>
          <w:i w:val="0"/>
          <w:iCs w:val="0"/>
          <w:caps w:val="0"/>
          <w:color w:val="auto"/>
          <w:spacing w:val="0"/>
          <w:sz w:val="24"/>
          <w:szCs w:val="24"/>
          <w:highlight w:val="none"/>
          <w:shd w:val="clear" w:fill="FFFFFF"/>
        </w:rPr>
        <w:t>截止时间：</w:t>
      </w:r>
      <w:r>
        <w:rPr>
          <w:rFonts w:hint="eastAsia" w:ascii="宋体" w:hAnsi="宋体" w:eastAsia="宋体" w:cs="宋体"/>
          <w:i w:val="0"/>
          <w:iCs w:val="0"/>
          <w:caps w:val="0"/>
          <w:color w:val="auto"/>
          <w:spacing w:val="0"/>
          <w:sz w:val="24"/>
          <w:szCs w:val="24"/>
          <w:highlight w:val="none"/>
          <w:shd w:val="clear" w:fill="FFFFFF"/>
          <w:lang w:val="en-US" w:eastAsia="zh-CN"/>
        </w:rPr>
        <w:t>2025</w:t>
      </w:r>
      <w:r>
        <w:rPr>
          <w:rFonts w:hint="eastAsia" w:ascii="宋体" w:hAnsi="宋体" w:eastAsia="宋体" w:cs="宋体"/>
          <w:i w:val="0"/>
          <w:iCs w:val="0"/>
          <w:caps w:val="0"/>
          <w:color w:val="auto"/>
          <w:spacing w:val="0"/>
          <w:sz w:val="24"/>
          <w:szCs w:val="24"/>
          <w:highlight w:val="none"/>
          <w:shd w:val="clear" w:fill="FFFFFF"/>
        </w:rPr>
        <w:t>年</w:t>
      </w:r>
      <w:r>
        <w:rPr>
          <w:rFonts w:hint="eastAsia"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rPr>
        <w:t>月</w:t>
      </w:r>
      <w:r>
        <w:rPr>
          <w:rFonts w:hint="eastAsia" w:cs="宋体"/>
          <w:i w:val="0"/>
          <w:iCs w:val="0"/>
          <w:caps w:val="0"/>
          <w:color w:val="auto"/>
          <w:spacing w:val="0"/>
          <w:sz w:val="24"/>
          <w:szCs w:val="24"/>
          <w:highlight w:val="none"/>
          <w:shd w:val="clear" w:fill="FFFFFF"/>
          <w:lang w:val="en-US" w:eastAsia="zh-CN"/>
        </w:rPr>
        <w:t>15</w:t>
      </w:r>
      <w:r>
        <w:rPr>
          <w:rFonts w:hint="eastAsia" w:ascii="宋体" w:hAnsi="宋体" w:eastAsia="宋体" w:cs="宋体"/>
          <w:i w:val="0"/>
          <w:iCs w:val="0"/>
          <w:caps w:val="0"/>
          <w:color w:val="auto"/>
          <w:spacing w:val="0"/>
          <w:sz w:val="24"/>
          <w:szCs w:val="24"/>
          <w:highlight w:val="none"/>
          <w:shd w:val="clear" w:fill="FFFFFF"/>
        </w:rPr>
        <w:t>日</w:t>
      </w:r>
      <w:r>
        <w:rPr>
          <w:rFonts w:hint="eastAsia" w:cs="宋体"/>
          <w:i w:val="0"/>
          <w:iCs w:val="0"/>
          <w:caps w:val="0"/>
          <w:color w:val="auto"/>
          <w:spacing w:val="0"/>
          <w:sz w:val="24"/>
          <w:szCs w:val="24"/>
          <w:highlight w:val="none"/>
          <w:shd w:val="clear" w:fill="FFFFFF"/>
          <w:lang w:val="en-US" w:eastAsia="zh-CN"/>
        </w:rPr>
        <w:t>12:00</w:t>
      </w:r>
      <w:r>
        <w:rPr>
          <w:rFonts w:hint="eastAsia" w:ascii="宋体" w:hAnsi="宋体" w:eastAsia="宋体" w:cs="宋体"/>
          <w:i w:val="0"/>
          <w:iCs w:val="0"/>
          <w:caps w:val="0"/>
          <w:color w:val="auto"/>
          <w:spacing w:val="0"/>
          <w:sz w:val="24"/>
          <w:szCs w:val="24"/>
          <w:highlight w:val="none"/>
          <w:shd w:val="clear" w:fill="FFFFFF"/>
        </w:rPr>
        <w:t>（北京时间）</w:t>
      </w:r>
    </w:p>
    <w:p w14:paraId="75696558">
      <w:pPr>
        <w:pStyle w:val="17"/>
        <w:widowControl/>
        <w:numPr>
          <w:ilvl w:val="0"/>
          <w:numId w:val="0"/>
        </w:numPr>
        <w:shd w:val="clear" w:color="auto" w:fill="FFFFFF"/>
        <w:spacing w:beforeAutospacing="0" w:afterAutospacing="0" w:line="360" w:lineRule="auto"/>
        <w:ind w:leftChars="0"/>
        <w:jc w:val="both"/>
        <w:textAlignment w:val="baseline"/>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SA"/>
        </w:rPr>
        <w:t>2.以上资料（招标文件格式附模版，一正二副）可通过现场提交或邮寄方式提交，3.递交地址：中山市小榄镇兆隆路一号东升医院行政楼三楼总务科。</w:t>
      </w:r>
    </w:p>
    <w:p w14:paraId="70CDE650">
      <w:pPr>
        <w:pStyle w:val="17"/>
        <w:widowControl/>
        <w:numPr>
          <w:ilvl w:val="0"/>
          <w:numId w:val="0"/>
        </w:numPr>
        <w:shd w:val="clear" w:color="auto" w:fill="FFFFFF"/>
        <w:spacing w:beforeAutospacing="0" w:afterAutospacing="0" w:line="360" w:lineRule="auto"/>
        <w:ind w:leftChars="0"/>
        <w:jc w:val="both"/>
        <w:textAlignment w:val="baseline"/>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SA"/>
        </w:rPr>
        <w:t>4.联系人：梁工</w:t>
      </w:r>
    </w:p>
    <w:p w14:paraId="2859E717">
      <w:pPr>
        <w:pStyle w:val="17"/>
        <w:widowControl/>
        <w:numPr>
          <w:ilvl w:val="0"/>
          <w:numId w:val="0"/>
        </w:numPr>
        <w:shd w:val="clear" w:color="auto" w:fill="FFFFFF"/>
        <w:spacing w:beforeAutospacing="0" w:afterAutospacing="0" w:line="360" w:lineRule="auto"/>
        <w:ind w:leftChars="0"/>
        <w:jc w:val="both"/>
        <w:textAlignment w:val="baseline"/>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SA"/>
        </w:rPr>
        <w:t>5.联系电话：0760-88889925</w:t>
      </w:r>
    </w:p>
    <w:p w14:paraId="03A3F2EE">
      <w:pPr>
        <w:pStyle w:val="17"/>
        <w:widowControl/>
        <w:numPr>
          <w:ilvl w:val="0"/>
          <w:numId w:val="0"/>
        </w:numPr>
        <w:shd w:val="clear" w:color="auto" w:fill="FFFFFF"/>
        <w:spacing w:beforeAutospacing="0" w:afterAutospacing="0" w:line="360" w:lineRule="auto"/>
        <w:ind w:leftChars="0"/>
        <w:jc w:val="both"/>
        <w:textAlignment w:val="baseline"/>
        <w:rPr>
          <w:rFonts w:hint="eastAsia" w:ascii="宋体" w:hAnsi="宋体" w:eastAsia="宋体" w:cs="宋体"/>
          <w:b/>
          <w:bCs/>
          <w:color w:val="auto"/>
          <w:sz w:val="24"/>
          <w:szCs w:val="24"/>
          <w:highlight w:val="none"/>
        </w:rPr>
      </w:pPr>
      <w:r>
        <w:rPr>
          <w:rStyle w:val="23"/>
          <w:rFonts w:hint="eastAsia" w:ascii="宋体" w:hAnsi="宋体" w:eastAsia="宋体" w:cs="宋体"/>
          <w:bCs/>
          <w:color w:val="auto"/>
          <w:sz w:val="24"/>
          <w:szCs w:val="24"/>
          <w:highlight w:val="none"/>
          <w:shd w:val="clear" w:color="auto" w:fill="FFFFFF"/>
          <w:lang w:eastAsia="zh-CN"/>
        </w:rPr>
        <w:t>四、</w:t>
      </w:r>
      <w:r>
        <w:rPr>
          <w:rStyle w:val="23"/>
          <w:rFonts w:hint="eastAsia" w:ascii="宋体" w:hAnsi="宋体" w:eastAsia="宋体" w:cs="宋体"/>
          <w:bCs/>
          <w:color w:val="auto"/>
          <w:sz w:val="24"/>
          <w:szCs w:val="24"/>
          <w:highlight w:val="none"/>
          <w:shd w:val="clear" w:color="auto" w:fill="FFFFFF"/>
        </w:rPr>
        <w:t>公告期限</w:t>
      </w:r>
    </w:p>
    <w:p w14:paraId="4F52BF2A">
      <w:pPr>
        <w:pStyle w:val="17"/>
        <w:widowControl/>
        <w:shd w:val="clear" w:color="auto" w:fill="FFFFFF"/>
        <w:spacing w:beforeAutospacing="0" w:afterAutospacing="0" w:line="360" w:lineRule="auto"/>
        <w:ind w:firstLine="420"/>
        <w:textAlignment w:val="baseline"/>
        <w:rPr>
          <w:rStyle w:val="23"/>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自本公告发布之日起</w:t>
      </w:r>
      <w:r>
        <w:rPr>
          <w:rFonts w:hint="eastAsia" w:cs="宋体"/>
          <w:color w:val="auto"/>
          <w:sz w:val="24"/>
          <w:szCs w:val="24"/>
          <w:highlight w:val="none"/>
          <w:shd w:val="clear" w:color="auto" w:fill="FFFFFF"/>
          <w:lang w:val="en-US" w:eastAsia="zh-CN"/>
        </w:rPr>
        <w:t>5</w:t>
      </w:r>
      <w:r>
        <w:rPr>
          <w:rFonts w:hint="eastAsia" w:ascii="宋体" w:hAnsi="宋体" w:eastAsia="宋体" w:cs="宋体"/>
          <w:color w:val="auto"/>
          <w:sz w:val="24"/>
          <w:szCs w:val="24"/>
          <w:highlight w:val="none"/>
          <w:shd w:val="clear" w:color="auto" w:fill="FFFFFF"/>
        </w:rPr>
        <w:t>个工作日。</w:t>
      </w:r>
    </w:p>
    <w:p w14:paraId="39C93A53">
      <w:pPr>
        <w:pStyle w:val="17"/>
        <w:widowControl/>
        <w:numPr>
          <w:ilvl w:val="0"/>
          <w:numId w:val="0"/>
        </w:numPr>
        <w:shd w:val="clear" w:color="auto" w:fill="FFFFFF"/>
        <w:spacing w:beforeAutospacing="0" w:afterAutospacing="0" w:line="360" w:lineRule="auto"/>
        <w:ind w:leftChars="0"/>
        <w:jc w:val="both"/>
        <w:textAlignment w:val="baseline"/>
        <w:rPr>
          <w:rFonts w:hint="eastAsia" w:ascii="宋体" w:hAnsi="宋体" w:eastAsia="宋体" w:cs="宋体"/>
          <w:b/>
          <w:bCs/>
          <w:color w:val="auto"/>
          <w:sz w:val="24"/>
          <w:szCs w:val="24"/>
          <w:highlight w:val="none"/>
        </w:rPr>
      </w:pPr>
      <w:r>
        <w:rPr>
          <w:rStyle w:val="23"/>
          <w:rFonts w:hint="eastAsia" w:ascii="宋体" w:hAnsi="宋体" w:eastAsia="宋体" w:cs="宋体"/>
          <w:bCs/>
          <w:color w:val="auto"/>
          <w:sz w:val="24"/>
          <w:szCs w:val="24"/>
          <w:highlight w:val="none"/>
          <w:shd w:val="clear" w:color="auto" w:fill="FFFFFF"/>
          <w:lang w:val="en-US" w:eastAsia="zh-CN"/>
        </w:rPr>
        <w:t>五、响应</w:t>
      </w:r>
      <w:r>
        <w:rPr>
          <w:rStyle w:val="23"/>
          <w:rFonts w:hint="eastAsia" w:ascii="宋体" w:hAnsi="宋体" w:eastAsia="宋体" w:cs="宋体"/>
          <w:bCs/>
          <w:color w:val="auto"/>
          <w:sz w:val="24"/>
          <w:szCs w:val="24"/>
          <w:highlight w:val="none"/>
          <w:shd w:val="clear" w:color="auto" w:fill="FFFFFF"/>
          <w:lang w:eastAsia="zh-CN"/>
        </w:rPr>
        <w:t>文件</w:t>
      </w:r>
      <w:r>
        <w:rPr>
          <w:rStyle w:val="23"/>
          <w:rFonts w:hint="eastAsia" w:ascii="宋体" w:hAnsi="宋体" w:eastAsia="宋体" w:cs="宋体"/>
          <w:bCs/>
          <w:color w:val="auto"/>
          <w:sz w:val="24"/>
          <w:szCs w:val="24"/>
          <w:highlight w:val="none"/>
          <w:shd w:val="clear" w:color="auto" w:fill="FFFFFF"/>
        </w:rPr>
        <w:t>要求</w:t>
      </w:r>
    </w:p>
    <w:p w14:paraId="41A050E6">
      <w:pPr>
        <w:pStyle w:val="1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709" w:leftChars="0" w:hanging="709" w:firstLineChars="0"/>
        <w:textAlignment w:val="auto"/>
        <w:rPr>
          <w:rFonts w:hint="eastAsia" w:ascii="宋体" w:hAnsi="宋体" w:eastAsia="宋体" w:cs="宋体"/>
          <w:color w:val="auto"/>
          <w:sz w:val="24"/>
          <w:szCs w:val="24"/>
          <w:highlight w:val="none"/>
        </w:rPr>
      </w:pPr>
      <w:r>
        <w:rPr>
          <w:rFonts w:hint="eastAsia" w:hAnsi="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shd w:val="clear" w:color="auto" w:fill="FFFFFF"/>
        </w:rPr>
        <w:t>报名时请各</w:t>
      </w:r>
      <w:r>
        <w:rPr>
          <w:rFonts w:hint="eastAsia" w:ascii="宋体" w:hAnsi="宋体" w:eastAsia="宋体" w:cs="宋体"/>
          <w:color w:val="auto"/>
          <w:sz w:val="24"/>
          <w:szCs w:val="24"/>
          <w:highlight w:val="none"/>
          <w:shd w:val="clear" w:color="auto" w:fill="FFFFFF"/>
          <w:lang w:val="en-US" w:eastAsia="zh-CN"/>
        </w:rPr>
        <w:t>服务商</w:t>
      </w:r>
      <w:r>
        <w:rPr>
          <w:rFonts w:hint="eastAsia" w:ascii="宋体" w:hAnsi="宋体" w:eastAsia="宋体" w:cs="宋体"/>
          <w:color w:val="auto"/>
          <w:sz w:val="24"/>
          <w:szCs w:val="24"/>
          <w:highlight w:val="none"/>
          <w:shd w:val="clear" w:color="auto" w:fill="FFFFFF"/>
        </w:rPr>
        <w:t>按照</w:t>
      </w:r>
      <w:r>
        <w:rPr>
          <w:rFonts w:hint="eastAsia" w:ascii="宋体" w:hAnsi="宋体" w:eastAsia="宋体" w:cs="宋体"/>
          <w:color w:val="auto"/>
          <w:sz w:val="24"/>
          <w:szCs w:val="24"/>
          <w:highlight w:val="none"/>
          <w:shd w:val="clear" w:color="auto" w:fill="FFFFFF"/>
          <w:lang w:val="en-US" w:eastAsia="zh-CN"/>
        </w:rPr>
        <w:t>响应文件模版</w:t>
      </w:r>
      <w:r>
        <w:rPr>
          <w:rFonts w:hint="eastAsia" w:ascii="宋体" w:hAnsi="宋体" w:eastAsia="宋体" w:cs="宋体"/>
          <w:color w:val="auto"/>
          <w:sz w:val="24"/>
          <w:szCs w:val="24"/>
          <w:highlight w:val="none"/>
          <w:shd w:val="clear" w:color="auto" w:fill="FFFFFF"/>
        </w:rPr>
        <w:t>要求提供完整的</w:t>
      </w:r>
      <w:r>
        <w:rPr>
          <w:rFonts w:hint="eastAsia" w:ascii="宋体" w:hAnsi="宋体" w:eastAsia="宋体" w:cs="宋体"/>
          <w:color w:val="auto"/>
          <w:sz w:val="24"/>
          <w:szCs w:val="24"/>
          <w:highlight w:val="none"/>
          <w:shd w:val="clear" w:color="auto" w:fill="FFFFFF"/>
          <w:lang w:val="en-US" w:eastAsia="zh-CN"/>
        </w:rPr>
        <w:t>响应</w:t>
      </w:r>
      <w:r>
        <w:rPr>
          <w:rFonts w:hint="eastAsia" w:ascii="宋体" w:hAnsi="宋体" w:eastAsia="宋体" w:cs="宋体"/>
          <w:color w:val="auto"/>
          <w:sz w:val="24"/>
          <w:szCs w:val="24"/>
          <w:highlight w:val="none"/>
          <w:shd w:val="clear" w:color="auto" w:fill="FFFFFF"/>
          <w:lang w:eastAsia="zh-CN"/>
        </w:rPr>
        <w:t>文件</w:t>
      </w:r>
      <w:r>
        <w:rPr>
          <w:rFonts w:hint="eastAsia" w:ascii="宋体" w:hAnsi="宋体" w:eastAsia="宋体" w:cs="宋体"/>
          <w:color w:val="auto"/>
          <w:sz w:val="24"/>
          <w:szCs w:val="24"/>
          <w:highlight w:val="none"/>
        </w:rPr>
        <w:t>。</w:t>
      </w:r>
    </w:p>
    <w:p w14:paraId="13DF6DD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Fonts w:hint="eastAsia" w:ascii="宋体" w:hAnsi="宋体" w:eastAsia="宋体" w:cs="宋体"/>
          <w:b w:val="0"/>
          <w:bCs w:val="0"/>
          <w:i w:val="0"/>
          <w:iCs w:val="0"/>
          <w:caps w:val="0"/>
          <w:color w:val="auto"/>
          <w:spacing w:val="0"/>
          <w:kern w:val="0"/>
          <w:sz w:val="24"/>
          <w:szCs w:val="24"/>
          <w:highlight w:val="none"/>
          <w:shd w:val="clear" w:fill="FFFFFF"/>
          <w:vertAlign w:val="baseline"/>
          <w:lang w:val="en-US" w:eastAsia="zh-CN" w:bidi="ar-SA"/>
        </w:rPr>
        <w:t>2.</w:t>
      </w: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响应文件内容均需盖公章。</w:t>
      </w:r>
    </w:p>
    <w:p w14:paraId="7DB18198">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3.参与项目评标时所需资料（参考第三部分模板）：</w:t>
      </w:r>
    </w:p>
    <w:p w14:paraId="7E6FB13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（1）.投标函</w:t>
      </w:r>
    </w:p>
    <w:p w14:paraId="115F6899">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（2）.法定代表人证明和营业执照复印件及相关证件</w:t>
      </w:r>
    </w:p>
    <w:p w14:paraId="410496CA">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（3）.法定代表人授权委托书</w:t>
      </w:r>
    </w:p>
    <w:p w14:paraId="4541F20A">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（4）.投标资格声明函</w:t>
      </w:r>
    </w:p>
    <w:p w14:paraId="68B86849">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（5）.投标承诺书</w:t>
      </w:r>
    </w:p>
    <w:p w14:paraId="4142F14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（6）.供应商情况介绍表</w:t>
      </w:r>
    </w:p>
    <w:p w14:paraId="4CE5A021">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5" w:leftChars="0" w:right="0" w:rightChars="0" w:hanging="425" w:firstLineChars="0"/>
        <w:jc w:val="both"/>
        <w:textAlignment w:val="baseline"/>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Style w:val="23"/>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（7）.项目实施方案（包含售后服务方案）</w:t>
      </w:r>
    </w:p>
    <w:p w14:paraId="2712456F">
      <w:pPr>
        <w:pStyle w:val="17"/>
        <w:widowControl/>
        <w:numPr>
          <w:ilvl w:val="0"/>
          <w:numId w:val="0"/>
        </w:numPr>
        <w:shd w:val="clear" w:color="auto" w:fill="FFFFFF"/>
        <w:spacing w:beforeAutospacing="0" w:afterAutospacing="0" w:line="360" w:lineRule="auto"/>
        <w:ind w:leftChars="0"/>
        <w:jc w:val="both"/>
        <w:textAlignment w:val="baseline"/>
        <w:rPr>
          <w:rStyle w:val="23"/>
          <w:rFonts w:hint="eastAsia" w:ascii="宋体" w:hAnsi="宋体" w:eastAsia="宋体" w:cs="宋体"/>
          <w:bCs/>
          <w:color w:val="auto"/>
          <w:sz w:val="24"/>
          <w:szCs w:val="24"/>
          <w:highlight w:val="none"/>
          <w:shd w:val="clear" w:color="auto" w:fill="FFFFFF"/>
        </w:rPr>
      </w:pPr>
      <w:r>
        <w:rPr>
          <w:rStyle w:val="23"/>
          <w:rFonts w:hint="eastAsia" w:ascii="宋体" w:hAnsi="宋体" w:eastAsia="宋体" w:cs="宋体"/>
          <w:bCs/>
          <w:color w:val="auto"/>
          <w:sz w:val="24"/>
          <w:szCs w:val="24"/>
          <w:highlight w:val="none"/>
          <w:shd w:val="clear" w:color="auto" w:fill="FFFFFF"/>
          <w:lang w:val="en-US" w:eastAsia="zh-CN"/>
        </w:rPr>
        <w:t>六、其他补充事宜</w:t>
      </w:r>
    </w:p>
    <w:p w14:paraId="16ADADF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textAlignment w:val="baseline"/>
        <w:rPr>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Fonts w:hint="eastAsia" w:ascii="宋体" w:hAnsi="宋体" w:eastAsia="宋体" w:cs="宋体"/>
          <w:b w:val="0"/>
          <w:bCs w:val="0"/>
          <w:i w:val="0"/>
          <w:iCs w:val="0"/>
          <w:caps w:val="0"/>
          <w:color w:val="auto"/>
          <w:spacing w:val="0"/>
          <w:kern w:val="0"/>
          <w:sz w:val="24"/>
          <w:szCs w:val="24"/>
          <w:highlight w:val="none"/>
          <w:shd w:val="clear" w:fill="FFFFFF"/>
          <w:vertAlign w:val="baseline"/>
          <w:lang w:val="en-US" w:eastAsia="zh-CN" w:bidi="ar-SA"/>
        </w:rPr>
        <w:t>1.</w:t>
      </w:r>
      <w:r>
        <w:rPr>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如纸质文件与电子扫描件存在不一致，以纸质盖章版为准。</w:t>
      </w:r>
    </w:p>
    <w:p w14:paraId="5105B4F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200" w:right="0" w:rightChars="0"/>
        <w:textAlignment w:val="baseline"/>
        <w:rPr>
          <w:rFonts w:hint="default"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 xml:space="preserve">    2.本项目不得转包。</w:t>
      </w:r>
    </w:p>
    <w:p w14:paraId="2AD7EAA8">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textAlignment w:val="baseline"/>
        <w:rPr>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pPr>
      <w:r>
        <w:rPr>
          <w:rFonts w:hint="eastAsia" w:cs="宋体"/>
          <w:b w:val="0"/>
          <w:bCs w:val="0"/>
          <w:i w:val="0"/>
          <w:iCs w:val="0"/>
          <w:caps w:val="0"/>
          <w:color w:val="auto"/>
          <w:spacing w:val="0"/>
          <w:kern w:val="0"/>
          <w:sz w:val="24"/>
          <w:szCs w:val="24"/>
          <w:highlight w:val="none"/>
          <w:shd w:val="clear" w:fill="FFFFFF"/>
          <w:vertAlign w:val="baseline"/>
          <w:lang w:val="en-US" w:eastAsia="zh-CN" w:bidi="ar-SA"/>
        </w:rPr>
        <w:t>3.</w:t>
      </w:r>
      <w:r>
        <w:rPr>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本项目不接受联合体响应。</w:t>
      </w:r>
    </w:p>
    <w:p w14:paraId="0C90E6D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40"/>
        <w:jc w:val="right"/>
        <w:textAlignment w:val="baseline"/>
        <w:rPr>
          <w:rFonts w:hint="eastAsia" w:ascii="宋体" w:hAnsi="宋体" w:eastAsia="宋体" w:cs="宋体"/>
          <w:i w:val="0"/>
          <w:iCs w:val="0"/>
          <w:caps w:val="0"/>
          <w:color w:val="auto"/>
          <w:spacing w:val="0"/>
          <w:sz w:val="24"/>
          <w:szCs w:val="24"/>
          <w:highlight w:val="none"/>
          <w:shd w:val="clear" w:fill="FFFFFF"/>
          <w:vertAlign w:val="baseline"/>
          <w:lang w:val="en-US" w:eastAsia="zh-CN"/>
        </w:rPr>
      </w:pPr>
    </w:p>
    <w:p w14:paraId="031756A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40"/>
        <w:jc w:val="right"/>
        <w:textAlignment w:val="baseline"/>
        <w:rPr>
          <w:rFonts w:hint="eastAsia" w:ascii="宋体" w:hAnsi="宋体" w:eastAsia="宋体" w:cs="宋体"/>
          <w:i w:val="0"/>
          <w:iCs w:val="0"/>
          <w:caps w:val="0"/>
          <w:color w:val="auto"/>
          <w:spacing w:val="0"/>
          <w:sz w:val="24"/>
          <w:szCs w:val="24"/>
          <w:highlight w:val="none"/>
          <w:shd w:val="clear" w:fill="FFFFFF"/>
          <w:vertAlign w:val="baseline"/>
          <w:lang w:val="en-US" w:eastAsia="zh-CN"/>
        </w:rPr>
      </w:pPr>
    </w:p>
    <w:p w14:paraId="6B74437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40"/>
        <w:jc w:val="right"/>
        <w:textAlignment w:val="baseline"/>
        <w:rPr>
          <w:rFonts w:hint="eastAsia" w:ascii="宋体" w:hAnsi="宋体" w:eastAsia="宋体" w:cs="宋体"/>
          <w:i w:val="0"/>
          <w:iCs w:val="0"/>
          <w:caps w:val="0"/>
          <w:color w:val="auto"/>
          <w:spacing w:val="0"/>
          <w:sz w:val="24"/>
          <w:szCs w:val="24"/>
          <w:highlight w:val="none"/>
          <w:shd w:val="clear" w:fill="FFFFFF"/>
          <w:vertAlign w:val="baseline"/>
          <w:lang w:val="en-US" w:eastAsia="zh-CN"/>
        </w:rPr>
      </w:pPr>
    </w:p>
    <w:p w14:paraId="736A85F1">
      <w:pPr>
        <w:spacing w:line="360" w:lineRule="auto"/>
        <w:jc w:val="center"/>
        <w:rPr>
          <w:rFonts w:hint="eastAsia" w:ascii="宋体" w:hAnsi="宋体" w:eastAsia="宋体" w:cs="宋体"/>
          <w:b/>
          <w:color w:val="auto"/>
          <w:kern w:val="28"/>
          <w:sz w:val="32"/>
          <w:szCs w:val="32"/>
          <w:highlight w:val="none"/>
          <w:lang w:eastAsia="zh-CN"/>
        </w:rPr>
      </w:pPr>
    </w:p>
    <w:p w14:paraId="5AB400F0">
      <w:pPr>
        <w:spacing w:line="360" w:lineRule="auto"/>
        <w:jc w:val="center"/>
        <w:rPr>
          <w:rFonts w:hint="eastAsia" w:ascii="宋体" w:hAnsi="宋体" w:eastAsia="宋体" w:cs="宋体"/>
          <w:b/>
          <w:color w:val="auto"/>
          <w:kern w:val="28"/>
          <w:sz w:val="32"/>
          <w:szCs w:val="32"/>
          <w:highlight w:val="none"/>
          <w:lang w:eastAsia="zh-CN"/>
        </w:rPr>
      </w:pPr>
    </w:p>
    <w:p w14:paraId="05DB0B99">
      <w:pPr>
        <w:spacing w:line="360" w:lineRule="auto"/>
        <w:jc w:val="center"/>
        <w:rPr>
          <w:rFonts w:hint="eastAsia" w:ascii="宋体" w:hAnsi="宋体" w:eastAsia="宋体" w:cs="宋体"/>
          <w:b/>
          <w:color w:val="auto"/>
          <w:kern w:val="28"/>
          <w:sz w:val="32"/>
          <w:szCs w:val="32"/>
          <w:highlight w:val="none"/>
          <w:lang w:eastAsia="zh-CN"/>
        </w:rPr>
      </w:pPr>
    </w:p>
    <w:p w14:paraId="4AAA07FE">
      <w:pPr>
        <w:spacing w:line="360" w:lineRule="auto"/>
        <w:jc w:val="center"/>
        <w:rPr>
          <w:rFonts w:hint="eastAsia" w:ascii="宋体" w:hAnsi="宋体" w:eastAsia="宋体" w:cs="宋体"/>
          <w:b/>
          <w:color w:val="auto"/>
          <w:kern w:val="28"/>
          <w:sz w:val="32"/>
          <w:szCs w:val="32"/>
          <w:highlight w:val="none"/>
          <w:lang w:eastAsia="zh-CN"/>
        </w:rPr>
      </w:pPr>
    </w:p>
    <w:p w14:paraId="74AF13F2">
      <w:pPr>
        <w:spacing w:line="360" w:lineRule="auto"/>
        <w:jc w:val="center"/>
        <w:rPr>
          <w:rFonts w:hint="eastAsia" w:ascii="宋体" w:hAnsi="宋体" w:eastAsia="宋体" w:cs="宋体"/>
          <w:b/>
          <w:color w:val="auto"/>
          <w:kern w:val="28"/>
          <w:sz w:val="32"/>
          <w:szCs w:val="32"/>
          <w:highlight w:val="none"/>
          <w:lang w:eastAsia="zh-CN"/>
        </w:rPr>
      </w:pPr>
    </w:p>
    <w:p w14:paraId="5675B07E">
      <w:pPr>
        <w:spacing w:line="360" w:lineRule="auto"/>
        <w:jc w:val="center"/>
        <w:rPr>
          <w:rFonts w:hint="eastAsia" w:ascii="宋体" w:hAnsi="宋体" w:eastAsia="宋体" w:cs="宋体"/>
          <w:b/>
          <w:color w:val="auto"/>
          <w:kern w:val="28"/>
          <w:sz w:val="32"/>
          <w:szCs w:val="32"/>
          <w:highlight w:val="none"/>
          <w:lang w:eastAsia="zh-CN"/>
        </w:rPr>
      </w:pPr>
    </w:p>
    <w:p w14:paraId="049D1BAD">
      <w:pPr>
        <w:spacing w:line="360" w:lineRule="auto"/>
        <w:jc w:val="center"/>
        <w:rPr>
          <w:rFonts w:hint="eastAsia" w:ascii="宋体" w:hAnsi="宋体" w:eastAsia="宋体" w:cs="宋体"/>
          <w:b/>
          <w:color w:val="auto"/>
          <w:kern w:val="28"/>
          <w:sz w:val="32"/>
          <w:szCs w:val="32"/>
          <w:highlight w:val="none"/>
          <w:lang w:eastAsia="zh-CN"/>
        </w:rPr>
      </w:pPr>
    </w:p>
    <w:p w14:paraId="135AC77E">
      <w:pPr>
        <w:spacing w:line="360" w:lineRule="auto"/>
        <w:jc w:val="center"/>
        <w:rPr>
          <w:rFonts w:hint="eastAsia" w:ascii="宋体" w:hAnsi="宋体" w:eastAsia="宋体" w:cs="宋体"/>
          <w:b/>
          <w:color w:val="auto"/>
          <w:kern w:val="28"/>
          <w:sz w:val="32"/>
          <w:szCs w:val="32"/>
          <w:highlight w:val="none"/>
          <w:lang w:eastAsia="zh-CN"/>
        </w:rPr>
      </w:pPr>
    </w:p>
    <w:p w14:paraId="6525620E">
      <w:pPr>
        <w:spacing w:line="360" w:lineRule="auto"/>
        <w:jc w:val="center"/>
        <w:rPr>
          <w:rFonts w:hint="eastAsia" w:ascii="宋体" w:hAnsi="宋体" w:eastAsia="宋体" w:cs="宋体"/>
          <w:b/>
          <w:color w:val="auto"/>
          <w:kern w:val="28"/>
          <w:sz w:val="32"/>
          <w:szCs w:val="32"/>
          <w:highlight w:val="none"/>
          <w:lang w:eastAsia="zh-CN"/>
        </w:rPr>
      </w:pPr>
    </w:p>
    <w:p w14:paraId="13F595A6">
      <w:pPr>
        <w:spacing w:line="360" w:lineRule="auto"/>
        <w:jc w:val="center"/>
        <w:rPr>
          <w:rFonts w:hint="eastAsia" w:ascii="宋体" w:hAnsi="宋体" w:eastAsia="宋体" w:cs="宋体"/>
          <w:b/>
          <w:color w:val="auto"/>
          <w:kern w:val="28"/>
          <w:sz w:val="32"/>
          <w:szCs w:val="32"/>
          <w:highlight w:val="none"/>
          <w:lang w:eastAsia="zh-CN"/>
        </w:rPr>
      </w:pPr>
    </w:p>
    <w:p w14:paraId="6405A9AB">
      <w:pPr>
        <w:spacing w:line="360" w:lineRule="auto"/>
        <w:jc w:val="center"/>
        <w:rPr>
          <w:rFonts w:hint="eastAsia" w:ascii="宋体" w:hAnsi="宋体" w:eastAsia="宋体" w:cs="宋体"/>
          <w:b/>
          <w:color w:val="auto"/>
          <w:kern w:val="28"/>
          <w:sz w:val="32"/>
          <w:szCs w:val="32"/>
          <w:highlight w:val="none"/>
          <w:lang w:eastAsia="zh-CN"/>
        </w:rPr>
      </w:pPr>
    </w:p>
    <w:p w14:paraId="56EBDC0D">
      <w:pPr>
        <w:spacing w:line="360" w:lineRule="auto"/>
        <w:jc w:val="center"/>
        <w:rPr>
          <w:rFonts w:hint="eastAsia" w:ascii="宋体" w:hAnsi="宋体" w:eastAsia="宋体" w:cs="宋体"/>
          <w:b/>
          <w:color w:val="auto"/>
          <w:kern w:val="28"/>
          <w:sz w:val="32"/>
          <w:szCs w:val="32"/>
          <w:highlight w:val="none"/>
          <w:lang w:eastAsia="zh-CN"/>
        </w:rPr>
      </w:pPr>
    </w:p>
    <w:p w14:paraId="2B6DA3D9">
      <w:pPr>
        <w:spacing w:line="360" w:lineRule="auto"/>
        <w:jc w:val="center"/>
        <w:rPr>
          <w:rFonts w:hint="eastAsia" w:ascii="宋体" w:hAnsi="宋体" w:eastAsia="宋体" w:cs="宋体"/>
          <w:b/>
          <w:color w:val="auto"/>
          <w:kern w:val="28"/>
          <w:sz w:val="32"/>
          <w:szCs w:val="32"/>
          <w:highlight w:val="none"/>
          <w:lang w:eastAsia="zh-CN"/>
        </w:rPr>
      </w:pPr>
    </w:p>
    <w:p w14:paraId="3E07943E">
      <w:pPr>
        <w:spacing w:line="360" w:lineRule="auto"/>
        <w:jc w:val="center"/>
        <w:rPr>
          <w:rFonts w:hint="eastAsia" w:ascii="宋体" w:hAnsi="宋体" w:eastAsia="宋体" w:cs="宋体"/>
          <w:b/>
          <w:color w:val="auto"/>
          <w:kern w:val="28"/>
          <w:sz w:val="32"/>
          <w:szCs w:val="32"/>
          <w:highlight w:val="none"/>
          <w:lang w:eastAsia="zh-CN"/>
        </w:rPr>
      </w:pPr>
    </w:p>
    <w:p w14:paraId="1B31E068">
      <w:pPr>
        <w:spacing w:line="360" w:lineRule="auto"/>
        <w:jc w:val="center"/>
        <w:rPr>
          <w:rFonts w:hint="eastAsia" w:ascii="宋体" w:hAnsi="宋体" w:eastAsia="宋体" w:cs="宋体"/>
          <w:b/>
          <w:color w:val="auto"/>
          <w:kern w:val="28"/>
          <w:sz w:val="32"/>
          <w:szCs w:val="32"/>
          <w:highlight w:val="none"/>
          <w:lang w:eastAsia="zh-CN"/>
        </w:rPr>
      </w:pPr>
    </w:p>
    <w:p w14:paraId="527A72EF">
      <w:pPr>
        <w:spacing w:line="360" w:lineRule="auto"/>
        <w:jc w:val="center"/>
        <w:rPr>
          <w:rFonts w:hint="eastAsia" w:ascii="宋体" w:hAnsi="宋体" w:eastAsia="宋体" w:cs="宋体"/>
          <w:b/>
          <w:color w:val="auto"/>
          <w:kern w:val="28"/>
          <w:sz w:val="32"/>
          <w:szCs w:val="32"/>
          <w:highlight w:val="none"/>
          <w:lang w:eastAsia="zh-CN"/>
        </w:rPr>
      </w:pPr>
    </w:p>
    <w:p w14:paraId="393EE9AB">
      <w:pPr>
        <w:spacing w:line="360" w:lineRule="auto"/>
        <w:jc w:val="center"/>
        <w:rPr>
          <w:rFonts w:hint="eastAsia" w:ascii="宋体" w:hAnsi="宋体" w:eastAsia="宋体" w:cs="宋体"/>
          <w:b/>
          <w:color w:val="auto"/>
          <w:kern w:val="28"/>
          <w:sz w:val="32"/>
          <w:szCs w:val="32"/>
          <w:highlight w:val="none"/>
          <w:lang w:eastAsia="zh-CN"/>
        </w:rPr>
      </w:pPr>
      <w:r>
        <w:rPr>
          <w:rFonts w:hint="eastAsia" w:ascii="宋体" w:hAnsi="宋体" w:eastAsia="宋体" w:cs="宋体"/>
          <w:b/>
          <w:color w:val="auto"/>
          <w:kern w:val="28"/>
          <w:sz w:val="32"/>
          <w:szCs w:val="32"/>
          <w:highlight w:val="none"/>
          <w:lang w:eastAsia="zh-CN"/>
        </w:rPr>
        <w:t>第二部分</w:t>
      </w:r>
      <w:r>
        <w:rPr>
          <w:rFonts w:hint="eastAsia" w:ascii="宋体" w:hAnsi="宋体" w:eastAsia="宋体" w:cs="宋体"/>
          <w:b/>
          <w:color w:val="auto"/>
          <w:kern w:val="28"/>
          <w:sz w:val="32"/>
          <w:szCs w:val="32"/>
          <w:highlight w:val="none"/>
          <w:lang w:val="en-US" w:eastAsia="zh-CN"/>
        </w:rPr>
        <w:t xml:space="preserve">  </w:t>
      </w:r>
      <w:r>
        <w:rPr>
          <w:rFonts w:hint="eastAsia" w:ascii="宋体" w:hAnsi="宋体" w:eastAsia="宋体" w:cs="宋体"/>
          <w:b/>
          <w:color w:val="auto"/>
          <w:kern w:val="28"/>
          <w:sz w:val="32"/>
          <w:szCs w:val="32"/>
          <w:highlight w:val="none"/>
          <w:lang w:eastAsia="zh-CN"/>
        </w:rPr>
        <w:t>用户需求书</w:t>
      </w:r>
    </w:p>
    <w:p w14:paraId="3D9DD330">
      <w:pPr>
        <w:pStyle w:val="1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说明：</w:t>
      </w:r>
    </w:p>
    <w:p w14:paraId="02724357">
      <w:pPr>
        <w:pStyle w:val="19"/>
        <w:keepNext w:val="0"/>
        <w:keepLines w:val="0"/>
        <w:pageBreakBefore w:val="0"/>
        <w:widowControl w:val="0"/>
        <w:kinsoku/>
        <w:wordWrap/>
        <w:overflowPunct/>
        <w:topLinePunct w:val="0"/>
        <w:autoSpaceDE/>
        <w:autoSpaceDN/>
        <w:bidi w:val="0"/>
        <w:adjustRightInd/>
        <w:snapToGrid/>
        <w:spacing w:after="0" w:line="360" w:lineRule="auto"/>
        <w:ind w:left="0" w:leftChars="0" w:firstLine="422"/>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1.供应商须对本项目的采购标的进行整体响应，任何只对本项目采购标的其中一部分内容或数量进行响应的，将作无效投标（响应）处理。</w:t>
      </w:r>
    </w:p>
    <w:p w14:paraId="2AF51C20">
      <w:pPr>
        <w:pStyle w:val="19"/>
        <w:keepNext w:val="0"/>
        <w:keepLines w:val="0"/>
        <w:pageBreakBefore w:val="0"/>
        <w:widowControl w:val="0"/>
        <w:kinsoku/>
        <w:wordWrap/>
        <w:overflowPunct/>
        <w:topLinePunct w:val="0"/>
        <w:autoSpaceDE/>
        <w:autoSpaceDN/>
        <w:bidi w:val="0"/>
        <w:adjustRightInd/>
        <w:snapToGrid/>
        <w:spacing w:after="0" w:line="360" w:lineRule="auto"/>
        <w:ind w:left="0" w:leftChars="0" w:firstLine="422"/>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采购需求中标注“★”号条款为实质性条款，供应商须按要求对其进行逐条响应，当出现负偏离或未响应，将作无效投标（响应）处理；若要求提供证明材料，还须按要求提供证明材料，否则将作无效投标（响应）处理。</w:t>
      </w:r>
    </w:p>
    <w:p w14:paraId="27634656">
      <w:pPr>
        <w:pStyle w:val="19"/>
        <w:keepNext w:val="0"/>
        <w:keepLines w:val="0"/>
        <w:pageBreakBefore w:val="0"/>
        <w:widowControl w:val="0"/>
        <w:kinsoku/>
        <w:wordWrap/>
        <w:overflowPunct/>
        <w:topLinePunct w:val="0"/>
        <w:autoSpaceDE/>
        <w:autoSpaceDN/>
        <w:bidi w:val="0"/>
        <w:adjustRightInd/>
        <w:snapToGrid/>
        <w:spacing w:after="0" w:line="360" w:lineRule="auto"/>
        <w:ind w:left="0" w:leftChars="0" w:firstLine="422"/>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采购需求中标注“▲”号条款为重要技术条款，供应商须按要求对其进行逐条响应，当出现负偏离或未响应，对应项将不予以计分，不会作无效投标（响应）处理；若要求提供证明材料，还须按要求提供证明材料，否则不予计分。</w:t>
      </w:r>
    </w:p>
    <w:p w14:paraId="4A7DA76E">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18"/>
          <w:szCs w:val="18"/>
        </w:rPr>
        <w:br w:type="textWrapping"/>
      </w:r>
      <w:r>
        <w:rPr>
          <w:rFonts w:hint="eastAsia" w:ascii="宋体" w:hAnsi="宋体" w:eastAsia="宋体" w:cs="宋体"/>
          <w:b/>
          <w:bCs/>
          <w:sz w:val="24"/>
          <w:szCs w:val="24"/>
          <w:highlight w:val="none"/>
          <w:lang w:eastAsia="zh-CN"/>
        </w:rPr>
        <w:t>（一）管理服务要求</w:t>
      </w:r>
    </w:p>
    <w:p w14:paraId="1B5AF1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▲1、中标人需严格执行《中华人民共和国食品安全法》、各行政部门对于单位食堂管理的有关规定，满足卫生管理体系要求。</w:t>
      </w:r>
    </w:p>
    <w:p w14:paraId="622E789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lang w:eastAsia="zh-CN"/>
        </w:rPr>
        <w:t>中标人应严格按照A级食堂的标准进行经营管理，</w:t>
      </w:r>
      <w:r>
        <w:rPr>
          <w:rFonts w:hint="eastAsia" w:ascii="宋体" w:hAnsi="宋体" w:eastAsia="宋体" w:cs="宋体"/>
          <w:sz w:val="24"/>
          <w:szCs w:val="24"/>
          <w:highlight w:val="none"/>
          <w:lang w:eastAsia="zh-CN"/>
        </w:rPr>
        <w:t>并随时接受省市镇各级卫生、安全、工商、物价和技术监督等部门的监督、检查，并积极申报各种食堂等级创建工作。</w:t>
      </w:r>
    </w:p>
    <w:p w14:paraId="379803F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投标人须承诺，“我司承诺若我司为中标人，在合同签订之日起3个工作日内向保险公司投保饮食安全责任险（保险保额须为人民币500万元或以上），并于合同签订后5个工作日将责任保险原件交给采购人验明，同时向采购人上交责任保险复印件，否则视为放弃中标。”（提供承诺函并加盖公章）</w:t>
      </w:r>
    </w:p>
    <w:p w14:paraId="3B7721A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、保证供配餐正点、足量(每份饭菜数量)、优质(质量保证体系)、制作的菜肴需多样化，菜式搭配合理，调配比例均匀，味道可口，保证营养；禁止出售变质、变味以及剩饭菜。</w:t>
      </w:r>
    </w:p>
    <w:p w14:paraId="3E92E3E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、午餐、晚餐提供的荤菜（肉）至少达到2两，如有发现份量不足，每次扣中标人300元。</w:t>
      </w:r>
    </w:p>
    <w:p w14:paraId="6403F82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、中标人至少投入1辆配送车辆，保证卫生清洁，每日配送食材前须消毒，确保食材未被二次污染，采购人有权不定期检查消毒记录。</w:t>
      </w:r>
    </w:p>
    <w:p w14:paraId="0A79CE1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7、中标人应</w:t>
      </w:r>
      <w:r>
        <w:rPr>
          <w:rFonts w:hint="eastAsia" w:ascii="宋体" w:hAnsi="宋体" w:eastAsia="宋体" w:cs="宋体"/>
          <w:i w:val="0"/>
          <w:iCs w:val="0"/>
          <w:caps w:val="0"/>
          <w:color w:val="auto"/>
          <w:spacing w:val="0"/>
          <w:kern w:val="0"/>
          <w:sz w:val="24"/>
          <w:szCs w:val="24"/>
          <w:shd w:val="clear" w:color="auto" w:fill="FFFFFF"/>
          <w:lang w:val="en-US" w:eastAsia="zh-CN" w:bidi="ar"/>
        </w:rPr>
        <w:t>设有专职采购员,每次采购，严格做好进货验收和索票索证工作，建立采购台账（必须专人规范填写）、索证验收台账、响应服务商资质证明台账等，索取响应服务商有效的资质、检验检测合格证明等文件，包括但不仅限于《营业执照》、《食品卫生许可证》、《产品质量检验报告》、《出厂检验报告》、《动物检疫合格证明》、《肉品品质检验合格证》、《送货清单》、《购货凭据》；饮料、乳制品、调味品等食品每批次的检验合格证或检验单；蔬菜等散装农副食品及鱼类等鲜活产品检验合格证明；一次性餐具检验合格证；清洁剂检验合格证明等。随时接受采购人及上级管理部门的检查。</w:t>
      </w:r>
    </w:p>
    <w:p w14:paraId="78E3768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食堂食用油和大米必须使用符合国家卫生及食用标准的正牌产品，不允许使用棕榈油，禁止用不符合国家食品卫生标准的油；严禁滥用食品添加剂，杜绝病死或死因不明的禽畜等及其制品、劣质食用油、不合格调味品、工业用盐进入食堂。因采购不符合卫生标准的食品原料和加工不符合规范要求等原因造成中毒、传染性疾病等事件，中标人承担全部责任，并按相关法律法规，追究责任。</w:t>
      </w:r>
    </w:p>
    <w:p w14:paraId="5415E86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中标人要杜绝制作过程中有生熟食品交叉摆放加工现象，对原材料严格按操作规范要求进行，不得省略环节，以免造成食品不卫生而引发食用者疾病；要无条件配合采购人接受上级一系列安全及食品卫生检查，出现问题，一切责任由中标人承担，并要及时根据上级部门提出的整改意见，落实整改，消除隐患。</w:t>
      </w:r>
    </w:p>
    <w:p w14:paraId="67320E3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10、中标人应保证非本院员工或未经医院同意的院外人员一律不得使用职工餐具用餐，一经发现，每次扣罚50元。</w:t>
      </w:r>
    </w:p>
    <w:p w14:paraId="60F802F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11、中标人须遵守国家法律法规及采购人的各项规章制度，无条件服从采购人的领导、管理和监督，严格执行食堂卫生及安全等管理制度，并在采购人指导下开展经营活动。</w:t>
      </w:r>
    </w:p>
    <w:p w14:paraId="340F573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、中标人须经营符合卫生标准的饮食，不能经营过期、有毒、发霉、变质的食品，如发生中毒或其它食品卫生安全事件，由中标人负全部责任（包含民事、刑事责任）。</w:t>
      </w:r>
    </w:p>
    <w:p w14:paraId="6607D83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lang w:eastAsia="zh-CN"/>
        </w:rPr>
        <w:t>、中标人人员若违背卫生工作流程和要求的情形，被发现一次扣100元。</w:t>
      </w:r>
    </w:p>
    <w:p w14:paraId="66616ED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lang w:eastAsia="zh-CN"/>
        </w:rPr>
        <w:t>、中标人要严格落实好食堂防鼠、防蝇、防尘“三防”措施；食堂所有厨具、餐具等餐饮用具要及时清洗，同时餐具要及时消毒（只允许用食用洗洁精），并做好餐具消毒“台帐”。</w:t>
      </w:r>
    </w:p>
    <w:p w14:paraId="1A31CCD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lang w:eastAsia="zh-CN"/>
        </w:rPr>
        <w:t>、中标人工作人员在工作期间出现任何安全事故，无论是医院内、外，均由中标人负责处理；如出现不可抗力的事故，则按国家有关条例处理。中标人负责承担经营食堂过程中所牵涉的一切经济、法律责任。</w:t>
      </w:r>
    </w:p>
    <w:p w14:paraId="636F584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中标人在服务期内对食堂卫生安全负全责，定期对全食堂进行卫生清洁，并认真做好防火、防盗及防投毒等有关安全防范工作，若出现卫生及安全方面的事故，其责任完全由中标人承担。同时，中标人必须做好管理，自费按要求购买上级指定的险种。</w:t>
      </w:r>
    </w:p>
    <w:p w14:paraId="408EA80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lang w:eastAsia="zh-CN"/>
        </w:rPr>
        <w:t>、中标人须在场所内配备2-4个灭火器，配备与炉灶数量对应的灭火毯，经营过程中发生任何安全事故，由中标人负全责；用餐人员及院内工作人员在餐厅内的人身安全，由中标人负责。</w:t>
      </w:r>
    </w:p>
    <w:p w14:paraId="7443C7F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lang w:eastAsia="zh-CN"/>
        </w:rPr>
        <w:t>、院区内仅允许使用电作为相关生产能源，若中标人未按照采购人规定使用其他能源（如：煤气、天然气等）作为相关生产能源的，因此造成的安全隐患或引发的安全事故，由中标人负全责。</w:t>
      </w:r>
    </w:p>
    <w:p w14:paraId="55241A2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lang w:eastAsia="zh-CN"/>
        </w:rPr>
        <w:t>在服务期间，中标人负责承担食堂的水、电等能源费用。在停水、停电、设备故障、食物中毒等各种紧急情况下，能利用公司的资源，保证正常供餐。</w:t>
      </w:r>
    </w:p>
    <w:p w14:paraId="275B949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lang w:eastAsia="zh-CN"/>
        </w:rPr>
        <w:t>、中标人对食堂工作人员的要求：保证投入</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lang w:eastAsia="zh-CN"/>
        </w:rPr>
        <w:t>少于6名的专业工作人员，</w:t>
      </w:r>
      <w:r>
        <w:rPr>
          <w:rFonts w:hint="eastAsia" w:ascii="宋体" w:hAnsi="宋体" w:eastAsia="宋体" w:cs="宋体"/>
          <w:sz w:val="24"/>
          <w:szCs w:val="24"/>
          <w:highlight w:val="none"/>
          <w:lang w:val="en-US" w:eastAsia="zh-CN"/>
        </w:rPr>
        <w:t>其中</w:t>
      </w:r>
      <w:r>
        <w:rPr>
          <w:rFonts w:hint="eastAsia" w:ascii="宋体" w:hAnsi="宋体" w:eastAsia="宋体" w:cs="宋体"/>
          <w:sz w:val="24"/>
          <w:szCs w:val="24"/>
          <w:highlight w:val="none"/>
          <w:lang w:eastAsia="zh-CN"/>
        </w:rPr>
        <w:t>不少于2名具有饭堂烹饪经验的厨师，不少于3名其他服务人员，设置1名项目负责人，负责饭堂食材监督及卫生管理，以及饭堂全天候日常管理，制定落实各项管理制度，明确落实各项操作流程，负责饭堂全面管理，对卫生、品质、出品、厨房工作人员的管理，具有该餐饮行业经验，负责用餐人员的售前售后沟通相关事宜。（提供承诺函，格式自拟。）</w:t>
      </w:r>
    </w:p>
    <w:p w14:paraId="24A67C3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lang w:eastAsia="zh-CN"/>
        </w:rPr>
        <w:t>、中标人严格执行留样制度、留存食品必须做到每餐标签、留足数量（每餐200克以上），留足时间（24小时以上），</w:t>
      </w:r>
      <w:r>
        <w:rPr>
          <w:rFonts w:hint="eastAsia" w:ascii="宋体" w:hAnsi="宋体" w:eastAsia="宋体" w:cs="宋体"/>
          <w:i w:val="0"/>
          <w:iCs w:val="0"/>
          <w:caps w:val="0"/>
          <w:color w:val="auto"/>
          <w:spacing w:val="0"/>
          <w:kern w:val="0"/>
          <w:sz w:val="24"/>
          <w:szCs w:val="24"/>
          <w:shd w:val="clear" w:color="auto" w:fill="FFFFFF"/>
          <w:lang w:val="en-US" w:eastAsia="zh-CN" w:bidi="ar"/>
        </w:rPr>
        <w:t>在5℃以下冷藏专柜专放并按要求做好食品留样管理工作等，具体根据相关规定实施</w:t>
      </w:r>
      <w:r>
        <w:rPr>
          <w:rFonts w:hint="eastAsia" w:ascii="宋体" w:hAnsi="宋体" w:eastAsia="宋体" w:cs="宋体"/>
          <w:sz w:val="24"/>
          <w:szCs w:val="24"/>
          <w:highlight w:val="none"/>
          <w:lang w:eastAsia="zh-CN"/>
        </w:rPr>
        <w:t>并做好记录。</w:t>
      </w:r>
    </w:p>
    <w:p w14:paraId="19B34D65">
      <w:pPr>
        <w:keepNext w:val="0"/>
        <w:keepLines w:val="0"/>
        <w:pageBreakBefore w:val="0"/>
        <w:widowControl/>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highlight w:val="none"/>
          <w:lang w:eastAsia="zh-CN"/>
        </w:rPr>
      </w:pPr>
      <w:r>
        <w:rPr>
          <w:rFonts w:hint="eastAsia" w:ascii="宋体" w:hAnsi="宋体" w:eastAsia="宋体" w:cs="宋体"/>
          <w:color w:val="auto"/>
          <w:kern w:val="2"/>
          <w:sz w:val="24"/>
          <w:szCs w:val="24"/>
          <w:highlight w:val="none"/>
          <w:lang w:val="en-US" w:eastAsia="zh-CN" w:bidi="ar-SA"/>
        </w:rPr>
        <w:t>22、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应根据本项目制定相应的应急预案，</w:t>
      </w:r>
      <w:r>
        <w:rPr>
          <w:rFonts w:hint="eastAsia" w:ascii="宋体" w:hAnsi="宋体" w:eastAsia="宋体" w:cs="宋体"/>
          <w:color w:val="auto"/>
          <w:kern w:val="2"/>
          <w:sz w:val="24"/>
          <w:szCs w:val="24"/>
          <w:highlight w:val="none"/>
          <w:lang w:val="en-US" w:eastAsia="zh-CN" w:bidi="ar-SA"/>
        </w:rPr>
        <w:t>包括但不限于食物中毒处理、火灾应急预案、食堂停水或停电应急预案、应急供餐、以及其他食品卫生突发情况应急处理方案等。</w:t>
      </w:r>
    </w:p>
    <w:p w14:paraId="169A5324">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8"/>
          <w:szCs w:val="28"/>
          <w:shd w:val="clear" w:color="auto" w:fill="FFFFFF"/>
        </w:rPr>
      </w:pPr>
      <w:r>
        <w:rPr>
          <w:rFonts w:hint="eastAsia" w:ascii="宋体" w:hAnsi="宋体" w:eastAsia="宋体" w:cs="宋体"/>
          <w:b/>
          <w:bCs/>
          <w:sz w:val="24"/>
          <w:szCs w:val="24"/>
          <w:highlight w:val="none"/>
          <w:lang w:eastAsia="zh-CN"/>
        </w:rPr>
        <w:t>（二）</w:t>
      </w:r>
      <w:r>
        <w:rPr>
          <w:rFonts w:hint="eastAsia" w:ascii="宋体" w:hAnsi="宋体" w:eastAsia="宋体" w:cs="宋体"/>
          <w:b/>
          <w:bCs/>
          <w:color w:val="auto"/>
          <w:sz w:val="28"/>
          <w:szCs w:val="28"/>
          <w:shd w:val="clear" w:color="auto" w:fill="FFFFFF"/>
          <w:lang w:val="en-US" w:eastAsia="zh-CN"/>
        </w:rPr>
        <w:t>卫生安全要求</w:t>
      </w:r>
    </w:p>
    <w:p w14:paraId="33DD8D51">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1、饭堂的卫生防疫、就餐环境和制作的食品及送餐等服务必须符合《食品卫生法》、国家相关的食品卫生标准及本院《饭堂管理制度》要求。</w:t>
      </w:r>
    </w:p>
    <w:p w14:paraId="39862EEA">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严格做好环境卫生工作（包括厨房、仓库、配餐间、就餐区域等），搞好室内外环境清洁和消毒工作，清除卫生死角，保持墙壁、墙裙、天花板、地面、炉灶、油烟罩/滤网、容器用具、案板工具等整洁、光亮、干燥、整齐、卫生、无油迹，通风、排烟、排水良好，有清洗记录。</w:t>
      </w:r>
    </w:p>
    <w:p w14:paraId="4FD611A7">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3、一餐一打扫，一周一大扫，平面天天扫，立面周周搞，保持饭堂卫生、整洁。中选服务商自行负责承包区域（含阳台、过道、楼梯、厕所、下水道、绿化带及周边等）的环境卫生。</w:t>
      </w:r>
    </w:p>
    <w:p w14:paraId="059D93A5">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4、操作台面、货物架、调料台、蒸烤箱等设备，做到整洁无杂物，无污渍、无灰尘，玻璃罩具光洁明亮。</w:t>
      </w:r>
    </w:p>
    <w:p w14:paraId="00EDEA9D">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5、擦碗盘与清洁抹布专用，并做好区分，保持干净。</w:t>
      </w:r>
    </w:p>
    <w:p w14:paraId="2DB347C2">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6、每次餐前、餐中、餐后应及时擦洗饭桌上的残渣、剩饭、油污。餐厨产生垃圾由中选服务商按环保要求每天自行处理。</w:t>
      </w:r>
    </w:p>
    <w:p w14:paraId="0F3DA18E">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7、专人负责餐具的清洗和消毒，餐具使用前必须经过彻底清洁消毒，并符合国家食(饮)具消毒卫生标准等相关规定。</w:t>
      </w:r>
    </w:p>
    <w:p w14:paraId="599BCE82">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及时疏通和清理油烟系统、隔油池、下水道确保畅通干净，加强灭蝇、灭蟑螂、灭鼠等措施，定期灭杀四害，防蝇、防鼠、防尘设备齐全、有效，环境符合业主方及上级管理部门的要求，合同签订后10天内列出具体实施方案给业主方，所有卫生防疫费用由中选服务商自行承担。如检查发现厨房有活动性苍蝇、蟑螂、老鼠，视情况轻重扣罚，并限期当天整改，如多次发现，业主方有权终止合同处理。</w:t>
      </w:r>
    </w:p>
    <w:p w14:paraId="1C65FEF4">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9、排烟设施每周至少一次表面清洗，每年至少两次内部清洗，确保无油渍，避免安全隐患。做好清洗记录、拍照，资料存档，并接受业主方检查。</w:t>
      </w:r>
    </w:p>
    <w:p w14:paraId="52A4426A">
      <w:pPr>
        <w:spacing w:line="360" w:lineRule="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10、上岗员工应保持良好的个人卫生习惯，按规定规范穿戴清洁的工服、工牌、帽子、口罩等。</w:t>
      </w:r>
    </w:p>
    <w:p w14:paraId="19F092CA">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（三）食堂供餐对象及其就餐方式</w:t>
      </w:r>
    </w:p>
    <w:p w14:paraId="6D4A660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1、食堂就餐对象为在职就餐职工共计约</w:t>
      </w:r>
      <w:r>
        <w:rPr>
          <w:rFonts w:hint="eastAsia" w:ascii="宋体" w:hAnsi="宋体" w:eastAsia="宋体" w:cs="宋体"/>
          <w:sz w:val="24"/>
          <w:szCs w:val="24"/>
          <w:highlight w:val="none"/>
          <w:lang w:val="en-US" w:eastAsia="zh-CN"/>
        </w:rPr>
        <w:t>530</w:t>
      </w:r>
      <w:r>
        <w:rPr>
          <w:rFonts w:hint="eastAsia" w:ascii="宋体" w:hAnsi="宋体" w:eastAsia="宋体" w:cs="宋体"/>
          <w:sz w:val="24"/>
          <w:szCs w:val="24"/>
          <w:highlight w:val="none"/>
          <w:lang w:eastAsia="zh-CN"/>
        </w:rPr>
        <w:t>人。餐饮设备齐全，职工自愿就餐，目前工作日日均就餐人数约为：早餐约100人，午餐约160人，晚餐约50人（全年无休）。</w:t>
      </w:r>
    </w:p>
    <w:p w14:paraId="4714B8E0">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2、就餐方式为：早餐应于早上06：45分出餐、中餐应于中午11：00分出餐、晚餐应于下午4:30分出餐。（中标人必须提供环保材料的餐具）。</w:t>
      </w:r>
    </w:p>
    <w:p w14:paraId="0B52F9E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、严禁在食堂区域内进行非法经营活动和作其它用途。（例:经营小卖部）</w:t>
      </w:r>
    </w:p>
    <w:p w14:paraId="5A8F73DD">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（四）供餐标准要求</w:t>
      </w:r>
    </w:p>
    <w:p w14:paraId="674B3D9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1、饭菜供应采用固定餐形式。</w:t>
      </w:r>
    </w:p>
    <w:p w14:paraId="30B5306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采购人保留对饭菜质量的监督权利和最终定价权、限价权。职工早餐基础餐标5元（可选择2种品种）【其中医院补助3元，员工自付2元】，午餐及晚餐餐标可参考：一主荤菜、二荤素菜、一素菜、米饭、汤，即四菜一汤共计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元【其中医院补助1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元，员工自付5元】。</w:t>
      </w:r>
    </w:p>
    <w:p w14:paraId="2CBBFC4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3、菜式品种要经常轮换，中标人须提前一周定制出下周合理菜谱，于每周六将下周的菜谱交到采购人总务科处，经与采购人协商后按菜谱进行供餐。</w:t>
      </w:r>
    </w:p>
    <w:p w14:paraId="10C0DE9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4、早餐主食包括但不限于馒头、花卷、糖油饼、包子等面点类，炒粉、炒面、粥类、馄炖、牛腩粉、汤面类，咸菜等，每天不少于10个品种。应免费提供调味品。</w:t>
      </w:r>
    </w:p>
    <w:p w14:paraId="615870D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6、早餐、午餐菜类品种报主管部门批准后可根据实际就餐人数进行调整。</w:t>
      </w:r>
    </w:p>
    <w:p w14:paraId="361DCAE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w:t>
      </w:r>
      <w:r>
        <w:rPr>
          <w:rFonts w:hint="eastAsia" w:ascii="宋体" w:hAnsi="宋体" w:eastAsia="宋体" w:cs="宋体"/>
          <w:i w:val="0"/>
          <w:iCs w:val="0"/>
          <w:caps w:val="0"/>
          <w:color w:val="auto"/>
          <w:spacing w:val="0"/>
          <w:kern w:val="0"/>
          <w:sz w:val="24"/>
          <w:szCs w:val="24"/>
          <w:shd w:val="clear" w:color="auto" w:fill="FFFFFF"/>
          <w:lang w:val="en-US" w:eastAsia="zh-CN" w:bidi="ar"/>
        </w:rPr>
        <w:t>每逢特殊节假日（护士节、</w:t>
      </w:r>
      <w:r>
        <w:rPr>
          <w:rFonts w:hint="eastAsia" w:ascii="宋体" w:hAnsi="宋体" w:eastAsia="宋体" w:cs="宋体"/>
          <w:i w:val="0"/>
          <w:iCs w:val="0"/>
          <w:caps w:val="0"/>
          <w:color w:val="auto"/>
          <w:spacing w:val="0"/>
          <w:kern w:val="0"/>
          <w:sz w:val="24"/>
          <w:szCs w:val="24"/>
          <w:shd w:val="clear" w:color="auto" w:fill="FFFFFF"/>
          <w:lang w:val="zh-CN" w:eastAsia="zh-CN" w:bidi="ar"/>
        </w:rPr>
        <w:t>医师节、</w:t>
      </w:r>
      <w:r>
        <w:rPr>
          <w:rFonts w:hint="eastAsia" w:ascii="宋体" w:hAnsi="宋体" w:eastAsia="宋体" w:cs="宋体"/>
          <w:i w:val="0"/>
          <w:iCs w:val="0"/>
          <w:caps w:val="0"/>
          <w:color w:val="auto"/>
          <w:spacing w:val="0"/>
          <w:kern w:val="0"/>
          <w:sz w:val="24"/>
          <w:szCs w:val="24"/>
          <w:shd w:val="clear" w:color="auto" w:fill="FFFFFF"/>
          <w:lang w:val="en-US" w:eastAsia="zh-CN" w:bidi="ar"/>
        </w:rPr>
        <w:t>中秋节、端午节等）</w:t>
      </w:r>
      <w:r>
        <w:rPr>
          <w:rFonts w:hint="eastAsia" w:ascii="宋体" w:hAnsi="宋体" w:eastAsia="宋体" w:cs="宋体"/>
          <w:i w:val="0"/>
          <w:iCs w:val="0"/>
          <w:caps w:val="0"/>
          <w:color w:val="auto"/>
          <w:spacing w:val="0"/>
          <w:kern w:val="0"/>
          <w:sz w:val="24"/>
          <w:szCs w:val="24"/>
          <w:shd w:val="clear" w:color="auto" w:fill="FFFFFF"/>
          <w:lang w:val="zh-CN" w:eastAsia="zh-CN" w:bidi="ar"/>
        </w:rPr>
        <w:t>对特定人群</w:t>
      </w:r>
      <w:r>
        <w:rPr>
          <w:rFonts w:hint="eastAsia" w:ascii="宋体" w:hAnsi="宋体" w:eastAsia="宋体" w:cs="宋体"/>
          <w:i w:val="0"/>
          <w:iCs w:val="0"/>
          <w:caps w:val="0"/>
          <w:color w:val="auto"/>
          <w:spacing w:val="0"/>
          <w:kern w:val="0"/>
          <w:sz w:val="24"/>
          <w:szCs w:val="24"/>
          <w:shd w:val="clear" w:color="auto" w:fill="FFFFFF"/>
          <w:lang w:val="en-US" w:eastAsia="zh-CN" w:bidi="ar"/>
        </w:rPr>
        <w:t>添加额外菜品或水果（业主方不再另行支付费用），给全体职工送上节日慰问及祝福。夏季应根据医院的需要协助制作凉茶、绿豆沙等各类特色食品供应。</w:t>
      </w:r>
    </w:p>
    <w:p w14:paraId="5A66A28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8、提供“智慧饭堂”系统，职工就餐时必须刷卡消费，饭卡软件系统及硬件终端等由采购人提供（含系统安装、调试、培训等相关费用），不得出现现金交易，现金交易只限外卖活动。</w:t>
      </w:r>
    </w:p>
    <w:p w14:paraId="1271E610">
      <w:pPr>
        <w:spacing w:line="360" w:lineRule="auto"/>
        <w:rPr>
          <w:rFonts w:hint="eastAsia" w:ascii="宋体" w:hAnsi="宋体" w:eastAsia="宋体" w:cs="宋体"/>
          <w:sz w:val="24"/>
          <w:szCs w:val="24"/>
          <w:highlight w:val="none"/>
          <w:lang w:eastAsia="zh-CN"/>
        </w:rPr>
      </w:pPr>
    </w:p>
    <w:p w14:paraId="35F4365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）软件</w:t>
      </w:r>
    </w:p>
    <w:tbl>
      <w:tblPr>
        <w:tblStyle w:val="20"/>
        <w:tblW w:w="97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4"/>
        <w:gridCol w:w="1680"/>
        <w:gridCol w:w="5159"/>
        <w:gridCol w:w="16"/>
        <w:gridCol w:w="2018"/>
        <w:gridCol w:w="16"/>
      </w:tblGrid>
      <w:tr w14:paraId="6EFDC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894" w:type="dxa"/>
            <w:tcBorders>
              <w:top w:val="single" w:color="000000" w:sz="8" w:space="0"/>
              <w:left w:val="single" w:color="000000" w:sz="8" w:space="0"/>
              <w:bottom w:val="single" w:color="000000" w:sz="4" w:space="0"/>
              <w:right w:val="single" w:color="000000" w:sz="4" w:space="0"/>
            </w:tcBorders>
            <w:shd w:val="clear" w:color="auto" w:fill="auto"/>
            <w:vAlign w:val="center"/>
          </w:tcPr>
          <w:p w14:paraId="04CC1A13">
            <w:pPr>
              <w:keepNext w:val="0"/>
              <w:keepLines w:val="0"/>
              <w:widowControl/>
              <w:suppressLineNumbers w:val="0"/>
              <w:jc w:val="center"/>
              <w:textAlignment w:val="center"/>
              <w:rPr>
                <w:rFonts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项目</w:t>
            </w:r>
          </w:p>
        </w:tc>
        <w:tc>
          <w:tcPr>
            <w:tcW w:w="6855" w:type="dxa"/>
            <w:gridSpan w:val="3"/>
            <w:tcBorders>
              <w:top w:val="single" w:color="000000" w:sz="8" w:space="0"/>
              <w:left w:val="single" w:color="000000" w:sz="4" w:space="0"/>
              <w:bottom w:val="single" w:color="000000" w:sz="4" w:space="0"/>
              <w:right w:val="single" w:color="000000" w:sz="4" w:space="0"/>
            </w:tcBorders>
            <w:shd w:val="clear" w:color="auto" w:fill="auto"/>
            <w:vAlign w:val="center"/>
          </w:tcPr>
          <w:p w14:paraId="4A54F3E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功能模块简界</w:t>
            </w:r>
          </w:p>
        </w:tc>
        <w:tc>
          <w:tcPr>
            <w:tcW w:w="2034"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760AB36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备注</w:t>
            </w:r>
          </w:p>
        </w:tc>
      </w:tr>
      <w:tr w14:paraId="11BD2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restart"/>
            <w:tcBorders>
              <w:top w:val="single" w:color="000000" w:sz="4" w:space="0"/>
              <w:left w:val="single" w:color="000000" w:sz="4" w:space="0"/>
              <w:bottom w:val="nil"/>
              <w:right w:val="single" w:color="000000" w:sz="4" w:space="0"/>
            </w:tcBorders>
            <w:shd w:val="clear" w:color="auto" w:fill="auto"/>
            <w:noWrap/>
            <w:textDirection w:val="tbRlV"/>
            <w:vAlign w:val="center"/>
          </w:tcPr>
          <w:p w14:paraId="04E2038C">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软件系统</w:t>
            </w: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E0047">
            <w:pPr>
              <w:spacing w:line="360" w:lineRule="auto"/>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基础资料管理</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8E22">
            <w:pPr>
              <w:keepNext w:val="0"/>
              <w:keepLines w:val="0"/>
              <w:widowControl/>
              <w:suppressLineNumbers w:val="0"/>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菜品分类编辑</w:t>
            </w:r>
          </w:p>
        </w:tc>
        <w:tc>
          <w:tcPr>
            <w:tcW w:w="20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54258A">
            <w:pPr>
              <w:spacing w:line="360" w:lineRule="auto"/>
              <w:rPr>
                <w:rFonts w:hint="eastAsia" w:ascii="宋体" w:hAnsi="宋体" w:eastAsia="宋体" w:cs="宋体"/>
                <w:sz w:val="24"/>
                <w:szCs w:val="24"/>
                <w:highlight w:val="none"/>
                <w:lang w:eastAsia="zh-CN"/>
              </w:rPr>
            </w:pPr>
          </w:p>
        </w:tc>
      </w:tr>
      <w:tr w14:paraId="30D51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2901154F">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FD762">
            <w:pPr>
              <w:jc w:val="center"/>
              <w:rPr>
                <w:rFonts w:hint="default"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347F2">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菜品编辑</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DDEDE">
            <w:pPr>
              <w:jc w:val="left"/>
              <w:rPr>
                <w:rFonts w:hint="eastAsia" w:ascii="宋体" w:hAnsi="宋体" w:eastAsia="宋体" w:cs="宋体"/>
                <w:kern w:val="2"/>
                <w:sz w:val="24"/>
                <w:szCs w:val="24"/>
                <w:highlight w:val="none"/>
                <w:lang w:val="en-US" w:eastAsia="zh-CN" w:bidi="ar-SA"/>
              </w:rPr>
            </w:pPr>
          </w:p>
        </w:tc>
      </w:tr>
      <w:tr w14:paraId="4788B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DF23CD6">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204F3">
            <w:pPr>
              <w:jc w:val="center"/>
              <w:rPr>
                <w:rFonts w:hint="default"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C271">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选项分类</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E6435">
            <w:pPr>
              <w:jc w:val="left"/>
              <w:rPr>
                <w:rFonts w:hint="eastAsia" w:ascii="宋体" w:hAnsi="宋体" w:eastAsia="宋体" w:cs="宋体"/>
                <w:kern w:val="2"/>
                <w:sz w:val="24"/>
                <w:szCs w:val="24"/>
                <w:highlight w:val="none"/>
                <w:lang w:val="en-US" w:eastAsia="zh-CN" w:bidi="ar-SA"/>
              </w:rPr>
            </w:pPr>
          </w:p>
        </w:tc>
      </w:tr>
      <w:tr w14:paraId="5E9B3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3D9E2DFA">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4346C">
            <w:pPr>
              <w:jc w:val="center"/>
              <w:rPr>
                <w:rFonts w:hint="default"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A2F5">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选项明细</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11D13">
            <w:pPr>
              <w:jc w:val="left"/>
              <w:rPr>
                <w:rFonts w:hint="eastAsia" w:ascii="宋体" w:hAnsi="宋体" w:eastAsia="宋体" w:cs="宋体"/>
                <w:kern w:val="2"/>
                <w:sz w:val="24"/>
                <w:szCs w:val="24"/>
                <w:highlight w:val="none"/>
                <w:lang w:val="en-US" w:eastAsia="zh-CN" w:bidi="ar-SA"/>
              </w:rPr>
            </w:pPr>
          </w:p>
        </w:tc>
      </w:tr>
      <w:tr w14:paraId="78F78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1B83288">
            <w:pPr>
              <w:jc w:val="center"/>
              <w:rPr>
                <w:rFonts w:hint="eastAsia" w:ascii="宋体" w:hAnsi="宋体" w:eastAsia="宋体" w:cs="宋体"/>
                <w:kern w:val="2"/>
                <w:sz w:val="24"/>
                <w:szCs w:val="24"/>
                <w:highlight w:val="none"/>
                <w:lang w:val="en-US" w:eastAsia="zh-CN" w:bidi="ar-SA"/>
              </w:rPr>
            </w:pP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D3E0A8">
            <w:pPr>
              <w:keepNext w:val="0"/>
              <w:keepLines w:val="0"/>
              <w:widowControl/>
              <w:suppressLineNumbers w:val="0"/>
              <w:jc w:val="center"/>
              <w:textAlignment w:val="center"/>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系统设置</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7088">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营业时间</w:t>
            </w:r>
          </w:p>
        </w:tc>
        <w:tc>
          <w:tcPr>
            <w:tcW w:w="20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4141C8">
            <w:pPr>
              <w:keepNext w:val="0"/>
              <w:keepLines w:val="0"/>
              <w:widowControl/>
              <w:suppressLineNumbers w:val="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可按饭堂实际情况进行设置调整</w:t>
            </w:r>
          </w:p>
        </w:tc>
      </w:tr>
      <w:tr w14:paraId="5C204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26466CBD">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B68F8">
            <w:pPr>
              <w:jc w:val="center"/>
              <w:rPr>
                <w:rFonts w:hint="default"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1AD7B">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结帐方式</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A73F8">
            <w:pPr>
              <w:jc w:val="left"/>
              <w:rPr>
                <w:rFonts w:hint="eastAsia" w:ascii="宋体" w:hAnsi="宋体" w:eastAsia="宋体" w:cs="宋体"/>
                <w:kern w:val="2"/>
                <w:sz w:val="24"/>
                <w:szCs w:val="24"/>
                <w:highlight w:val="none"/>
                <w:lang w:val="en-US" w:eastAsia="zh-CN" w:bidi="ar-SA"/>
              </w:rPr>
            </w:pPr>
          </w:p>
        </w:tc>
      </w:tr>
      <w:tr w14:paraId="05793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A11B5B9">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F24D1">
            <w:pPr>
              <w:jc w:val="center"/>
              <w:rPr>
                <w:rFonts w:hint="default"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6E1B">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结帐币种 </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BE57B">
            <w:pPr>
              <w:jc w:val="left"/>
              <w:rPr>
                <w:rFonts w:hint="eastAsia" w:ascii="宋体" w:hAnsi="宋体" w:eastAsia="宋体" w:cs="宋体"/>
                <w:kern w:val="2"/>
                <w:sz w:val="24"/>
                <w:szCs w:val="24"/>
                <w:highlight w:val="none"/>
                <w:lang w:val="en-US" w:eastAsia="zh-CN" w:bidi="ar-SA"/>
              </w:rPr>
            </w:pPr>
          </w:p>
        </w:tc>
      </w:tr>
      <w:tr w14:paraId="6E464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1E72CD0E">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79FD5">
            <w:pPr>
              <w:jc w:val="center"/>
              <w:rPr>
                <w:rFonts w:hint="default"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2CF4B">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市别设置</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455B1">
            <w:pPr>
              <w:jc w:val="left"/>
              <w:rPr>
                <w:rFonts w:hint="eastAsia" w:ascii="宋体" w:hAnsi="宋体" w:eastAsia="宋体" w:cs="宋体"/>
                <w:kern w:val="2"/>
                <w:sz w:val="24"/>
                <w:szCs w:val="24"/>
                <w:highlight w:val="none"/>
                <w:lang w:val="en-US" w:eastAsia="zh-CN" w:bidi="ar-SA"/>
              </w:rPr>
            </w:pPr>
          </w:p>
        </w:tc>
      </w:tr>
      <w:tr w14:paraId="5E563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79C3363">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02282">
            <w:pPr>
              <w:jc w:val="center"/>
              <w:rPr>
                <w:rFonts w:hint="default"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77629">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统计分类</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5C4FF">
            <w:pPr>
              <w:jc w:val="left"/>
              <w:rPr>
                <w:rFonts w:hint="eastAsia" w:ascii="宋体" w:hAnsi="宋体" w:eastAsia="宋体" w:cs="宋体"/>
                <w:kern w:val="2"/>
                <w:sz w:val="24"/>
                <w:szCs w:val="24"/>
                <w:highlight w:val="none"/>
                <w:lang w:val="en-US" w:eastAsia="zh-CN" w:bidi="ar-SA"/>
              </w:rPr>
            </w:pPr>
          </w:p>
        </w:tc>
      </w:tr>
      <w:tr w14:paraId="2EE26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38CB7E7B">
            <w:pPr>
              <w:jc w:val="center"/>
              <w:rPr>
                <w:rFonts w:hint="eastAsia" w:ascii="宋体" w:hAnsi="宋体" w:eastAsia="宋体" w:cs="宋体"/>
                <w:kern w:val="2"/>
                <w:sz w:val="24"/>
                <w:szCs w:val="24"/>
                <w:highlight w:val="none"/>
                <w:lang w:val="en-US" w:eastAsia="zh-CN" w:bidi="ar-SA"/>
              </w:rPr>
            </w:pP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19CFDC">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会员管理</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557D">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会员分类设置</w:t>
            </w:r>
          </w:p>
        </w:tc>
        <w:tc>
          <w:tcPr>
            <w:tcW w:w="20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9E4F68">
            <w:pPr>
              <w:keepNext w:val="0"/>
              <w:keepLines w:val="0"/>
              <w:widowControl/>
              <w:suppressLineNumbers w:val="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员按不同类别设置分类，不同分类可设置不同补贴计费方式、支持人脸、ID、IC卡等模式</w:t>
            </w:r>
          </w:p>
        </w:tc>
      </w:tr>
      <w:tr w14:paraId="011F6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3D21F335">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0C94A">
            <w:pPr>
              <w:jc w:val="center"/>
              <w:rPr>
                <w:rFonts w:hint="eastAsia"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B1D91">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充值设置</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7903B">
            <w:pPr>
              <w:jc w:val="left"/>
              <w:rPr>
                <w:rFonts w:hint="eastAsia" w:ascii="宋体" w:hAnsi="宋体" w:eastAsia="宋体" w:cs="宋体"/>
                <w:kern w:val="2"/>
                <w:sz w:val="24"/>
                <w:szCs w:val="24"/>
                <w:highlight w:val="none"/>
                <w:lang w:val="en-US" w:eastAsia="zh-CN" w:bidi="ar-SA"/>
              </w:rPr>
            </w:pPr>
          </w:p>
        </w:tc>
      </w:tr>
      <w:tr w14:paraId="6F369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37071991">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E9461">
            <w:pPr>
              <w:jc w:val="center"/>
              <w:rPr>
                <w:rFonts w:hint="eastAsia"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17750">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会员明细</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C93BB">
            <w:pPr>
              <w:jc w:val="left"/>
              <w:rPr>
                <w:rFonts w:hint="eastAsia" w:ascii="宋体" w:hAnsi="宋体" w:eastAsia="宋体" w:cs="宋体"/>
                <w:kern w:val="2"/>
                <w:sz w:val="24"/>
                <w:szCs w:val="24"/>
                <w:highlight w:val="none"/>
                <w:lang w:val="en-US" w:eastAsia="zh-CN" w:bidi="ar-SA"/>
              </w:rPr>
            </w:pPr>
          </w:p>
        </w:tc>
      </w:tr>
      <w:tr w14:paraId="78204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4702701">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803B1">
            <w:pPr>
              <w:jc w:val="center"/>
              <w:rPr>
                <w:rFonts w:hint="eastAsia"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9A5C">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批量充值</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181D1">
            <w:pPr>
              <w:jc w:val="left"/>
              <w:rPr>
                <w:rFonts w:hint="eastAsia" w:ascii="宋体" w:hAnsi="宋体" w:eastAsia="宋体" w:cs="宋体"/>
                <w:kern w:val="2"/>
                <w:sz w:val="24"/>
                <w:szCs w:val="24"/>
                <w:highlight w:val="none"/>
                <w:lang w:val="en-US" w:eastAsia="zh-CN" w:bidi="ar-SA"/>
              </w:rPr>
            </w:pPr>
          </w:p>
        </w:tc>
      </w:tr>
      <w:tr w14:paraId="17040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3215C685">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0AC90">
            <w:pPr>
              <w:jc w:val="center"/>
              <w:rPr>
                <w:rFonts w:hint="eastAsia"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FD0EB">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会员状态设置（在职、离职等）</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0F07B">
            <w:pPr>
              <w:jc w:val="left"/>
              <w:rPr>
                <w:rFonts w:hint="eastAsia" w:ascii="宋体" w:hAnsi="宋体" w:eastAsia="宋体" w:cs="宋体"/>
                <w:kern w:val="2"/>
                <w:sz w:val="24"/>
                <w:szCs w:val="24"/>
                <w:highlight w:val="none"/>
                <w:lang w:val="en-US" w:eastAsia="zh-CN" w:bidi="ar-SA"/>
              </w:rPr>
            </w:pPr>
          </w:p>
        </w:tc>
      </w:tr>
      <w:tr w14:paraId="69477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2B887847">
            <w:pPr>
              <w:jc w:val="center"/>
              <w:rPr>
                <w:rFonts w:hint="eastAsia" w:ascii="宋体" w:hAnsi="宋体" w:eastAsia="宋体" w:cs="宋体"/>
                <w:kern w:val="2"/>
                <w:sz w:val="24"/>
                <w:szCs w:val="24"/>
                <w:highlight w:val="none"/>
                <w:lang w:val="en-US" w:eastAsia="zh-CN" w:bidi="ar-SA"/>
              </w:rPr>
            </w:pP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1E3DF1">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公众号及短信模块</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45D3E">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微信推送流水</w:t>
            </w:r>
          </w:p>
        </w:tc>
        <w:tc>
          <w:tcPr>
            <w:tcW w:w="20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6FE93E">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员工消费及充值有公众号信息推送、绑卡时用短信认证码</w:t>
            </w:r>
          </w:p>
        </w:tc>
      </w:tr>
      <w:tr w14:paraId="6645B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268E281D">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0DC60">
            <w:pPr>
              <w:jc w:val="center"/>
              <w:rPr>
                <w:rFonts w:hint="eastAsia"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C18F">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短信流水</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E567C">
            <w:pPr>
              <w:jc w:val="center"/>
              <w:rPr>
                <w:rFonts w:hint="eastAsia" w:ascii="宋体" w:hAnsi="宋体" w:eastAsia="宋体" w:cs="宋体"/>
                <w:kern w:val="2"/>
                <w:sz w:val="24"/>
                <w:szCs w:val="24"/>
                <w:highlight w:val="none"/>
                <w:lang w:val="en-US" w:eastAsia="zh-CN" w:bidi="ar-SA"/>
              </w:rPr>
            </w:pPr>
          </w:p>
        </w:tc>
      </w:tr>
      <w:tr w14:paraId="54AC6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67A14B2">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E7880">
            <w:pPr>
              <w:jc w:val="center"/>
              <w:rPr>
                <w:rFonts w:hint="eastAsia"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B9D7">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人脸自拍上传</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741FF">
            <w:pPr>
              <w:jc w:val="center"/>
              <w:rPr>
                <w:rFonts w:hint="eastAsia" w:ascii="宋体" w:hAnsi="宋体" w:eastAsia="宋体" w:cs="宋体"/>
                <w:kern w:val="2"/>
                <w:sz w:val="24"/>
                <w:szCs w:val="24"/>
                <w:highlight w:val="none"/>
                <w:lang w:val="en-US" w:eastAsia="zh-CN" w:bidi="ar-SA"/>
              </w:rPr>
            </w:pPr>
          </w:p>
        </w:tc>
      </w:tr>
      <w:tr w14:paraId="7FE55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2BFB53F8">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47991">
            <w:pPr>
              <w:jc w:val="center"/>
              <w:rPr>
                <w:rFonts w:hint="eastAsia"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01838">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自助退款</w:t>
            </w:r>
          </w:p>
        </w:tc>
        <w:tc>
          <w:tcPr>
            <w:tcW w:w="20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2F2B6">
            <w:pPr>
              <w:jc w:val="center"/>
              <w:rPr>
                <w:rFonts w:hint="eastAsia" w:ascii="宋体" w:hAnsi="宋体" w:eastAsia="宋体" w:cs="宋体"/>
                <w:kern w:val="2"/>
                <w:sz w:val="24"/>
                <w:szCs w:val="24"/>
                <w:highlight w:val="none"/>
                <w:lang w:val="en-US" w:eastAsia="zh-CN" w:bidi="ar-SA"/>
              </w:rPr>
            </w:pPr>
          </w:p>
        </w:tc>
      </w:tr>
      <w:tr w14:paraId="00AD9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221005EF">
            <w:pPr>
              <w:jc w:val="center"/>
              <w:rPr>
                <w:rFonts w:hint="eastAsia" w:ascii="宋体" w:hAnsi="宋体" w:eastAsia="宋体" w:cs="宋体"/>
                <w:kern w:val="2"/>
                <w:sz w:val="24"/>
                <w:szCs w:val="24"/>
                <w:highlight w:val="none"/>
                <w:lang w:val="en-US" w:eastAsia="zh-CN" w:bidi="ar-SA"/>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C5F5E">
            <w:pPr>
              <w:jc w:val="center"/>
              <w:rPr>
                <w:rFonts w:hint="eastAsia" w:ascii="宋体" w:hAnsi="宋体" w:eastAsia="宋体" w:cs="宋体"/>
                <w:kern w:val="2"/>
                <w:sz w:val="24"/>
                <w:szCs w:val="24"/>
                <w:highlight w:val="none"/>
                <w:lang w:val="en-US" w:eastAsia="zh-CN" w:bidi="ar-SA"/>
              </w:rPr>
            </w:pP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C489">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微信支付、会员支付</w:t>
            </w:r>
          </w:p>
        </w:tc>
        <w:tc>
          <w:tcPr>
            <w:tcW w:w="20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2A499">
            <w:pPr>
              <w:keepNext w:val="0"/>
              <w:keepLines w:val="0"/>
              <w:widowControl/>
              <w:suppressLineNumbers w:val="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会员支付二维码生成</w:t>
            </w:r>
          </w:p>
        </w:tc>
      </w:tr>
      <w:tr w14:paraId="100DB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3E7954CB">
            <w:pPr>
              <w:jc w:val="center"/>
              <w:rPr>
                <w:rFonts w:hint="eastAsia" w:ascii="宋体" w:hAnsi="宋体" w:eastAsia="宋体" w:cs="宋体"/>
                <w:kern w:val="2"/>
                <w:sz w:val="24"/>
                <w:szCs w:val="24"/>
                <w:highlight w:val="none"/>
                <w:lang w:val="en-US" w:eastAsia="zh-CN" w:bidi="ar-SA"/>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17412">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预订模块</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2A715">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职工线上预订</w:t>
            </w:r>
          </w:p>
        </w:tc>
        <w:tc>
          <w:tcPr>
            <w:tcW w:w="20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ADF1E2">
            <w:pPr>
              <w:keepNext w:val="0"/>
              <w:keepLines w:val="0"/>
              <w:widowControl/>
              <w:suppressLineNumbers w:val="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打印配送汇总、标签等方便统一配送</w:t>
            </w:r>
          </w:p>
        </w:tc>
      </w:tr>
      <w:tr w14:paraId="0FFF0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 w:type="dxa"/>
          <w:trHeight w:val="113" w:hRule="atLeast"/>
        </w:trPr>
        <w:tc>
          <w:tcPr>
            <w:tcW w:w="894" w:type="dxa"/>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DB9C438">
            <w:pPr>
              <w:jc w:val="center"/>
              <w:rPr>
                <w:rFonts w:hint="eastAsia" w:ascii="宋体" w:hAnsi="宋体" w:eastAsia="宋体" w:cs="宋体"/>
                <w:kern w:val="2"/>
                <w:sz w:val="24"/>
                <w:szCs w:val="24"/>
                <w:highlight w:val="none"/>
                <w:lang w:val="en-US" w:eastAsia="zh-CN" w:bidi="ar-SA"/>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B24D">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外卖点餐模块</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C8CF4">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含客户端点餐、配送员手机接单模块、</w:t>
            </w:r>
          </w:p>
          <w:p w14:paraId="432ED110">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外卖划单模块</w:t>
            </w:r>
          </w:p>
        </w:tc>
        <w:tc>
          <w:tcPr>
            <w:tcW w:w="20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98185C">
            <w:pPr>
              <w:keepNext w:val="0"/>
              <w:keepLines w:val="0"/>
              <w:widowControl/>
              <w:suppressLineNumbers w:val="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外卖员可点送达可看到送达时间</w:t>
            </w:r>
          </w:p>
        </w:tc>
      </w:tr>
    </w:tbl>
    <w:p w14:paraId="7D01600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）硬件</w:t>
      </w:r>
    </w:p>
    <w:tbl>
      <w:tblPr>
        <w:tblStyle w:val="20"/>
        <w:tblW w:w="99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0"/>
        <w:gridCol w:w="2124"/>
        <w:gridCol w:w="6945"/>
      </w:tblGrid>
      <w:tr w14:paraId="78D9A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4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68B7E2D2">
            <w:pPr>
              <w:keepNext w:val="0"/>
              <w:keepLines w:val="0"/>
              <w:widowControl/>
              <w:suppressLineNumbers w:val="0"/>
              <w:jc w:val="center"/>
              <w:textAlignment w:val="center"/>
              <w:rPr>
                <w:rFonts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项目</w:t>
            </w:r>
          </w:p>
        </w:tc>
        <w:tc>
          <w:tcPr>
            <w:tcW w:w="9069"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60FBEEF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产品名称</w:t>
            </w:r>
          </w:p>
        </w:tc>
      </w:tr>
      <w:tr w14:paraId="1B508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40" w:type="dxa"/>
            <w:vMerge w:val="restart"/>
            <w:tcBorders>
              <w:top w:val="single" w:color="000000" w:sz="4" w:space="0"/>
              <w:left w:val="single" w:color="000000" w:sz="8" w:space="0"/>
              <w:bottom w:val="single" w:color="000000" w:sz="4" w:space="0"/>
              <w:right w:val="single" w:color="000000" w:sz="4" w:space="0"/>
            </w:tcBorders>
            <w:shd w:val="clear" w:color="auto" w:fill="auto"/>
            <w:textDirection w:val="tbRlV"/>
            <w:vAlign w:val="center"/>
          </w:tcPr>
          <w:p w14:paraId="2E6B3CFA">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硬件</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B40AF">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收银终端</w:t>
            </w:r>
          </w:p>
        </w:tc>
        <w:tc>
          <w:tcPr>
            <w:tcW w:w="6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F123">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android rk3566+扫码模块+POS58带刀打印机</w:t>
            </w:r>
          </w:p>
        </w:tc>
      </w:tr>
      <w:tr w14:paraId="40545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40" w:type="dxa"/>
            <w:vMerge w:val="continue"/>
            <w:tcBorders>
              <w:top w:val="single" w:color="000000" w:sz="4" w:space="0"/>
              <w:left w:val="single" w:color="000000" w:sz="8" w:space="0"/>
              <w:bottom w:val="single" w:color="000000" w:sz="4" w:space="0"/>
              <w:right w:val="single" w:color="000000" w:sz="4" w:space="0"/>
            </w:tcBorders>
            <w:shd w:val="clear" w:color="auto" w:fill="auto"/>
            <w:textDirection w:val="tbRlV"/>
            <w:vAlign w:val="center"/>
          </w:tcPr>
          <w:p w14:paraId="44F4F9C6">
            <w:pPr>
              <w:jc w:val="center"/>
              <w:rPr>
                <w:rFonts w:hint="eastAsia" w:ascii="宋体" w:hAnsi="宋体" w:eastAsia="宋体" w:cs="宋体"/>
                <w:kern w:val="2"/>
                <w:sz w:val="24"/>
                <w:szCs w:val="24"/>
                <w:highlight w:val="none"/>
                <w:lang w:val="en-US" w:eastAsia="zh-CN" w:bidi="ar-SA"/>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14356">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订餐PDA手持机</w:t>
            </w:r>
          </w:p>
        </w:tc>
        <w:tc>
          <w:tcPr>
            <w:tcW w:w="6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6618D">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7寸/500W摄像头/2+16G/58热敏打印机/WIFI/4G电话卡 5年流量卡费用</w:t>
            </w:r>
          </w:p>
        </w:tc>
      </w:tr>
      <w:tr w14:paraId="2BF10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40" w:type="dxa"/>
            <w:vMerge w:val="continue"/>
            <w:tcBorders>
              <w:top w:val="single" w:color="000000" w:sz="4" w:space="0"/>
              <w:left w:val="single" w:color="000000" w:sz="8" w:space="0"/>
              <w:bottom w:val="single" w:color="000000" w:sz="4" w:space="0"/>
              <w:right w:val="single" w:color="000000" w:sz="4" w:space="0"/>
            </w:tcBorders>
            <w:shd w:val="clear" w:color="auto" w:fill="auto"/>
            <w:textDirection w:val="tbRlV"/>
            <w:vAlign w:val="center"/>
          </w:tcPr>
          <w:p w14:paraId="5D337894">
            <w:pPr>
              <w:jc w:val="center"/>
              <w:rPr>
                <w:rFonts w:hint="eastAsia" w:ascii="宋体" w:hAnsi="宋体" w:eastAsia="宋体" w:cs="宋体"/>
                <w:kern w:val="2"/>
                <w:sz w:val="24"/>
                <w:szCs w:val="24"/>
                <w:highlight w:val="none"/>
                <w:lang w:val="en-US" w:eastAsia="zh-CN" w:bidi="ar-SA"/>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2A0C">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人脸识别消费机</w:t>
            </w:r>
          </w:p>
        </w:tc>
        <w:tc>
          <w:tcPr>
            <w:tcW w:w="6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5452">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RF3568双屏/7寸+5寸/2+16G/二维码扫描/双目摄像头</w:t>
            </w:r>
          </w:p>
        </w:tc>
      </w:tr>
    </w:tbl>
    <w:p w14:paraId="6C756C1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9、采购人做好与上一经营单位职工充值金额的对接，确保职工充值金额能正常使用。采购人员负责饭卡充值、结算、统计等工作，双方在每个月初对上月人员用餐数据进行书面确认。</w:t>
      </w:r>
    </w:p>
    <w:p w14:paraId="4E32520A">
      <w:pPr>
        <w:keepNext w:val="0"/>
        <w:keepLines w:val="0"/>
        <w:pageBreakBefore w:val="0"/>
        <w:widowControl/>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eastAsia="zh-CN"/>
        </w:rPr>
        <w:t>11、</w:t>
      </w:r>
      <w:r>
        <w:rPr>
          <w:rFonts w:hint="eastAsia" w:ascii="宋体" w:hAnsi="宋体" w:eastAsia="宋体" w:cs="宋体"/>
          <w:color w:val="auto"/>
          <w:sz w:val="24"/>
          <w:szCs w:val="24"/>
          <w:highlight w:val="none"/>
          <w:lang w:val="en-US" w:eastAsia="zh-CN"/>
        </w:rPr>
        <w:t>付款进度和方式：按月度结算,采购人人员负责结算、统计等工作，双方在每个月初对上月人员用餐数据进行书面确认。采购人按照上月职工饭卡刷卡记录计算职工餐费补助费用，以转账方式向中标人支付费用。每月初中标人将上月经采购人财务部门确认后的费用金额开具正式发票，采购人以汇款方式支付给中标人。</w:t>
      </w:r>
    </w:p>
    <w:p w14:paraId="1D38C34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12、原材料要求：</w:t>
      </w:r>
    </w:p>
    <w:p w14:paraId="31E5C6B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中标人必须严格按《中华人民共和国食品安全法》要求制作各种食品，做到食材新鲜、饭熟菜香，营养搭配科学合理。中标人在承包期间应注意保证提供每天每餐的质量、份量，菜式要经常更新，兼顾南北方特色口味，品种要齐全，保证每餐有新鲜鱼/肉/禽/蛋、蔬菜等菜品供应，每周提前公示菜单。中标人应全力协助采购人实施营养膳食，认真完成采购人提出的其他膳食要求或开膳方式。</w:t>
      </w:r>
    </w:p>
    <w:p w14:paraId="003254E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(2)中标人保证不使用过期食品，一切原料、辅料须正规渠道供应，不能采用散装原料，不采用非法生产的食盐，采购票据妥善保存，以备检查。</w:t>
      </w:r>
    </w:p>
    <w:p w14:paraId="5AF77A8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)严格限制采购：①冰冻骨、肉；②动物内脏；③火腿肠、腊味、咸鱼等不利健康的深加工食品；④采购人提出禁止采购的其他食材（如：预制菜等）。</w:t>
      </w:r>
    </w:p>
    <w:p w14:paraId="63F2115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)熟食：未经采购人许可不得采购。</w:t>
      </w:r>
    </w:p>
    <w:p w14:paraId="014ECFD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)每天饭菜按要求留样24小时，以备查检。</w:t>
      </w:r>
    </w:p>
    <w:p w14:paraId="4F4E4C0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中标人供应的各类食品必须符合国家《产品质量法》、《食品安全法》等相关法律法规的要求，确保所供食品优质新鲜，符合食品安全规定的各项合格指标，并有完整的销售合格凭证。中标人供应的食品，如出现不符合国家、省、市有关食品安全规定的，须承担全部法律责任。</w:t>
      </w:r>
    </w:p>
    <w:p w14:paraId="5706AB5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)中标人须承诺按照采购人的要求，根据相关政策要求采购贫困地区农副产品，具体采购额度以实际政策为准。</w:t>
      </w:r>
    </w:p>
    <w:p w14:paraId="29C69BA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lang w:eastAsia="zh-CN"/>
        </w:rPr>
        <w:t>食材采购</w:t>
      </w:r>
    </w:p>
    <w:p w14:paraId="03E693CE">
      <w:pPr>
        <w:tabs>
          <w:tab w:val="left" w:pos="567"/>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（1）食材干净、新鲜、营养丰富；</w:t>
      </w:r>
    </w:p>
    <w:p w14:paraId="2DA6AE70">
      <w:pPr>
        <w:tabs>
          <w:tab w:val="left" w:pos="567"/>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（2）供应商许可证件齐全，产品信息、产地信息完整可溯源；</w:t>
      </w:r>
    </w:p>
    <w:p w14:paraId="1BF80D79">
      <w:pPr>
        <w:tabs>
          <w:tab w:val="left" w:pos="567"/>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（3）具备相应产品合格证明，如检验（检疫）合格证明等待；</w:t>
      </w:r>
    </w:p>
    <w:p w14:paraId="7CAAC656">
      <w:pPr>
        <w:tabs>
          <w:tab w:val="left" w:pos="567"/>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（4）建立进货台账，利用信息化手段采集、留存生产经营信息，建立食品安全追溯体系（食品、食材、食品添加剂及食品相关产品）；</w:t>
      </w:r>
    </w:p>
    <w:p w14:paraId="45FD366F">
      <w:pPr>
        <w:tabs>
          <w:tab w:val="left" w:pos="567"/>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（5）蔬菜类</w:t>
      </w:r>
    </w:p>
    <w:p w14:paraId="25C225DD">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①所有蔬菜必须符合国家有关标准，保证新鲜、无异味、无霉烂变质、无农药等有害物质的留存；</w:t>
      </w:r>
    </w:p>
    <w:p w14:paraId="2F439AD8">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②所有蔬菜必须经过前期处理后再进入食堂，使用率达到95%以上；</w:t>
      </w:r>
    </w:p>
    <w:p w14:paraId="50926E3F">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③从蔬菜色泽判别，各种蔬菜都应具有本品种固有的颜色，大多数有发亮的光泽，以此显示蔬菜的成熟度及鲜嫩程度；</w:t>
      </w:r>
    </w:p>
    <w:p w14:paraId="66DC2E6C">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④从蔬菜气味判别，多数蔬菜具有清馨、甘辛香、甜酸香等气味，可凭嗅觉识别不同品种的质量，不允许有腐烂变质的亚硝酸盐味和其他异常气味；</w:t>
      </w:r>
    </w:p>
    <w:p w14:paraId="7408AC73">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⑤从蔬菜形态判别，应尽量避免由于客观因素而造成的各种非正常、不新鲜的蔬菜，例如萎蔫、枯塌、损伤、病变、虫害侵蚀等引起的形态异常；</w:t>
      </w:r>
    </w:p>
    <w:p w14:paraId="34AE513F">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⑥质量标准：</w:t>
      </w:r>
    </w:p>
    <w:tbl>
      <w:tblPr>
        <w:tblStyle w:val="20"/>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95"/>
        <w:gridCol w:w="7293"/>
      </w:tblGrid>
      <w:tr w14:paraId="0D5364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9" w:hRule="atLeast"/>
          <w:tblHeader/>
          <w:jc w:val="center"/>
        </w:trPr>
        <w:tc>
          <w:tcPr>
            <w:tcW w:w="895" w:type="dxa"/>
            <w:tcBorders>
              <w:top w:val="single" w:color="000000" w:sz="4" w:space="0"/>
              <w:left w:val="single" w:color="000000" w:sz="4" w:space="0"/>
              <w:bottom w:val="single" w:color="000000" w:sz="4" w:space="0"/>
              <w:right w:val="single" w:color="000000" w:sz="4" w:space="0"/>
            </w:tcBorders>
            <w:vAlign w:val="center"/>
          </w:tcPr>
          <w:p w14:paraId="5EB33873">
            <w:pPr>
              <w:spacing w:line="360" w:lineRule="auto"/>
              <w:jc w:val="center"/>
              <w:rPr>
                <w:rFonts w:hint="eastAsia" w:ascii="宋体" w:hAnsi="宋体" w:eastAsia="宋体" w:cs="宋体"/>
                <w:b/>
                <w:bCs/>
                <w:color w:val="000000" w:themeColor="text1"/>
                <w:sz w:val="18"/>
                <w:szCs w:val="18"/>
                <w:highlight w:val="none"/>
                <w14:textFill>
                  <w14:solidFill>
                    <w14:schemeClr w14:val="tx1"/>
                  </w14:solidFill>
                </w14:textFill>
              </w:rPr>
            </w:pPr>
            <w:r>
              <w:rPr>
                <w:rFonts w:hint="eastAsia" w:ascii="宋体" w:hAnsi="宋体" w:eastAsia="宋体" w:cs="宋体"/>
                <w:b/>
                <w:bCs/>
                <w:color w:val="000000" w:themeColor="text1"/>
                <w:sz w:val="18"/>
                <w:szCs w:val="18"/>
                <w:highlight w:val="none"/>
                <w14:textFill>
                  <w14:solidFill>
                    <w14:schemeClr w14:val="tx1"/>
                  </w14:solidFill>
                </w14:textFill>
              </w:rPr>
              <w:t>种类</w:t>
            </w:r>
          </w:p>
        </w:tc>
        <w:tc>
          <w:tcPr>
            <w:tcW w:w="7293" w:type="dxa"/>
            <w:tcBorders>
              <w:top w:val="single" w:color="000000" w:sz="4" w:space="0"/>
              <w:left w:val="single" w:color="000000" w:sz="4" w:space="0"/>
              <w:bottom w:val="single" w:color="000000" w:sz="4" w:space="0"/>
              <w:right w:val="single" w:color="000000" w:sz="4" w:space="0"/>
            </w:tcBorders>
            <w:vAlign w:val="center"/>
          </w:tcPr>
          <w:p w14:paraId="24C388C5">
            <w:pPr>
              <w:spacing w:line="360" w:lineRule="auto"/>
              <w:jc w:val="center"/>
              <w:rPr>
                <w:rFonts w:hint="eastAsia" w:ascii="宋体" w:hAnsi="宋体" w:eastAsia="宋体" w:cs="宋体"/>
                <w:b/>
                <w:bCs/>
                <w:color w:val="000000" w:themeColor="text1"/>
                <w:sz w:val="18"/>
                <w:szCs w:val="18"/>
                <w:highlight w:val="none"/>
                <w14:textFill>
                  <w14:solidFill>
                    <w14:schemeClr w14:val="tx1"/>
                  </w14:solidFill>
                </w14:textFill>
              </w:rPr>
            </w:pPr>
            <w:r>
              <w:rPr>
                <w:rFonts w:hint="eastAsia" w:ascii="宋体" w:hAnsi="宋体" w:eastAsia="宋体" w:cs="宋体"/>
                <w:b/>
                <w:bCs/>
                <w:color w:val="000000" w:themeColor="text1"/>
                <w:sz w:val="18"/>
                <w:szCs w:val="18"/>
                <w:highlight w:val="none"/>
                <w14:textFill>
                  <w14:solidFill>
                    <w14:schemeClr w14:val="tx1"/>
                  </w14:solidFill>
                </w14:textFill>
              </w:rPr>
              <w:t>质量标准</w:t>
            </w:r>
          </w:p>
        </w:tc>
      </w:tr>
      <w:tr w14:paraId="26E081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45CA1A03">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叶菜类</w:t>
            </w:r>
          </w:p>
        </w:tc>
        <w:tc>
          <w:tcPr>
            <w:tcW w:w="7293" w:type="dxa"/>
            <w:tcBorders>
              <w:top w:val="nil"/>
              <w:left w:val="single" w:color="000000" w:sz="4" w:space="0"/>
              <w:bottom w:val="single" w:color="000000" w:sz="4" w:space="0"/>
              <w:right w:val="single" w:color="000000" w:sz="4" w:space="0"/>
            </w:tcBorders>
            <w:vAlign w:val="center"/>
          </w:tcPr>
          <w:p w14:paraId="2EABB102">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菜心、生菜、大白菜、小白菜、空心菜、芹菜等绿叶菜类。属同一品种规格，鲜嫩形态好，色泽正常，茎基部削平，无枯黄叶、病叶、泥土、明显机械伤和病虫害伤，无腐烂现象，花椰菜应新鲜洁白，无畸形花。</w:t>
            </w:r>
          </w:p>
        </w:tc>
      </w:tr>
      <w:tr w14:paraId="72B70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58BEF81E">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茄果类</w:t>
            </w:r>
          </w:p>
        </w:tc>
        <w:tc>
          <w:tcPr>
            <w:tcW w:w="7293" w:type="dxa"/>
            <w:tcBorders>
              <w:top w:val="nil"/>
              <w:left w:val="single" w:color="000000" w:sz="4" w:space="0"/>
              <w:bottom w:val="single" w:color="000000" w:sz="4" w:space="0"/>
              <w:right w:val="single" w:color="000000" w:sz="4" w:space="0"/>
            </w:tcBorders>
            <w:vAlign w:val="center"/>
          </w:tcPr>
          <w:p w14:paraId="628DB228">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番茄、茄子等。属同一品种规格，果实整洁，成熟度适中，无裂果及空洞现象，茄果不能有裂蒂及果皮变硬现象，无腐烂、无畸形、异味、无明显机械伤。</w:t>
            </w:r>
          </w:p>
        </w:tc>
      </w:tr>
      <w:tr w14:paraId="6CB11C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4841BA1E">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瓜果类</w:t>
            </w:r>
          </w:p>
        </w:tc>
        <w:tc>
          <w:tcPr>
            <w:tcW w:w="7293" w:type="dxa"/>
            <w:tcBorders>
              <w:top w:val="nil"/>
              <w:left w:val="single" w:color="000000" w:sz="4" w:space="0"/>
              <w:bottom w:val="single" w:color="000000" w:sz="4" w:space="0"/>
              <w:right w:val="single" w:color="000000" w:sz="4" w:space="0"/>
            </w:tcBorders>
            <w:vAlign w:val="center"/>
          </w:tcPr>
          <w:p w14:paraId="5FB2342E">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黄瓜、冬瓜、丝瓜、苦瓜、南瓜等。属同一品种规格，形状、色泽一致，瓜条均匀，无疤点，无断裂、无腐烂、畸形，异味、无明显机械伤，不带泥土。</w:t>
            </w:r>
          </w:p>
        </w:tc>
      </w:tr>
      <w:tr w14:paraId="1D1EC4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64DFB34A">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根菜类</w:t>
            </w:r>
          </w:p>
        </w:tc>
        <w:tc>
          <w:tcPr>
            <w:tcW w:w="7293" w:type="dxa"/>
            <w:tcBorders>
              <w:top w:val="nil"/>
              <w:left w:val="single" w:color="000000" w:sz="4" w:space="0"/>
              <w:bottom w:val="single" w:color="000000" w:sz="4" w:space="0"/>
              <w:right w:val="single" w:color="000000" w:sz="4" w:space="0"/>
            </w:tcBorders>
            <w:vAlign w:val="center"/>
          </w:tcPr>
          <w:p w14:paraId="28EC12F9">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萝卜、大头菜、沙葛等。属同一品种规格，皮细光滑，大小均匀，肉质脆嫩致密新鲜，无腐烂、畸形、裂痕、异味，不带泥沙，不带茎叶和须根。</w:t>
            </w:r>
          </w:p>
        </w:tc>
      </w:tr>
      <w:tr w14:paraId="6428A6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5F86D8C7">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薯芋类</w:t>
            </w:r>
          </w:p>
        </w:tc>
        <w:tc>
          <w:tcPr>
            <w:tcW w:w="7293" w:type="dxa"/>
            <w:tcBorders>
              <w:top w:val="nil"/>
              <w:left w:val="single" w:color="000000" w:sz="4" w:space="0"/>
              <w:bottom w:val="single" w:color="000000" w:sz="4" w:space="0"/>
              <w:right w:val="single" w:color="000000" w:sz="4" w:space="0"/>
            </w:tcBorders>
            <w:vAlign w:val="center"/>
          </w:tcPr>
          <w:p w14:paraId="5A58D68C">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马铃薯。属同一品种规格，色泽一致，不带泥沙，不带须根、茎叶，无腐烂、畸形、异味、明显机械伤、病虫害斑，马铃薯无发芽。</w:t>
            </w:r>
          </w:p>
        </w:tc>
      </w:tr>
      <w:tr w14:paraId="46252F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7DFCF13A">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葱蒜类</w:t>
            </w:r>
          </w:p>
        </w:tc>
        <w:tc>
          <w:tcPr>
            <w:tcW w:w="7293" w:type="dxa"/>
            <w:tcBorders>
              <w:top w:val="nil"/>
              <w:left w:val="single" w:color="000000" w:sz="4" w:space="0"/>
              <w:bottom w:val="single" w:color="000000" w:sz="4" w:space="0"/>
              <w:right w:val="single" w:color="000000" w:sz="4" w:space="0"/>
            </w:tcBorders>
            <w:vAlign w:val="center"/>
          </w:tcPr>
          <w:p w14:paraId="335C3608">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葱、蒜、韭菜、洋葱等。属同一品种规格，允许葱、青蒜类保留干净须根，葱、蒜、韭菜不带老叶，蒜头、洋葱去根去枯叶，可食部分新鲜幼嫩，无腐烂、畸形、异味。</w:t>
            </w:r>
          </w:p>
        </w:tc>
      </w:tr>
      <w:tr w14:paraId="1DECCD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45631CE2">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豆类</w:t>
            </w:r>
          </w:p>
        </w:tc>
        <w:tc>
          <w:tcPr>
            <w:tcW w:w="7293" w:type="dxa"/>
            <w:tcBorders>
              <w:top w:val="nil"/>
              <w:left w:val="single" w:color="000000" w:sz="4" w:space="0"/>
              <w:bottom w:val="single" w:color="000000" w:sz="4" w:space="0"/>
              <w:right w:val="single" w:color="000000" w:sz="4" w:space="0"/>
            </w:tcBorders>
            <w:vAlign w:val="center"/>
          </w:tcPr>
          <w:p w14:paraId="02B28D36">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扁豆、豌豆、豆角等。形态完整，成熟度适中，无腐烂、畸形、异味，豆荚新鲜、幼嫩、均匀，豆仁籽粒饱满，较均匀，无发芽，不带泥土杂质。</w:t>
            </w:r>
          </w:p>
        </w:tc>
      </w:tr>
      <w:tr w14:paraId="3ED7FF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07F18E1C">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水生菜类</w:t>
            </w:r>
          </w:p>
        </w:tc>
        <w:tc>
          <w:tcPr>
            <w:tcW w:w="7293" w:type="dxa"/>
            <w:tcBorders>
              <w:top w:val="nil"/>
              <w:left w:val="single" w:color="000000" w:sz="4" w:space="0"/>
              <w:bottom w:val="single" w:color="000000" w:sz="4" w:space="0"/>
              <w:right w:val="single" w:color="000000" w:sz="4" w:space="0"/>
            </w:tcBorders>
            <w:vAlign w:val="center"/>
          </w:tcPr>
          <w:p w14:paraId="1AE85394">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藕、马蹄、菱等。属同一品种规格，肉质嫩，成熟度适中，无腐烂、畸形、异味，无明显机械伤，不带泥土和杂质。</w:t>
            </w:r>
          </w:p>
        </w:tc>
      </w:tr>
      <w:tr w14:paraId="4169D3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067EA5DB">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食用菌类</w:t>
            </w:r>
          </w:p>
        </w:tc>
        <w:tc>
          <w:tcPr>
            <w:tcW w:w="7293" w:type="dxa"/>
            <w:tcBorders>
              <w:top w:val="nil"/>
              <w:left w:val="single" w:color="000000" w:sz="4" w:space="0"/>
              <w:bottom w:val="single" w:color="000000" w:sz="4" w:space="0"/>
              <w:right w:val="single" w:color="000000" w:sz="4" w:space="0"/>
            </w:tcBorders>
            <w:vAlign w:val="center"/>
          </w:tcPr>
          <w:p w14:paraId="535B64F4">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蘑菇、草菇、香菇、木耳等。属同一品种规格，蘑菇、草菇菌盖圆整略展开，柄粗壮，菌膜紧，菇柄切削平整，，新鲜，无杂质，无畸形菇，无腐烂、异味。</w:t>
            </w:r>
          </w:p>
        </w:tc>
      </w:tr>
      <w:tr w14:paraId="3C6A14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nil"/>
              <w:left w:val="single" w:color="000000" w:sz="4" w:space="0"/>
              <w:bottom w:val="single" w:color="000000" w:sz="4" w:space="0"/>
              <w:right w:val="single" w:color="000000" w:sz="4" w:space="0"/>
            </w:tcBorders>
            <w:vAlign w:val="center"/>
          </w:tcPr>
          <w:p w14:paraId="0B839C7C">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芽苗类</w:t>
            </w:r>
          </w:p>
        </w:tc>
        <w:tc>
          <w:tcPr>
            <w:tcW w:w="7293" w:type="dxa"/>
            <w:tcBorders>
              <w:top w:val="nil"/>
              <w:left w:val="single" w:color="000000" w:sz="4" w:space="0"/>
              <w:bottom w:val="single" w:color="000000" w:sz="4" w:space="0"/>
              <w:right w:val="single" w:color="000000" w:sz="4" w:space="0"/>
            </w:tcBorders>
            <w:vAlign w:val="center"/>
          </w:tcPr>
          <w:p w14:paraId="427F846B">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绿豆芽、黄豆芽等。芽苗幼嫩，不带豆壳杂质，新鲜，无腐烂、异味。</w:t>
            </w:r>
          </w:p>
        </w:tc>
      </w:tr>
    </w:tbl>
    <w:p w14:paraId="2CD94C08">
      <w:pPr>
        <w:pStyle w:val="41"/>
        <w:spacing w:line="360" w:lineRule="auto"/>
        <w:rPr>
          <w:rFonts w:hint="eastAsia" w:ascii="宋体" w:hAnsi="宋体" w:eastAsia="宋体" w:cs="宋体"/>
          <w:color w:val="000000" w:themeColor="text1"/>
          <w:sz w:val="18"/>
          <w:szCs w:val="18"/>
          <w:highlight w:val="none"/>
          <w14:textFill>
            <w14:solidFill>
              <w14:schemeClr w14:val="tx1"/>
            </w14:solidFill>
          </w14:textFill>
        </w:rPr>
      </w:pPr>
    </w:p>
    <w:p w14:paraId="043495D4">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⑦所有蔬菜应符合我国无公害蔬菜的卫生指标规定：</w:t>
      </w:r>
    </w:p>
    <w:tbl>
      <w:tblPr>
        <w:tblStyle w:val="20"/>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086"/>
        <w:gridCol w:w="3644"/>
      </w:tblGrid>
      <w:tr w14:paraId="52B684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single" w:color="000000" w:sz="4" w:space="0"/>
              <w:left w:val="single" w:color="000000" w:sz="4" w:space="0"/>
              <w:bottom w:val="single" w:color="000000" w:sz="4" w:space="0"/>
              <w:right w:val="single" w:color="000000" w:sz="4" w:space="0"/>
            </w:tcBorders>
          </w:tcPr>
          <w:p w14:paraId="060D63C9">
            <w:pPr>
              <w:spacing w:line="360" w:lineRule="auto"/>
              <w:jc w:val="center"/>
              <w:rPr>
                <w:rFonts w:hint="eastAsia" w:ascii="宋体" w:hAnsi="宋体" w:eastAsia="宋体" w:cs="宋体"/>
                <w:b/>
                <w:bCs/>
                <w:color w:val="000000" w:themeColor="text1"/>
                <w:sz w:val="18"/>
                <w:szCs w:val="18"/>
                <w:highlight w:val="none"/>
                <w14:textFill>
                  <w14:solidFill>
                    <w14:schemeClr w14:val="tx1"/>
                  </w14:solidFill>
                </w14:textFill>
              </w:rPr>
            </w:pPr>
            <w:r>
              <w:rPr>
                <w:rFonts w:hint="eastAsia" w:ascii="宋体" w:hAnsi="宋体" w:eastAsia="宋体" w:cs="宋体"/>
                <w:b/>
                <w:bCs/>
                <w:color w:val="000000" w:themeColor="text1"/>
                <w:sz w:val="18"/>
                <w:szCs w:val="18"/>
                <w:highlight w:val="none"/>
                <w14:textFill>
                  <w14:solidFill>
                    <w14:schemeClr w14:val="tx1"/>
                  </w14:solidFill>
                </w14:textFill>
              </w:rPr>
              <w:t>项目</w:t>
            </w:r>
          </w:p>
        </w:tc>
        <w:tc>
          <w:tcPr>
            <w:tcW w:w="3644" w:type="dxa"/>
            <w:tcBorders>
              <w:top w:val="single" w:color="000000" w:sz="4" w:space="0"/>
              <w:left w:val="single" w:color="000000" w:sz="4" w:space="0"/>
              <w:bottom w:val="single" w:color="000000" w:sz="4" w:space="0"/>
              <w:right w:val="single" w:color="000000" w:sz="4" w:space="0"/>
            </w:tcBorders>
          </w:tcPr>
          <w:p w14:paraId="06EE65D7">
            <w:pPr>
              <w:spacing w:line="360" w:lineRule="auto"/>
              <w:jc w:val="center"/>
              <w:rPr>
                <w:rFonts w:hint="eastAsia" w:ascii="宋体" w:hAnsi="宋体" w:eastAsia="宋体" w:cs="宋体"/>
                <w:b/>
                <w:bCs/>
                <w:color w:val="000000" w:themeColor="text1"/>
                <w:sz w:val="18"/>
                <w:szCs w:val="18"/>
                <w:highlight w:val="none"/>
                <w14:textFill>
                  <w14:solidFill>
                    <w14:schemeClr w14:val="tx1"/>
                  </w14:solidFill>
                </w14:textFill>
              </w:rPr>
            </w:pPr>
            <w:r>
              <w:rPr>
                <w:rFonts w:hint="eastAsia" w:ascii="宋体" w:hAnsi="宋体" w:eastAsia="宋体" w:cs="宋体"/>
                <w:b/>
                <w:bCs/>
                <w:color w:val="000000" w:themeColor="text1"/>
                <w:sz w:val="18"/>
                <w:szCs w:val="18"/>
                <w:highlight w:val="none"/>
                <w14:textFill>
                  <w14:solidFill>
                    <w14:schemeClr w14:val="tx1"/>
                  </w14:solidFill>
                </w14:textFill>
              </w:rPr>
              <w:t>指标（mg/kg）</w:t>
            </w:r>
          </w:p>
        </w:tc>
      </w:tr>
      <w:tr w14:paraId="177C5D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09386825">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甲胺磷</w:t>
            </w:r>
          </w:p>
        </w:tc>
        <w:tc>
          <w:tcPr>
            <w:tcW w:w="3644" w:type="dxa"/>
            <w:tcBorders>
              <w:top w:val="nil"/>
              <w:left w:val="single" w:color="000000" w:sz="4" w:space="0"/>
              <w:bottom w:val="single" w:color="000000" w:sz="4" w:space="0"/>
              <w:right w:val="single" w:color="000000" w:sz="4" w:space="0"/>
            </w:tcBorders>
          </w:tcPr>
          <w:p w14:paraId="253CE0CA">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不得检出</w:t>
            </w:r>
          </w:p>
        </w:tc>
      </w:tr>
      <w:tr w14:paraId="46A57D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68F2F962">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甲拌磷</w:t>
            </w:r>
          </w:p>
        </w:tc>
        <w:tc>
          <w:tcPr>
            <w:tcW w:w="3644" w:type="dxa"/>
            <w:tcBorders>
              <w:top w:val="nil"/>
              <w:left w:val="single" w:color="000000" w:sz="4" w:space="0"/>
              <w:bottom w:val="single" w:color="000000" w:sz="4" w:space="0"/>
              <w:right w:val="single" w:color="000000" w:sz="4" w:space="0"/>
            </w:tcBorders>
          </w:tcPr>
          <w:p w14:paraId="26D1DC1F">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不得检出</w:t>
            </w:r>
          </w:p>
        </w:tc>
      </w:tr>
      <w:tr w14:paraId="004573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30887A63">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氧化乐果</w:t>
            </w:r>
          </w:p>
        </w:tc>
        <w:tc>
          <w:tcPr>
            <w:tcW w:w="3644" w:type="dxa"/>
            <w:tcBorders>
              <w:top w:val="nil"/>
              <w:left w:val="single" w:color="000000" w:sz="4" w:space="0"/>
              <w:bottom w:val="single" w:color="000000" w:sz="4" w:space="0"/>
              <w:right w:val="single" w:color="000000" w:sz="4" w:space="0"/>
            </w:tcBorders>
          </w:tcPr>
          <w:p w14:paraId="314F6948">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不得检出</w:t>
            </w:r>
          </w:p>
        </w:tc>
      </w:tr>
      <w:tr w14:paraId="3E692D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78AA25AE">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甲基对硫磷</w:t>
            </w:r>
          </w:p>
        </w:tc>
        <w:tc>
          <w:tcPr>
            <w:tcW w:w="3644" w:type="dxa"/>
            <w:tcBorders>
              <w:top w:val="nil"/>
              <w:left w:val="single" w:color="000000" w:sz="4" w:space="0"/>
              <w:bottom w:val="single" w:color="000000" w:sz="4" w:space="0"/>
              <w:right w:val="single" w:color="000000" w:sz="4" w:space="0"/>
            </w:tcBorders>
          </w:tcPr>
          <w:p w14:paraId="3B653E98">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不得检出</w:t>
            </w:r>
          </w:p>
        </w:tc>
      </w:tr>
      <w:tr w14:paraId="17E342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6211C16A">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呋喃丹</w:t>
            </w:r>
          </w:p>
        </w:tc>
        <w:tc>
          <w:tcPr>
            <w:tcW w:w="3644" w:type="dxa"/>
            <w:tcBorders>
              <w:top w:val="nil"/>
              <w:left w:val="single" w:color="000000" w:sz="4" w:space="0"/>
              <w:bottom w:val="single" w:color="000000" w:sz="4" w:space="0"/>
              <w:right w:val="single" w:color="000000" w:sz="4" w:space="0"/>
            </w:tcBorders>
          </w:tcPr>
          <w:p w14:paraId="661AC904">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不得检出</w:t>
            </w:r>
          </w:p>
        </w:tc>
      </w:tr>
      <w:tr w14:paraId="29BCF0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04274B90">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百菌清</w:t>
            </w:r>
          </w:p>
        </w:tc>
        <w:tc>
          <w:tcPr>
            <w:tcW w:w="3644" w:type="dxa"/>
            <w:tcBorders>
              <w:top w:val="nil"/>
              <w:left w:val="single" w:color="000000" w:sz="4" w:space="0"/>
              <w:bottom w:val="single" w:color="000000" w:sz="4" w:space="0"/>
              <w:right w:val="single" w:color="000000" w:sz="4" w:space="0"/>
            </w:tcBorders>
          </w:tcPr>
          <w:p w14:paraId="7F2E6080">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≤1.0</w:t>
            </w:r>
          </w:p>
        </w:tc>
      </w:tr>
      <w:tr w14:paraId="295276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547EA0BD">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多菌灵</w:t>
            </w:r>
          </w:p>
        </w:tc>
        <w:tc>
          <w:tcPr>
            <w:tcW w:w="3644" w:type="dxa"/>
            <w:tcBorders>
              <w:top w:val="nil"/>
              <w:left w:val="single" w:color="000000" w:sz="4" w:space="0"/>
              <w:bottom w:val="single" w:color="000000" w:sz="4" w:space="0"/>
              <w:right w:val="single" w:color="000000" w:sz="4" w:space="0"/>
            </w:tcBorders>
          </w:tcPr>
          <w:p w14:paraId="5026589A">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≤0.5</w:t>
            </w:r>
          </w:p>
        </w:tc>
      </w:tr>
      <w:tr w14:paraId="0DAB2D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7452A7C1">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汞（以Hg计）</w:t>
            </w:r>
          </w:p>
        </w:tc>
        <w:tc>
          <w:tcPr>
            <w:tcW w:w="3644" w:type="dxa"/>
            <w:tcBorders>
              <w:top w:val="nil"/>
              <w:left w:val="single" w:color="000000" w:sz="4" w:space="0"/>
              <w:bottom w:val="single" w:color="000000" w:sz="4" w:space="0"/>
              <w:right w:val="single" w:color="000000" w:sz="4" w:space="0"/>
            </w:tcBorders>
          </w:tcPr>
          <w:p w14:paraId="5AF12565">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≤0.01</w:t>
            </w:r>
          </w:p>
        </w:tc>
      </w:tr>
      <w:tr w14:paraId="40E77A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2F2D7290">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铅（以Pb计）</w:t>
            </w:r>
          </w:p>
        </w:tc>
        <w:tc>
          <w:tcPr>
            <w:tcW w:w="3644" w:type="dxa"/>
            <w:tcBorders>
              <w:top w:val="nil"/>
              <w:left w:val="single" w:color="000000" w:sz="4" w:space="0"/>
              <w:bottom w:val="single" w:color="000000" w:sz="4" w:space="0"/>
              <w:right w:val="single" w:color="000000" w:sz="4" w:space="0"/>
            </w:tcBorders>
          </w:tcPr>
          <w:p w14:paraId="2B13C67C">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≤0.2</w:t>
            </w:r>
          </w:p>
        </w:tc>
      </w:tr>
      <w:tr w14:paraId="354F05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24496768">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砷（以As计）</w:t>
            </w:r>
          </w:p>
        </w:tc>
        <w:tc>
          <w:tcPr>
            <w:tcW w:w="3644" w:type="dxa"/>
            <w:tcBorders>
              <w:top w:val="nil"/>
              <w:left w:val="single" w:color="000000" w:sz="4" w:space="0"/>
              <w:bottom w:val="single" w:color="000000" w:sz="4" w:space="0"/>
              <w:right w:val="single" w:color="000000" w:sz="4" w:space="0"/>
            </w:tcBorders>
          </w:tcPr>
          <w:p w14:paraId="4E305F1D">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≤0.5</w:t>
            </w:r>
          </w:p>
        </w:tc>
      </w:tr>
      <w:tr w14:paraId="6F6B10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4B06A323">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氟（以F计）</w:t>
            </w:r>
          </w:p>
        </w:tc>
        <w:tc>
          <w:tcPr>
            <w:tcW w:w="3644" w:type="dxa"/>
            <w:tcBorders>
              <w:top w:val="nil"/>
              <w:left w:val="single" w:color="000000" w:sz="4" w:space="0"/>
              <w:bottom w:val="single" w:color="000000" w:sz="4" w:space="0"/>
              <w:right w:val="single" w:color="000000" w:sz="4" w:space="0"/>
            </w:tcBorders>
          </w:tcPr>
          <w:p w14:paraId="5D5EB316">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≤0.5</w:t>
            </w:r>
          </w:p>
        </w:tc>
      </w:tr>
      <w:tr w14:paraId="3AB0B2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626A3BE4">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硝酸盐（以NaNO</w:t>
            </w:r>
            <w:r>
              <w:rPr>
                <w:rFonts w:hint="eastAsia" w:ascii="宋体" w:hAnsi="宋体" w:eastAsia="宋体" w:cs="宋体"/>
                <w:color w:val="000000" w:themeColor="text1"/>
                <w:sz w:val="18"/>
                <w:szCs w:val="18"/>
                <w:highlight w:val="none"/>
                <w:vertAlign w:val="subscript"/>
                <w14:textFill>
                  <w14:solidFill>
                    <w14:schemeClr w14:val="tx1"/>
                  </w14:solidFill>
                </w14:textFill>
              </w:rPr>
              <w:t>3</w:t>
            </w:r>
            <w:r>
              <w:rPr>
                <w:rFonts w:hint="eastAsia" w:ascii="宋体" w:hAnsi="宋体" w:eastAsia="宋体" w:cs="宋体"/>
                <w:color w:val="000000" w:themeColor="text1"/>
                <w:sz w:val="18"/>
                <w:szCs w:val="18"/>
                <w:highlight w:val="none"/>
                <w14:textFill>
                  <w14:solidFill>
                    <w14:schemeClr w14:val="tx1"/>
                  </w14:solidFill>
                </w14:textFill>
              </w:rPr>
              <w:t>计）</w:t>
            </w:r>
          </w:p>
        </w:tc>
        <w:tc>
          <w:tcPr>
            <w:tcW w:w="3644" w:type="dxa"/>
            <w:tcBorders>
              <w:top w:val="nil"/>
              <w:left w:val="single" w:color="000000" w:sz="4" w:space="0"/>
              <w:bottom w:val="single" w:color="000000" w:sz="4" w:space="0"/>
              <w:right w:val="single" w:color="000000" w:sz="4" w:space="0"/>
            </w:tcBorders>
          </w:tcPr>
          <w:p w14:paraId="066B1E4E">
            <w:pPr>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瓜果类≤600；叶菜根茎类≤1200</w:t>
            </w:r>
          </w:p>
        </w:tc>
      </w:tr>
      <w:tr w14:paraId="0F301C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086" w:type="dxa"/>
            <w:tcBorders>
              <w:top w:val="nil"/>
              <w:left w:val="single" w:color="000000" w:sz="4" w:space="0"/>
              <w:bottom w:val="single" w:color="000000" w:sz="4" w:space="0"/>
              <w:right w:val="single" w:color="000000" w:sz="4" w:space="0"/>
            </w:tcBorders>
          </w:tcPr>
          <w:p w14:paraId="07E284CE">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亚硝酸盐（以NaNO</w:t>
            </w:r>
            <w:r>
              <w:rPr>
                <w:rFonts w:hint="eastAsia" w:ascii="宋体" w:hAnsi="宋体" w:eastAsia="宋体" w:cs="宋体"/>
                <w:color w:val="000000" w:themeColor="text1"/>
                <w:sz w:val="18"/>
                <w:szCs w:val="18"/>
                <w:highlight w:val="none"/>
                <w:vertAlign w:val="subscript"/>
                <w14:textFill>
                  <w14:solidFill>
                    <w14:schemeClr w14:val="tx1"/>
                  </w14:solidFill>
                </w14:textFill>
              </w:rPr>
              <w:t>2</w:t>
            </w:r>
            <w:r>
              <w:rPr>
                <w:rFonts w:hint="eastAsia" w:ascii="宋体" w:hAnsi="宋体" w:eastAsia="宋体" w:cs="宋体"/>
                <w:color w:val="000000" w:themeColor="text1"/>
                <w:sz w:val="18"/>
                <w:szCs w:val="18"/>
                <w:highlight w:val="none"/>
                <w14:textFill>
                  <w14:solidFill>
                    <w14:schemeClr w14:val="tx1"/>
                  </w14:solidFill>
                </w14:textFill>
              </w:rPr>
              <w:t>计）</w:t>
            </w:r>
          </w:p>
        </w:tc>
        <w:tc>
          <w:tcPr>
            <w:tcW w:w="3644" w:type="dxa"/>
            <w:tcBorders>
              <w:top w:val="nil"/>
              <w:left w:val="single" w:color="000000" w:sz="4" w:space="0"/>
              <w:bottom w:val="single" w:color="000000" w:sz="4" w:space="0"/>
              <w:right w:val="single" w:color="000000" w:sz="4" w:space="0"/>
            </w:tcBorders>
          </w:tcPr>
          <w:p w14:paraId="079A73E2">
            <w:pPr>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≤4</w:t>
            </w:r>
          </w:p>
        </w:tc>
      </w:tr>
    </w:tbl>
    <w:p w14:paraId="5FD31ED3">
      <w:pPr>
        <w:tabs>
          <w:tab w:val="left" w:pos="567"/>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（6）肉类（含生鲜、冻品、鱼类等）</w:t>
      </w:r>
    </w:p>
    <w:p w14:paraId="09FF7C52">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肉类应保持较好的外观和质量等级，符合国家食品部门的有关标准，保证无异味、无霉烂变质，肉类保证来源于正规肉屠宰场，供货时须提交屠宰场的验收单及当批次有效的动物检疫合格证复印件，新鲜肉确保每日新鲜，为当天正规屠宰场宰杀的新鲜肉；冷冻肉要求肉体冻实而坚硬，无化冻现象，肉质紧密而有弹性，色泽均匀，不粘手，交货时干净、新鲜、无异味；</w:t>
      </w:r>
    </w:p>
    <w:p w14:paraId="274B5353">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②家禽类（鸡、鸭等）需去净毛和内脏；</w:t>
      </w:r>
    </w:p>
    <w:p w14:paraId="788F4028">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鲜鱼类鱼体饱满结实、新鲜，无腐烂异味，肉质紧密有弹性，无离骨脱刺现象。鲜鱼类来源可靠放心，无毒、无害、无污染。冷冻鱼类要求鱼眼睛清亮，角膜透明，鳞片上覆有冻结的透明黏液层，皮肤天然色泽明显；</w:t>
      </w:r>
    </w:p>
    <w:p w14:paraId="61626321">
      <w:pPr>
        <w:tabs>
          <w:tab w:val="left" w:pos="567"/>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（7）粮油类</w:t>
      </w:r>
    </w:p>
    <w:p w14:paraId="474D673C">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①基本要求：外包装完好，有SC标志，标明品名、厂名、重量、生产日期、保质期或保存期、执行标准，剩余保质期不少于三分二，具有产品合格证；</w:t>
      </w:r>
    </w:p>
    <w:p w14:paraId="0F9DCF5E">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②食用油生产企业的资质证明：《企业法人营业执照》，《食品流通许可证》或《食品经营许可证》或同等含义证书，《全国工业产品生产许可证》或《食品生产许可证》或同等含义证书； </w:t>
      </w:r>
    </w:p>
    <w:p w14:paraId="4B8FAF46">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③大米质量标准：有SC标志，标明加工厂名称、品名、生产日期、保持期或保存期，供货时的剩余保质期不少于三分之二，质量等级、产品标准号、产品合格证，质量符合大米国家标准与国家粮食卫生标准；</w:t>
      </w:r>
    </w:p>
    <w:p w14:paraId="16642895">
      <w:pPr>
        <w:tabs>
          <w:tab w:val="left" w:pos="567"/>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（8）干货、副食品类</w:t>
      </w:r>
    </w:p>
    <w:p w14:paraId="19AA0D10">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干货、副食品质量基本标准要求符合国家相关行业标准，干爽，不霉烂、整齐、均匀、完整，无虫蛀、无杂质，保持应有的色泽。确保产品质量稳定，保证营养丰富、绿色安全、海味浓郁、易存放、食用方便，保质期长。从加工、包装、运输、贮存到销售全部符合国家规定标准，副食品必须具有SC食品质量认证标志；</w:t>
      </w:r>
    </w:p>
    <w:p w14:paraId="5BB289AE">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②标签标识：标明产品名称、净含量、生产者名称和地址、生产日期、保质期、产品标准号、质量等级、生产许可证号、产品批号等内容；</w:t>
      </w:r>
    </w:p>
    <w:p w14:paraId="21E0B4F2">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③质量要求：符合国家食品标准，提供的货品剩余保存期不少于保质期的三分之二；</w:t>
      </w:r>
    </w:p>
    <w:p w14:paraId="63BA5FD9">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④几种主要副食品的质量要求</w:t>
      </w:r>
    </w:p>
    <w:p w14:paraId="47CDD064">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鸡蛋：蛋壳清洁完整，色泽鲜明，无破损、裂纹，无霉斑，灯光透视时，整个蛋呈桔黄色至橙红色，蛋黄不见或略见阴影，没有霉味、酸味，臭味等不良气味，打开后蛋黄凸起、完整、有韧性，蛋白澄清、透明、稀稠分明，无异味。</w:t>
      </w:r>
    </w:p>
    <w:p w14:paraId="57C3595C">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皮蛋：外表泥状包料完整、无霉斑，包料除掉后蛋壳亦完整无损，灯光透照蛋内容物凝固不动，打开观察，整个蛋凝固、不粘壳、清洁而有弹性、呈半透明的棕黄色，闻起来有芳香，无辛辣气。</w:t>
      </w:r>
    </w:p>
    <w:p w14:paraId="05DD0DDD">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咸蛋：蛋壳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有咸蛋固有的香味。</w:t>
      </w:r>
    </w:p>
    <w:p w14:paraId="470CBBC3">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豆腐：豆腐呈均匀的乳白色或淡黄色，稍有光泽，块形完整，软硬适度，富有一定的弹性，质地细嫩、结构均匀、无杂质，具有豆腐特有的香味，口感细腻鲜嫩，味道纯正清香。</w:t>
      </w:r>
    </w:p>
    <w:p w14:paraId="7ED56359">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大豆：豆皮色光彩油亮，洁净而有光泽，颗粒饱满，整齐均匀，无虫蛀粒，无杂质，无霉变。</w:t>
      </w:r>
    </w:p>
    <w:p w14:paraId="73CE4768">
      <w:pPr>
        <w:tabs>
          <w:tab w:val="left" w:pos="567"/>
        </w:tabs>
        <w:spacing w:line="360" w:lineRule="auto"/>
        <w:ind w:left="142"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花生：果荚呈土黄色或白色，果仁呈各不同品种所特有的颜色，色泽分布均匀一致，带荚花生和去荚果仁均颗粒饱满、形态完整、大小均匀，子叶肥厚而有光泽，无杂质，具有花生特有的气味、香味，无任何异味。</w:t>
      </w:r>
    </w:p>
    <w:p w14:paraId="083E7798">
      <w:pPr>
        <w:tabs>
          <w:tab w:val="left" w:pos="567"/>
        </w:tabs>
        <w:spacing w:line="360" w:lineRule="auto"/>
        <w:ind w:left="142"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食糖：干燥，晶粒松散，不粘手，不结块，无肉眼可见的杂质，白糖的水溶液应清晰透明无杂质。</w:t>
      </w:r>
    </w:p>
    <w:p w14:paraId="44441F4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、食堂所使用的洗洁用品必须是安全环保、大品牌的产品。</w:t>
      </w:r>
    </w:p>
    <w:p w14:paraId="0F28AE9F">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（五）食堂废料处理</w:t>
      </w:r>
    </w:p>
    <w:p w14:paraId="6D9F603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食堂的泔水、食材废料、纸皮等由中标人负责处理，中标人必须自备垃圾桶（带盖子），不得乱倒垃圾、剩饭菜，不得将垃圾及杂物倒入医院垃圾筒或垃圾房。中标人需要提供不锈钢制品（带盖子）的潲水回收车，中标人与资质的厨余垃圾回收公司签订收运协议，按照要求收运处理厨余垃圾。采购人有权要求其在指定时间和范围内将泔水及废料运出，以保障厨房、餐厅整体环境卫生。</w:t>
      </w:r>
    </w:p>
    <w:p w14:paraId="5303165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2、若上级有文件出台规定统一处理泔水、食材废料等，则按上级文件执行。</w:t>
      </w:r>
    </w:p>
    <w:p w14:paraId="7618FE08">
      <w:pPr>
        <w:rPr>
          <w:lang w:eastAsia="zh-CN"/>
        </w:rPr>
      </w:pPr>
      <w:r>
        <w:rPr>
          <w:rFonts w:hint="eastAsia" w:ascii="宋体" w:hAnsi="宋体" w:eastAsia="宋体" w:cs="宋体"/>
          <w:b/>
          <w:bCs/>
          <w:sz w:val="24"/>
          <w:szCs w:val="24"/>
          <w:highlight w:val="none"/>
          <w:lang w:eastAsia="zh-CN"/>
        </w:rPr>
        <w:t>（六）食堂设备</w:t>
      </w:r>
    </w:p>
    <w:p w14:paraId="5BFAD16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1.中标人须配备各功能区和大部分主要的设施设备。合同结束后，中标人有权收回的设施设备应完好并能使用。</w:t>
      </w:r>
    </w:p>
    <w:p w14:paraId="69FBEE3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2.中标人需自行配备除“厨房设施设备清单”之外的所有符合国家食品卫生标准的食堂用品，主要包括食物保温设备、盛放各种物品的容器、砧板、菜刀、就餐用具、清洁用具、配送车辆及其用具等。</w:t>
      </w:r>
    </w:p>
    <w:p w14:paraId="7CB14C00">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3.承包期间，食堂设施设备的维护及维修（包括空调、冰箱、消毒柜、风扇、蒸饭机、电子锅、电饭煲、餐具、纱窗、灯、水管等）费用由中标人负责。</w:t>
      </w:r>
    </w:p>
    <w:p w14:paraId="560CA82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4.若医院食堂存在设施设备不足的情况下，中标人应自行补齐。（详见附件一：厨房设施设备清单）</w:t>
      </w:r>
    </w:p>
    <w:p w14:paraId="1BC40A8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5.采购人和中标人共同努力，在开餐前一周完成各项准备工作，保证所有硬件设备运作正常。在规定的时间准时、正常的开餐。如有延误，查明确属中标人责任，由中标人全部承担因此产生的经济及相关责任。</w:t>
      </w:r>
    </w:p>
    <w:p w14:paraId="7CEAA9C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附件一：</w:t>
      </w:r>
    </w:p>
    <w:p w14:paraId="1BDF2DD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厨房设施设备清单</w:t>
      </w:r>
    </w:p>
    <w:tbl>
      <w:tblPr>
        <w:tblStyle w:val="20"/>
        <w:tblW w:w="4163" w:type="pct"/>
        <w:tblInd w:w="84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822"/>
        <w:gridCol w:w="4254"/>
        <w:gridCol w:w="1479"/>
        <w:gridCol w:w="1744"/>
      </w:tblGrid>
      <w:tr w14:paraId="46C756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6CB4465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2563" w:type="pct"/>
          </w:tcPr>
          <w:p w14:paraId="4741DF71">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物资名称</w:t>
            </w:r>
          </w:p>
        </w:tc>
        <w:tc>
          <w:tcPr>
            <w:tcW w:w="891" w:type="pct"/>
          </w:tcPr>
          <w:p w14:paraId="42B320D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单位</w:t>
            </w:r>
          </w:p>
        </w:tc>
        <w:tc>
          <w:tcPr>
            <w:tcW w:w="1051" w:type="pct"/>
          </w:tcPr>
          <w:p w14:paraId="6CC956A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数量</w:t>
            </w:r>
          </w:p>
        </w:tc>
      </w:tr>
      <w:tr w14:paraId="0BD31F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5497F900">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c>
          <w:tcPr>
            <w:tcW w:w="2563" w:type="pct"/>
          </w:tcPr>
          <w:p w14:paraId="5DB777D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大电炒炉</w:t>
            </w:r>
          </w:p>
        </w:tc>
        <w:tc>
          <w:tcPr>
            <w:tcW w:w="891" w:type="pct"/>
          </w:tcPr>
          <w:p w14:paraId="31A35E0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c>
          <w:tcPr>
            <w:tcW w:w="1051" w:type="pct"/>
          </w:tcPr>
          <w:p w14:paraId="52AF547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733B2B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2421D1F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p>
        </w:tc>
        <w:tc>
          <w:tcPr>
            <w:tcW w:w="2563" w:type="pct"/>
          </w:tcPr>
          <w:p w14:paraId="56E6604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小电炒炉</w:t>
            </w:r>
          </w:p>
        </w:tc>
        <w:tc>
          <w:tcPr>
            <w:tcW w:w="891" w:type="pct"/>
          </w:tcPr>
          <w:p w14:paraId="7C33F11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c>
          <w:tcPr>
            <w:tcW w:w="1051" w:type="pct"/>
          </w:tcPr>
          <w:p w14:paraId="355BBED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127D0E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19EE7B0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p>
        </w:tc>
        <w:tc>
          <w:tcPr>
            <w:tcW w:w="2563" w:type="pct"/>
          </w:tcPr>
          <w:p w14:paraId="7A7F1A9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餐台</w:t>
            </w:r>
          </w:p>
        </w:tc>
        <w:tc>
          <w:tcPr>
            <w:tcW w:w="891" w:type="pct"/>
          </w:tcPr>
          <w:p w14:paraId="1DD3544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张</w:t>
            </w:r>
          </w:p>
        </w:tc>
        <w:tc>
          <w:tcPr>
            <w:tcW w:w="1051" w:type="pct"/>
          </w:tcPr>
          <w:p w14:paraId="6F06822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w:t>
            </w:r>
          </w:p>
        </w:tc>
      </w:tr>
      <w:tr w14:paraId="231CD7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2C379D6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p>
        </w:tc>
        <w:tc>
          <w:tcPr>
            <w:tcW w:w="2563" w:type="pct"/>
          </w:tcPr>
          <w:p w14:paraId="0E63030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餐椅</w:t>
            </w:r>
          </w:p>
        </w:tc>
        <w:tc>
          <w:tcPr>
            <w:tcW w:w="891" w:type="pct"/>
          </w:tcPr>
          <w:p w14:paraId="45EC836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张</w:t>
            </w:r>
          </w:p>
        </w:tc>
        <w:tc>
          <w:tcPr>
            <w:tcW w:w="1051" w:type="pct"/>
          </w:tcPr>
          <w:p w14:paraId="7B96A6F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80</w:t>
            </w:r>
          </w:p>
        </w:tc>
      </w:tr>
      <w:tr w14:paraId="75ED70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07E2B37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p>
        </w:tc>
        <w:tc>
          <w:tcPr>
            <w:tcW w:w="2563" w:type="pct"/>
          </w:tcPr>
          <w:p w14:paraId="53103B2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蒸饭柜炬栊</w:t>
            </w:r>
          </w:p>
        </w:tc>
        <w:tc>
          <w:tcPr>
            <w:tcW w:w="891" w:type="pct"/>
          </w:tcPr>
          <w:p w14:paraId="5BE4726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c>
          <w:tcPr>
            <w:tcW w:w="1051" w:type="pct"/>
          </w:tcPr>
          <w:p w14:paraId="5214BC4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350E57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0FAE402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w:t>
            </w:r>
          </w:p>
        </w:tc>
        <w:tc>
          <w:tcPr>
            <w:tcW w:w="2563" w:type="pct"/>
          </w:tcPr>
          <w:p w14:paraId="3C26C38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电汤炉</w:t>
            </w:r>
          </w:p>
        </w:tc>
        <w:tc>
          <w:tcPr>
            <w:tcW w:w="891" w:type="pct"/>
          </w:tcPr>
          <w:p w14:paraId="1863090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222D307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7F7E19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072B0B6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w:t>
            </w:r>
          </w:p>
        </w:tc>
        <w:tc>
          <w:tcPr>
            <w:tcW w:w="2563" w:type="pct"/>
          </w:tcPr>
          <w:p w14:paraId="2593E72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蒸包机</w:t>
            </w:r>
          </w:p>
        </w:tc>
        <w:tc>
          <w:tcPr>
            <w:tcW w:w="891" w:type="pct"/>
          </w:tcPr>
          <w:p w14:paraId="785AD22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2F030570">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60F168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2F8442B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w:t>
            </w:r>
          </w:p>
        </w:tc>
        <w:tc>
          <w:tcPr>
            <w:tcW w:w="2563" w:type="pct"/>
          </w:tcPr>
          <w:p w14:paraId="5887784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保温台</w:t>
            </w:r>
          </w:p>
        </w:tc>
        <w:tc>
          <w:tcPr>
            <w:tcW w:w="891" w:type="pct"/>
          </w:tcPr>
          <w:p w14:paraId="0B2459B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598ACF3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642F56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7A1B3F4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w:t>
            </w:r>
          </w:p>
        </w:tc>
        <w:tc>
          <w:tcPr>
            <w:tcW w:w="2563" w:type="pct"/>
          </w:tcPr>
          <w:p w14:paraId="1DFAB3B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煮面炉</w:t>
            </w:r>
          </w:p>
        </w:tc>
        <w:tc>
          <w:tcPr>
            <w:tcW w:w="891" w:type="pct"/>
          </w:tcPr>
          <w:p w14:paraId="38A93ED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423E088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3A2C30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5D11AF4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w:t>
            </w:r>
          </w:p>
        </w:tc>
        <w:tc>
          <w:tcPr>
            <w:tcW w:w="2563" w:type="pct"/>
          </w:tcPr>
          <w:p w14:paraId="78133FE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蒸柜</w:t>
            </w:r>
          </w:p>
        </w:tc>
        <w:tc>
          <w:tcPr>
            <w:tcW w:w="891" w:type="pct"/>
          </w:tcPr>
          <w:p w14:paraId="74F6C19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1C62706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34B618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3C490A9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w:t>
            </w:r>
          </w:p>
        </w:tc>
        <w:tc>
          <w:tcPr>
            <w:tcW w:w="2563" w:type="pct"/>
          </w:tcPr>
          <w:p w14:paraId="3069A9B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冷藏柜</w:t>
            </w:r>
          </w:p>
        </w:tc>
        <w:tc>
          <w:tcPr>
            <w:tcW w:w="891" w:type="pct"/>
          </w:tcPr>
          <w:p w14:paraId="1BF4254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23D650A1">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6A0F19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016AD941">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w:t>
            </w:r>
          </w:p>
        </w:tc>
        <w:tc>
          <w:tcPr>
            <w:tcW w:w="2563" w:type="pct"/>
          </w:tcPr>
          <w:p w14:paraId="6FA1F1F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消毒柜</w:t>
            </w:r>
          </w:p>
        </w:tc>
        <w:tc>
          <w:tcPr>
            <w:tcW w:w="891" w:type="pct"/>
          </w:tcPr>
          <w:p w14:paraId="5E7948F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70D9385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634305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7614412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w:t>
            </w:r>
          </w:p>
        </w:tc>
        <w:tc>
          <w:tcPr>
            <w:tcW w:w="2563" w:type="pct"/>
          </w:tcPr>
          <w:p w14:paraId="6DD40BC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保鲜柜</w:t>
            </w:r>
          </w:p>
        </w:tc>
        <w:tc>
          <w:tcPr>
            <w:tcW w:w="891" w:type="pct"/>
          </w:tcPr>
          <w:p w14:paraId="41E47FD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1009EDE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3E51AC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2DE7149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w:t>
            </w:r>
          </w:p>
        </w:tc>
        <w:tc>
          <w:tcPr>
            <w:tcW w:w="2563" w:type="pct"/>
          </w:tcPr>
          <w:p w14:paraId="4D30026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洗菜池</w:t>
            </w:r>
          </w:p>
        </w:tc>
        <w:tc>
          <w:tcPr>
            <w:tcW w:w="891" w:type="pct"/>
          </w:tcPr>
          <w:p w14:paraId="4C04C29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c>
          <w:tcPr>
            <w:tcW w:w="1051" w:type="pct"/>
          </w:tcPr>
          <w:p w14:paraId="0F67156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271F45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0C68E9F1">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w:t>
            </w:r>
          </w:p>
        </w:tc>
        <w:tc>
          <w:tcPr>
            <w:tcW w:w="2563" w:type="pct"/>
          </w:tcPr>
          <w:p w14:paraId="3EE61AE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大荷台</w:t>
            </w:r>
          </w:p>
        </w:tc>
        <w:tc>
          <w:tcPr>
            <w:tcW w:w="891" w:type="pct"/>
          </w:tcPr>
          <w:p w14:paraId="21B7B02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张</w:t>
            </w:r>
          </w:p>
        </w:tc>
        <w:tc>
          <w:tcPr>
            <w:tcW w:w="1051" w:type="pct"/>
          </w:tcPr>
          <w:p w14:paraId="023FD8A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64EFE1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605F655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16</w:t>
            </w:r>
          </w:p>
        </w:tc>
        <w:tc>
          <w:tcPr>
            <w:tcW w:w="2563" w:type="pct"/>
          </w:tcPr>
          <w:p w14:paraId="42D57F3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小荷台</w:t>
            </w:r>
          </w:p>
        </w:tc>
        <w:tc>
          <w:tcPr>
            <w:tcW w:w="891" w:type="pct"/>
          </w:tcPr>
          <w:p w14:paraId="04224CB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张</w:t>
            </w:r>
          </w:p>
        </w:tc>
        <w:tc>
          <w:tcPr>
            <w:tcW w:w="1051" w:type="pct"/>
          </w:tcPr>
          <w:p w14:paraId="5338F04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w:t>
            </w:r>
          </w:p>
        </w:tc>
      </w:tr>
      <w:tr w14:paraId="0FAB59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7C23922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17</w:t>
            </w:r>
          </w:p>
        </w:tc>
        <w:tc>
          <w:tcPr>
            <w:tcW w:w="2563" w:type="pct"/>
          </w:tcPr>
          <w:p w14:paraId="7C79F9E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雪柜</w:t>
            </w:r>
          </w:p>
        </w:tc>
        <w:tc>
          <w:tcPr>
            <w:tcW w:w="891" w:type="pct"/>
          </w:tcPr>
          <w:p w14:paraId="7DD6F89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438D599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5383B4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5453399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18</w:t>
            </w:r>
          </w:p>
        </w:tc>
        <w:tc>
          <w:tcPr>
            <w:tcW w:w="2563" w:type="pct"/>
          </w:tcPr>
          <w:p w14:paraId="0D99BC5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冷藏蔬菜柜</w:t>
            </w:r>
          </w:p>
        </w:tc>
        <w:tc>
          <w:tcPr>
            <w:tcW w:w="891" w:type="pct"/>
          </w:tcPr>
          <w:p w14:paraId="24D1F2A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04F22BB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193059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296AAF7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19</w:t>
            </w:r>
          </w:p>
        </w:tc>
        <w:tc>
          <w:tcPr>
            <w:tcW w:w="2563" w:type="pct"/>
          </w:tcPr>
          <w:p w14:paraId="7C1276B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隔油处理系统</w:t>
            </w:r>
          </w:p>
        </w:tc>
        <w:tc>
          <w:tcPr>
            <w:tcW w:w="891" w:type="pct"/>
          </w:tcPr>
          <w:p w14:paraId="50CE6D4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4CC12EA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44A492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4827DDD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w:t>
            </w:r>
          </w:p>
        </w:tc>
        <w:tc>
          <w:tcPr>
            <w:tcW w:w="2563" w:type="pct"/>
          </w:tcPr>
          <w:p w14:paraId="660B2F9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手推车</w:t>
            </w:r>
          </w:p>
        </w:tc>
        <w:tc>
          <w:tcPr>
            <w:tcW w:w="891" w:type="pct"/>
          </w:tcPr>
          <w:p w14:paraId="1212B0D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1AEF909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w:t>
            </w:r>
          </w:p>
        </w:tc>
      </w:tr>
      <w:tr w14:paraId="6E23DB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5493159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w:t>
            </w:r>
          </w:p>
        </w:tc>
        <w:tc>
          <w:tcPr>
            <w:tcW w:w="2563" w:type="pct"/>
          </w:tcPr>
          <w:p w14:paraId="7D49EBD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热水器</w:t>
            </w:r>
          </w:p>
        </w:tc>
        <w:tc>
          <w:tcPr>
            <w:tcW w:w="891" w:type="pct"/>
          </w:tcPr>
          <w:p w14:paraId="505D008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台</w:t>
            </w:r>
          </w:p>
        </w:tc>
        <w:tc>
          <w:tcPr>
            <w:tcW w:w="1051" w:type="pct"/>
          </w:tcPr>
          <w:p w14:paraId="7EB07CB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4610A8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39C3C05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23</w:t>
            </w:r>
          </w:p>
        </w:tc>
        <w:tc>
          <w:tcPr>
            <w:tcW w:w="2563" w:type="pct"/>
          </w:tcPr>
          <w:p w14:paraId="23BBF42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油烟过滤系统（软硬件）</w:t>
            </w:r>
          </w:p>
        </w:tc>
        <w:tc>
          <w:tcPr>
            <w:tcW w:w="891" w:type="pct"/>
          </w:tcPr>
          <w:p w14:paraId="08E543DF">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c>
          <w:tcPr>
            <w:tcW w:w="1051" w:type="pct"/>
          </w:tcPr>
          <w:p w14:paraId="66BDC3E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24A4A8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6549AFB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24</w:t>
            </w:r>
          </w:p>
        </w:tc>
        <w:tc>
          <w:tcPr>
            <w:tcW w:w="2563" w:type="pct"/>
          </w:tcPr>
          <w:p w14:paraId="08F5B90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微波炉</w:t>
            </w:r>
          </w:p>
        </w:tc>
        <w:tc>
          <w:tcPr>
            <w:tcW w:w="891" w:type="pct"/>
          </w:tcPr>
          <w:p w14:paraId="7D8790E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台</w:t>
            </w:r>
          </w:p>
        </w:tc>
        <w:tc>
          <w:tcPr>
            <w:tcW w:w="1051" w:type="pct"/>
          </w:tcPr>
          <w:p w14:paraId="38AC9C61">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1EDDC4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717F88D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25</w:t>
            </w:r>
          </w:p>
        </w:tc>
        <w:tc>
          <w:tcPr>
            <w:tcW w:w="2563" w:type="pct"/>
          </w:tcPr>
          <w:p w14:paraId="4F9E63F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留样柜</w:t>
            </w:r>
          </w:p>
        </w:tc>
        <w:tc>
          <w:tcPr>
            <w:tcW w:w="891" w:type="pct"/>
          </w:tcPr>
          <w:p w14:paraId="64902A3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台</w:t>
            </w:r>
          </w:p>
        </w:tc>
        <w:tc>
          <w:tcPr>
            <w:tcW w:w="1051" w:type="pct"/>
          </w:tcPr>
          <w:p w14:paraId="7215487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2655B8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67010FC0">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26</w:t>
            </w:r>
          </w:p>
        </w:tc>
        <w:tc>
          <w:tcPr>
            <w:tcW w:w="2563" w:type="pct"/>
          </w:tcPr>
          <w:p w14:paraId="7FDCF3B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胶凳</w:t>
            </w:r>
          </w:p>
        </w:tc>
        <w:tc>
          <w:tcPr>
            <w:tcW w:w="891" w:type="pct"/>
          </w:tcPr>
          <w:p w14:paraId="6169BDF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张</w:t>
            </w:r>
          </w:p>
        </w:tc>
        <w:tc>
          <w:tcPr>
            <w:tcW w:w="1051" w:type="pct"/>
          </w:tcPr>
          <w:p w14:paraId="09C4A9D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w:t>
            </w:r>
          </w:p>
        </w:tc>
      </w:tr>
      <w:tr w14:paraId="3C7A80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08632330">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27</w:t>
            </w:r>
          </w:p>
        </w:tc>
        <w:tc>
          <w:tcPr>
            <w:tcW w:w="2563" w:type="pct"/>
          </w:tcPr>
          <w:p w14:paraId="1D14E3B1">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380伏供电系统</w:t>
            </w:r>
          </w:p>
        </w:tc>
        <w:tc>
          <w:tcPr>
            <w:tcW w:w="891" w:type="pct"/>
          </w:tcPr>
          <w:p w14:paraId="314C20F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c>
          <w:tcPr>
            <w:tcW w:w="1051" w:type="pct"/>
          </w:tcPr>
          <w:p w14:paraId="56FE9D0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0023F2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5D492B4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28</w:t>
            </w:r>
          </w:p>
        </w:tc>
        <w:tc>
          <w:tcPr>
            <w:tcW w:w="2563" w:type="pct"/>
          </w:tcPr>
          <w:p w14:paraId="47575C6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不锈钢送餐柜</w:t>
            </w:r>
          </w:p>
        </w:tc>
        <w:tc>
          <w:tcPr>
            <w:tcW w:w="891" w:type="pct"/>
          </w:tcPr>
          <w:p w14:paraId="120C18A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6BEF36F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r>
      <w:tr w14:paraId="58B6D3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495" w:type="pct"/>
          </w:tcPr>
          <w:p w14:paraId="7487752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29</w:t>
            </w:r>
          </w:p>
        </w:tc>
        <w:tc>
          <w:tcPr>
            <w:tcW w:w="2563" w:type="pct"/>
          </w:tcPr>
          <w:p w14:paraId="2D2DE2D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货架</w:t>
            </w:r>
          </w:p>
        </w:tc>
        <w:tc>
          <w:tcPr>
            <w:tcW w:w="891" w:type="pct"/>
          </w:tcPr>
          <w:p w14:paraId="782A772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个</w:t>
            </w:r>
          </w:p>
        </w:tc>
        <w:tc>
          <w:tcPr>
            <w:tcW w:w="1051" w:type="pct"/>
          </w:tcPr>
          <w:p w14:paraId="4CA8AB6C">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p>
        </w:tc>
      </w:tr>
    </w:tbl>
    <w:p w14:paraId="5730713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注：以实际实施时现有设备为准。</w:t>
      </w:r>
    </w:p>
    <w:p w14:paraId="4BA25CD8">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（七）</w:t>
      </w:r>
      <w:r>
        <w:rPr>
          <w:rFonts w:hint="eastAsia" w:ascii="宋体" w:hAnsi="宋体" w:eastAsia="宋体" w:cs="宋体"/>
          <w:b/>
          <w:bCs/>
          <w:sz w:val="24"/>
          <w:szCs w:val="24"/>
          <w:highlight w:val="none"/>
          <w:lang w:val="en-US" w:eastAsia="zh-CN"/>
        </w:rPr>
        <w:t>合同终止情形</w:t>
      </w:r>
    </w:p>
    <w:p w14:paraId="4FEF8030">
      <w:pPr>
        <w:keepNext w:val="0"/>
        <w:keepLines w:val="0"/>
        <w:pageBreakBefore w:val="0"/>
        <w:widowControl/>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1、在食堂提供给用餐人员的饭菜中发现异物，经核实的确属实的，第一次，扣除中标人300元，第二次扣除600元，第三次扣除1200元，依此递增，若情节严重的，采购人有权终止合同。</w:t>
      </w:r>
    </w:p>
    <w:p w14:paraId="42EAAB31">
      <w:pPr>
        <w:keepNext w:val="0"/>
        <w:keepLines w:val="0"/>
        <w:pageBreakBefore w:val="0"/>
        <w:widowControl/>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在检查中发现中标人违反《中华人民共和国食品安全法》、违反省市有关单位食堂管理的有关规定、违反质量标准一次的，扣除中标人1000元；违反二次的，扣除中标人3000元；违反三次或以上等情况，采购人有权终止合同，后果由中标人负责。</w:t>
      </w:r>
    </w:p>
    <w:p w14:paraId="2DD70921">
      <w:pPr>
        <w:keepNext w:val="0"/>
        <w:keepLines w:val="0"/>
        <w:pageBreakBefore w:val="0"/>
        <w:widowControl/>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人将每月组织对中标人经营食堂的情况进行一次满意度的问卷调查，调查对象为单位就餐职工以及就餐病人，折算出满意度值，最低满意度值为75分。如中标人出现一次满意度得分低于75分的，采购人发出警告函限期整改；如中标人连续2次或累计3次出现满意度得分低于75分的，采购人有权单方面终止合同。（详见附件二：食堂满意度调查表）</w:t>
      </w:r>
    </w:p>
    <w:p w14:paraId="1FCAA2E9">
      <w:pPr>
        <w:keepNext w:val="0"/>
        <w:keepLines w:val="0"/>
        <w:pageBreakBefore w:val="0"/>
        <w:widowControl/>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附件二：</w:t>
      </w:r>
    </w:p>
    <w:p w14:paraId="0F6EF216">
      <w:pPr>
        <w:keepNext w:val="0"/>
        <w:keepLines w:val="0"/>
        <w:pageBreakBefore w:val="0"/>
        <w:widowControl/>
        <w:shd w:val="clear" w:color="auto" w:fill="auto"/>
        <w:kinsoku/>
        <w:wordWrap/>
        <w:overflowPunct/>
        <w:topLinePunct w:val="0"/>
        <w:autoSpaceDE/>
        <w:autoSpaceDN/>
        <w:bidi w:val="0"/>
        <w:adjustRightInd/>
        <w:snapToGrid/>
        <w:spacing w:line="360" w:lineRule="auto"/>
        <w:ind w:firstLine="3120" w:firstLineChars="13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食堂满意度调查表</w:t>
      </w:r>
    </w:p>
    <w:tbl>
      <w:tblPr>
        <w:tblStyle w:val="20"/>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76"/>
        <w:gridCol w:w="3836"/>
        <w:gridCol w:w="1230"/>
        <w:gridCol w:w="1457"/>
        <w:gridCol w:w="1361"/>
        <w:gridCol w:w="1004"/>
      </w:tblGrid>
      <w:tr w14:paraId="52FFD0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vMerge w:val="restart"/>
            <w:tcBorders>
              <w:top w:val="single" w:color="000000" w:sz="8" w:space="0"/>
              <w:left w:val="single" w:color="000000" w:sz="8" w:space="0"/>
              <w:bottom w:val="single" w:color="000000" w:sz="8" w:space="0"/>
              <w:right w:val="single" w:color="000000" w:sz="8" w:space="0"/>
            </w:tcBorders>
            <w:vAlign w:val="center"/>
          </w:tcPr>
          <w:p w14:paraId="59614C16">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序号</w:t>
            </w:r>
          </w:p>
        </w:tc>
        <w:tc>
          <w:tcPr>
            <w:tcW w:w="1925" w:type="pct"/>
            <w:vMerge w:val="restart"/>
            <w:tcBorders>
              <w:top w:val="single" w:color="000000" w:sz="8" w:space="0"/>
              <w:left w:val="nil"/>
              <w:bottom w:val="single" w:color="000000" w:sz="8" w:space="0"/>
              <w:right w:val="single" w:color="000000" w:sz="8" w:space="0"/>
            </w:tcBorders>
            <w:vAlign w:val="center"/>
          </w:tcPr>
          <w:p w14:paraId="26544819">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评价项目</w:t>
            </w:r>
          </w:p>
        </w:tc>
        <w:tc>
          <w:tcPr>
            <w:tcW w:w="2031" w:type="pct"/>
            <w:gridSpan w:val="3"/>
            <w:tcBorders>
              <w:top w:val="single" w:color="000000" w:sz="8" w:space="0"/>
              <w:left w:val="nil"/>
              <w:bottom w:val="single" w:color="000000" w:sz="8" w:space="0"/>
              <w:right w:val="single" w:color="000000" w:sz="8" w:space="0"/>
            </w:tcBorders>
          </w:tcPr>
          <w:p w14:paraId="4DCD3D62">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评价结果</w:t>
            </w:r>
          </w:p>
        </w:tc>
        <w:tc>
          <w:tcPr>
            <w:tcW w:w="502" w:type="pct"/>
            <w:tcBorders>
              <w:top w:val="single" w:color="000000" w:sz="8" w:space="0"/>
              <w:left w:val="nil"/>
              <w:bottom w:val="single" w:color="000000" w:sz="8" w:space="0"/>
              <w:right w:val="single" w:color="000000" w:sz="8" w:space="0"/>
            </w:tcBorders>
          </w:tcPr>
          <w:p w14:paraId="4BF5099C">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备注</w:t>
            </w:r>
          </w:p>
        </w:tc>
      </w:tr>
      <w:tr w14:paraId="75F79B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vMerge w:val="continue"/>
            <w:tcBorders>
              <w:top w:val="single" w:color="000000" w:sz="8" w:space="0"/>
              <w:left w:val="single" w:color="000000" w:sz="8" w:space="0"/>
              <w:bottom w:val="single" w:color="000000" w:sz="8" w:space="0"/>
              <w:right w:val="single" w:color="000000" w:sz="8" w:space="0"/>
            </w:tcBorders>
          </w:tcPr>
          <w:p w14:paraId="5C99F802">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1925" w:type="pct"/>
            <w:vMerge w:val="continue"/>
            <w:tcBorders>
              <w:top w:val="single" w:color="000000" w:sz="8" w:space="0"/>
              <w:left w:val="nil"/>
              <w:bottom w:val="single" w:color="000000" w:sz="8" w:space="0"/>
              <w:right w:val="single" w:color="000000" w:sz="8" w:space="0"/>
            </w:tcBorders>
          </w:tcPr>
          <w:p w14:paraId="7A46C312">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617" w:type="pct"/>
            <w:tcBorders>
              <w:top w:val="nil"/>
              <w:left w:val="nil"/>
              <w:bottom w:val="single" w:color="000000" w:sz="8" w:space="0"/>
              <w:right w:val="single" w:color="000000" w:sz="8" w:space="0"/>
            </w:tcBorders>
          </w:tcPr>
          <w:p w14:paraId="16AADFA0">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满意</w:t>
            </w:r>
          </w:p>
        </w:tc>
        <w:tc>
          <w:tcPr>
            <w:tcW w:w="731" w:type="pct"/>
            <w:tcBorders>
              <w:top w:val="nil"/>
              <w:left w:val="nil"/>
              <w:bottom w:val="single" w:color="000000" w:sz="8" w:space="0"/>
              <w:right w:val="single" w:color="000000" w:sz="8" w:space="0"/>
            </w:tcBorders>
          </w:tcPr>
          <w:p w14:paraId="5DE90F84">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基本满意</w:t>
            </w:r>
          </w:p>
        </w:tc>
        <w:tc>
          <w:tcPr>
            <w:tcW w:w="682" w:type="pct"/>
            <w:tcBorders>
              <w:top w:val="single" w:color="000000" w:sz="8" w:space="0"/>
              <w:left w:val="nil"/>
              <w:bottom w:val="single" w:color="000000" w:sz="8" w:space="0"/>
              <w:right w:val="single" w:color="000000" w:sz="8" w:space="0"/>
            </w:tcBorders>
          </w:tcPr>
          <w:p w14:paraId="1A0B8831">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不满意</w:t>
            </w:r>
          </w:p>
        </w:tc>
        <w:tc>
          <w:tcPr>
            <w:tcW w:w="502" w:type="pct"/>
            <w:tcBorders>
              <w:top w:val="single" w:color="000000" w:sz="8" w:space="0"/>
              <w:left w:val="nil"/>
              <w:bottom w:val="single" w:color="000000" w:sz="8" w:space="0"/>
              <w:right w:val="single" w:color="000000" w:sz="8" w:space="0"/>
            </w:tcBorders>
          </w:tcPr>
          <w:p w14:paraId="0B8091CC">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r w14:paraId="0AF980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tcBorders>
              <w:top w:val="nil"/>
              <w:left w:val="single" w:color="000000" w:sz="8" w:space="0"/>
              <w:bottom w:val="single" w:color="000000" w:sz="8" w:space="0"/>
              <w:right w:val="single" w:color="000000" w:sz="8" w:space="0"/>
            </w:tcBorders>
            <w:vAlign w:val="center"/>
          </w:tcPr>
          <w:p w14:paraId="2166156F">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w:t>
            </w:r>
          </w:p>
        </w:tc>
        <w:tc>
          <w:tcPr>
            <w:tcW w:w="1925" w:type="pct"/>
            <w:tcBorders>
              <w:top w:val="nil"/>
              <w:left w:val="nil"/>
              <w:bottom w:val="single" w:color="000000" w:sz="8" w:space="0"/>
              <w:right w:val="single" w:color="000000" w:sz="8" w:space="0"/>
            </w:tcBorders>
          </w:tcPr>
          <w:p w14:paraId="31F0CA33">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食堂环境、食物卫生的卫生情况（20分）</w:t>
            </w:r>
          </w:p>
          <w:p w14:paraId="5F6EE3B4">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【满意20分，基本满意15分，不满意10分】</w:t>
            </w:r>
          </w:p>
        </w:tc>
        <w:tc>
          <w:tcPr>
            <w:tcW w:w="617" w:type="pct"/>
            <w:tcBorders>
              <w:top w:val="nil"/>
              <w:left w:val="nil"/>
              <w:bottom w:val="single" w:color="000000" w:sz="8" w:space="0"/>
              <w:right w:val="single" w:color="000000" w:sz="8" w:space="0"/>
            </w:tcBorders>
          </w:tcPr>
          <w:p w14:paraId="3B713C90">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731" w:type="pct"/>
            <w:tcBorders>
              <w:top w:val="nil"/>
              <w:left w:val="nil"/>
              <w:bottom w:val="single" w:color="000000" w:sz="8" w:space="0"/>
              <w:right w:val="single" w:color="000000" w:sz="8" w:space="0"/>
            </w:tcBorders>
          </w:tcPr>
          <w:p w14:paraId="7D394409">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682" w:type="pct"/>
            <w:tcBorders>
              <w:top w:val="nil"/>
              <w:left w:val="nil"/>
              <w:bottom w:val="single" w:color="000000" w:sz="8" w:space="0"/>
              <w:right w:val="single" w:color="000000" w:sz="8" w:space="0"/>
            </w:tcBorders>
          </w:tcPr>
          <w:p w14:paraId="3D8EAB3C">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502" w:type="pct"/>
            <w:tcBorders>
              <w:top w:val="nil"/>
              <w:left w:val="nil"/>
              <w:bottom w:val="single" w:color="000000" w:sz="8" w:space="0"/>
              <w:right w:val="single" w:color="000000" w:sz="8" w:space="0"/>
            </w:tcBorders>
          </w:tcPr>
          <w:p w14:paraId="25B4B768">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r w14:paraId="05C68E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tcBorders>
              <w:top w:val="nil"/>
              <w:left w:val="single" w:color="000000" w:sz="8" w:space="0"/>
              <w:bottom w:val="single" w:color="000000" w:sz="8" w:space="0"/>
              <w:right w:val="single" w:color="000000" w:sz="8" w:space="0"/>
            </w:tcBorders>
            <w:vAlign w:val="center"/>
          </w:tcPr>
          <w:p w14:paraId="20F2C712">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w:t>
            </w:r>
          </w:p>
        </w:tc>
        <w:tc>
          <w:tcPr>
            <w:tcW w:w="1925" w:type="pct"/>
            <w:tcBorders>
              <w:top w:val="nil"/>
              <w:left w:val="nil"/>
              <w:bottom w:val="single" w:color="000000" w:sz="8" w:space="0"/>
              <w:right w:val="single" w:color="000000" w:sz="8" w:space="0"/>
            </w:tcBorders>
          </w:tcPr>
          <w:p w14:paraId="481731FE">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工作人员服务态度（10分）</w:t>
            </w:r>
          </w:p>
          <w:p w14:paraId="6D1B7A80">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【满意10分，基本满意8分，不满意5分】</w:t>
            </w:r>
          </w:p>
        </w:tc>
        <w:tc>
          <w:tcPr>
            <w:tcW w:w="617" w:type="pct"/>
            <w:tcBorders>
              <w:top w:val="nil"/>
              <w:left w:val="nil"/>
              <w:bottom w:val="single" w:color="000000" w:sz="8" w:space="0"/>
              <w:right w:val="single" w:color="000000" w:sz="8" w:space="0"/>
            </w:tcBorders>
          </w:tcPr>
          <w:p w14:paraId="62E7A471">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731" w:type="pct"/>
            <w:tcBorders>
              <w:top w:val="nil"/>
              <w:left w:val="nil"/>
              <w:bottom w:val="single" w:color="000000" w:sz="8" w:space="0"/>
              <w:right w:val="single" w:color="000000" w:sz="8" w:space="0"/>
            </w:tcBorders>
          </w:tcPr>
          <w:p w14:paraId="291E0B38">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682" w:type="pct"/>
            <w:tcBorders>
              <w:top w:val="nil"/>
              <w:left w:val="nil"/>
              <w:bottom w:val="single" w:color="000000" w:sz="8" w:space="0"/>
              <w:right w:val="single" w:color="000000" w:sz="8" w:space="0"/>
            </w:tcBorders>
          </w:tcPr>
          <w:p w14:paraId="10E15607">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502" w:type="pct"/>
            <w:tcBorders>
              <w:top w:val="nil"/>
              <w:left w:val="nil"/>
              <w:bottom w:val="single" w:color="000000" w:sz="8" w:space="0"/>
              <w:right w:val="single" w:color="000000" w:sz="8" w:space="0"/>
            </w:tcBorders>
          </w:tcPr>
          <w:p w14:paraId="5F86FF6A">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r w14:paraId="46237B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tcBorders>
              <w:top w:val="nil"/>
              <w:left w:val="single" w:color="000000" w:sz="8" w:space="0"/>
              <w:bottom w:val="single" w:color="000000" w:sz="8" w:space="0"/>
              <w:right w:val="single" w:color="000000" w:sz="8" w:space="0"/>
            </w:tcBorders>
            <w:vAlign w:val="center"/>
          </w:tcPr>
          <w:p w14:paraId="5CD31E4C">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p>
        </w:tc>
        <w:tc>
          <w:tcPr>
            <w:tcW w:w="1925" w:type="pct"/>
            <w:tcBorders>
              <w:top w:val="nil"/>
              <w:left w:val="nil"/>
              <w:bottom w:val="single" w:color="000000" w:sz="8" w:space="0"/>
              <w:right w:val="single" w:color="000000" w:sz="8" w:space="0"/>
            </w:tcBorders>
          </w:tcPr>
          <w:p w14:paraId="0EF86D89">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食物的新鲜程度（20分）</w:t>
            </w:r>
          </w:p>
          <w:p w14:paraId="63207BDB">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【满意20分，基本满意15分，不满意10分】</w:t>
            </w:r>
          </w:p>
        </w:tc>
        <w:tc>
          <w:tcPr>
            <w:tcW w:w="617" w:type="pct"/>
            <w:tcBorders>
              <w:top w:val="nil"/>
              <w:left w:val="nil"/>
              <w:bottom w:val="single" w:color="000000" w:sz="8" w:space="0"/>
              <w:right w:val="single" w:color="000000" w:sz="8" w:space="0"/>
            </w:tcBorders>
          </w:tcPr>
          <w:p w14:paraId="649414FE">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731" w:type="pct"/>
            <w:tcBorders>
              <w:top w:val="nil"/>
              <w:left w:val="nil"/>
              <w:bottom w:val="single" w:color="000000" w:sz="8" w:space="0"/>
              <w:right w:val="single" w:color="000000" w:sz="8" w:space="0"/>
            </w:tcBorders>
          </w:tcPr>
          <w:p w14:paraId="212F6B89">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682" w:type="pct"/>
            <w:tcBorders>
              <w:top w:val="nil"/>
              <w:left w:val="nil"/>
              <w:bottom w:val="single" w:color="000000" w:sz="8" w:space="0"/>
              <w:right w:val="single" w:color="000000" w:sz="8" w:space="0"/>
            </w:tcBorders>
          </w:tcPr>
          <w:p w14:paraId="097B123C">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502" w:type="pct"/>
            <w:tcBorders>
              <w:top w:val="nil"/>
              <w:left w:val="nil"/>
              <w:bottom w:val="single" w:color="000000" w:sz="8" w:space="0"/>
              <w:right w:val="single" w:color="000000" w:sz="8" w:space="0"/>
            </w:tcBorders>
          </w:tcPr>
          <w:p w14:paraId="2CBB5D0E">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r w14:paraId="2CF25D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tcBorders>
              <w:top w:val="nil"/>
              <w:left w:val="single" w:color="000000" w:sz="8" w:space="0"/>
              <w:bottom w:val="single" w:color="000000" w:sz="8" w:space="0"/>
              <w:right w:val="single" w:color="000000" w:sz="8" w:space="0"/>
            </w:tcBorders>
            <w:vAlign w:val="center"/>
          </w:tcPr>
          <w:p w14:paraId="330CEF92">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w:t>
            </w:r>
          </w:p>
        </w:tc>
        <w:tc>
          <w:tcPr>
            <w:tcW w:w="1925" w:type="pct"/>
            <w:tcBorders>
              <w:top w:val="nil"/>
              <w:left w:val="nil"/>
              <w:bottom w:val="single" w:color="000000" w:sz="8" w:space="0"/>
              <w:right w:val="single" w:color="000000" w:sz="8" w:space="0"/>
            </w:tcBorders>
          </w:tcPr>
          <w:p w14:paraId="36C243E7">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菜肴味道（10分）</w:t>
            </w:r>
          </w:p>
          <w:p w14:paraId="44D5AC51">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【满意10分，基本满意8分，不满意5分】</w:t>
            </w:r>
          </w:p>
        </w:tc>
        <w:tc>
          <w:tcPr>
            <w:tcW w:w="617" w:type="pct"/>
            <w:tcBorders>
              <w:top w:val="nil"/>
              <w:left w:val="nil"/>
              <w:bottom w:val="single" w:color="000000" w:sz="8" w:space="0"/>
              <w:right w:val="single" w:color="000000" w:sz="8" w:space="0"/>
            </w:tcBorders>
          </w:tcPr>
          <w:p w14:paraId="6038B385">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731" w:type="pct"/>
            <w:tcBorders>
              <w:top w:val="nil"/>
              <w:left w:val="nil"/>
              <w:bottom w:val="single" w:color="000000" w:sz="8" w:space="0"/>
              <w:right w:val="single" w:color="000000" w:sz="8" w:space="0"/>
            </w:tcBorders>
          </w:tcPr>
          <w:p w14:paraId="4F9E967C">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682" w:type="pct"/>
            <w:tcBorders>
              <w:top w:val="nil"/>
              <w:left w:val="nil"/>
              <w:bottom w:val="single" w:color="000000" w:sz="8" w:space="0"/>
              <w:right w:val="single" w:color="000000" w:sz="8" w:space="0"/>
            </w:tcBorders>
          </w:tcPr>
          <w:p w14:paraId="117C8CB4">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502" w:type="pct"/>
            <w:tcBorders>
              <w:top w:val="nil"/>
              <w:left w:val="nil"/>
              <w:bottom w:val="single" w:color="000000" w:sz="8" w:space="0"/>
              <w:right w:val="single" w:color="000000" w:sz="8" w:space="0"/>
            </w:tcBorders>
          </w:tcPr>
          <w:p w14:paraId="487FEF7F">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r w14:paraId="56B522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tcBorders>
              <w:top w:val="nil"/>
              <w:left w:val="single" w:color="000000" w:sz="8" w:space="0"/>
              <w:bottom w:val="single" w:color="000000" w:sz="8" w:space="0"/>
              <w:right w:val="single" w:color="000000" w:sz="8" w:space="0"/>
            </w:tcBorders>
            <w:vAlign w:val="center"/>
          </w:tcPr>
          <w:p w14:paraId="73DA16FC">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w:t>
            </w:r>
          </w:p>
        </w:tc>
        <w:tc>
          <w:tcPr>
            <w:tcW w:w="1925" w:type="pct"/>
            <w:tcBorders>
              <w:top w:val="nil"/>
              <w:left w:val="nil"/>
              <w:bottom w:val="single" w:color="000000" w:sz="8" w:space="0"/>
              <w:right w:val="single" w:color="000000" w:sz="8" w:space="0"/>
            </w:tcBorders>
          </w:tcPr>
          <w:p w14:paraId="265DF790">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菜式品种丰富程度（10分）</w:t>
            </w:r>
          </w:p>
          <w:p w14:paraId="15114D98">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【满意10分，基本满意8分，不满意5分】</w:t>
            </w:r>
          </w:p>
        </w:tc>
        <w:tc>
          <w:tcPr>
            <w:tcW w:w="617" w:type="pct"/>
            <w:tcBorders>
              <w:top w:val="nil"/>
              <w:left w:val="nil"/>
              <w:bottom w:val="single" w:color="000000" w:sz="8" w:space="0"/>
              <w:right w:val="single" w:color="000000" w:sz="8" w:space="0"/>
            </w:tcBorders>
          </w:tcPr>
          <w:p w14:paraId="4AB8AE7B">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731" w:type="pct"/>
            <w:tcBorders>
              <w:top w:val="nil"/>
              <w:left w:val="nil"/>
              <w:bottom w:val="single" w:color="000000" w:sz="8" w:space="0"/>
              <w:right w:val="single" w:color="000000" w:sz="8" w:space="0"/>
            </w:tcBorders>
          </w:tcPr>
          <w:p w14:paraId="7C652BC5">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682" w:type="pct"/>
            <w:tcBorders>
              <w:top w:val="nil"/>
              <w:left w:val="nil"/>
              <w:bottom w:val="single" w:color="000000" w:sz="8" w:space="0"/>
              <w:right w:val="single" w:color="000000" w:sz="8" w:space="0"/>
            </w:tcBorders>
          </w:tcPr>
          <w:p w14:paraId="1EB3947B">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502" w:type="pct"/>
            <w:tcBorders>
              <w:top w:val="nil"/>
              <w:left w:val="nil"/>
              <w:bottom w:val="single" w:color="000000" w:sz="8" w:space="0"/>
              <w:right w:val="single" w:color="000000" w:sz="8" w:space="0"/>
            </w:tcBorders>
          </w:tcPr>
          <w:p w14:paraId="2A86FDEE">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r w14:paraId="6A224F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tcBorders>
              <w:top w:val="nil"/>
              <w:left w:val="single" w:color="000000" w:sz="8" w:space="0"/>
              <w:bottom w:val="single" w:color="000000" w:sz="8" w:space="0"/>
              <w:right w:val="single" w:color="000000" w:sz="8" w:space="0"/>
            </w:tcBorders>
            <w:vAlign w:val="center"/>
          </w:tcPr>
          <w:p w14:paraId="0B084D76">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6</w:t>
            </w:r>
          </w:p>
        </w:tc>
        <w:tc>
          <w:tcPr>
            <w:tcW w:w="1925" w:type="pct"/>
            <w:tcBorders>
              <w:top w:val="nil"/>
              <w:left w:val="nil"/>
              <w:bottom w:val="single" w:color="000000" w:sz="8" w:space="0"/>
              <w:right w:val="single" w:color="000000" w:sz="8" w:space="0"/>
            </w:tcBorders>
          </w:tcPr>
          <w:p w14:paraId="33772263">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饭菜的分量（20分）</w:t>
            </w:r>
          </w:p>
          <w:p w14:paraId="5D26C595">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【满意20分，基本满意15分，不满意10分】</w:t>
            </w:r>
          </w:p>
        </w:tc>
        <w:tc>
          <w:tcPr>
            <w:tcW w:w="617" w:type="pct"/>
            <w:tcBorders>
              <w:top w:val="nil"/>
              <w:left w:val="nil"/>
              <w:bottom w:val="single" w:color="000000" w:sz="8" w:space="0"/>
              <w:right w:val="single" w:color="000000" w:sz="8" w:space="0"/>
            </w:tcBorders>
          </w:tcPr>
          <w:p w14:paraId="411CF4E9">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731" w:type="pct"/>
            <w:tcBorders>
              <w:top w:val="nil"/>
              <w:left w:val="nil"/>
              <w:bottom w:val="single" w:color="000000" w:sz="8" w:space="0"/>
              <w:right w:val="single" w:color="000000" w:sz="8" w:space="0"/>
            </w:tcBorders>
          </w:tcPr>
          <w:p w14:paraId="22051AAA">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682" w:type="pct"/>
            <w:tcBorders>
              <w:top w:val="nil"/>
              <w:left w:val="nil"/>
              <w:bottom w:val="single" w:color="000000" w:sz="8" w:space="0"/>
              <w:right w:val="single" w:color="000000" w:sz="8" w:space="0"/>
            </w:tcBorders>
          </w:tcPr>
          <w:p w14:paraId="7FA95B9A">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502" w:type="pct"/>
            <w:tcBorders>
              <w:top w:val="nil"/>
              <w:left w:val="nil"/>
              <w:bottom w:val="single" w:color="000000" w:sz="8" w:space="0"/>
              <w:right w:val="single" w:color="000000" w:sz="8" w:space="0"/>
            </w:tcBorders>
          </w:tcPr>
          <w:p w14:paraId="41643C6C">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r w14:paraId="68881B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tcBorders>
              <w:top w:val="nil"/>
              <w:left w:val="single" w:color="000000" w:sz="8" w:space="0"/>
              <w:bottom w:val="single" w:color="000000" w:sz="8" w:space="0"/>
              <w:right w:val="single" w:color="000000" w:sz="8" w:space="0"/>
            </w:tcBorders>
            <w:vAlign w:val="center"/>
          </w:tcPr>
          <w:p w14:paraId="58D59CC4">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7</w:t>
            </w:r>
          </w:p>
        </w:tc>
        <w:tc>
          <w:tcPr>
            <w:tcW w:w="1925" w:type="pct"/>
            <w:tcBorders>
              <w:top w:val="nil"/>
              <w:left w:val="nil"/>
              <w:bottom w:val="single" w:color="000000" w:sz="8" w:space="0"/>
              <w:right w:val="single" w:color="000000" w:sz="8" w:space="0"/>
            </w:tcBorders>
          </w:tcPr>
          <w:p w14:paraId="7B6BC30B">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食堂供餐时间（10分）</w:t>
            </w:r>
          </w:p>
          <w:p w14:paraId="4A52877C">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【满意10分，基本满意8分，不满意5分】</w:t>
            </w:r>
          </w:p>
        </w:tc>
        <w:tc>
          <w:tcPr>
            <w:tcW w:w="617" w:type="pct"/>
            <w:tcBorders>
              <w:top w:val="nil"/>
              <w:left w:val="nil"/>
              <w:bottom w:val="single" w:color="000000" w:sz="8" w:space="0"/>
              <w:right w:val="single" w:color="000000" w:sz="8" w:space="0"/>
            </w:tcBorders>
          </w:tcPr>
          <w:p w14:paraId="00C4502F">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731" w:type="pct"/>
            <w:tcBorders>
              <w:top w:val="nil"/>
              <w:left w:val="nil"/>
              <w:bottom w:val="single" w:color="000000" w:sz="8" w:space="0"/>
              <w:right w:val="single" w:color="000000" w:sz="8" w:space="0"/>
            </w:tcBorders>
          </w:tcPr>
          <w:p w14:paraId="1ABA9D97">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682" w:type="pct"/>
            <w:tcBorders>
              <w:top w:val="nil"/>
              <w:left w:val="nil"/>
              <w:bottom w:val="single" w:color="000000" w:sz="8" w:space="0"/>
              <w:right w:val="single" w:color="000000" w:sz="8" w:space="0"/>
            </w:tcBorders>
          </w:tcPr>
          <w:p w14:paraId="114AFC70">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c>
          <w:tcPr>
            <w:tcW w:w="502" w:type="pct"/>
            <w:tcBorders>
              <w:top w:val="nil"/>
              <w:left w:val="nil"/>
              <w:bottom w:val="single" w:color="000000" w:sz="8" w:space="0"/>
              <w:right w:val="single" w:color="000000" w:sz="8" w:space="0"/>
            </w:tcBorders>
          </w:tcPr>
          <w:p w14:paraId="1D1145CD">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r w14:paraId="2C5DAC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pct"/>
            <w:tcBorders>
              <w:top w:val="nil"/>
              <w:left w:val="single" w:color="000000" w:sz="8" w:space="0"/>
              <w:bottom w:val="single" w:color="000000" w:sz="8" w:space="0"/>
              <w:right w:val="single" w:color="000000" w:sz="8" w:space="0"/>
            </w:tcBorders>
            <w:vAlign w:val="center"/>
          </w:tcPr>
          <w:p w14:paraId="036FA68A">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您的</w:t>
            </w:r>
          </w:p>
          <w:p w14:paraId="79523B07">
            <w:pPr>
              <w:keepNext w:val="0"/>
              <w:keepLines w:val="0"/>
              <w:pageBreakBefore w:val="0"/>
              <w:widowControl/>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建议</w:t>
            </w:r>
          </w:p>
        </w:tc>
        <w:tc>
          <w:tcPr>
            <w:tcW w:w="4459" w:type="pct"/>
            <w:gridSpan w:val="5"/>
            <w:tcBorders>
              <w:top w:val="nil"/>
              <w:left w:val="nil"/>
              <w:bottom w:val="single" w:color="000000" w:sz="8" w:space="0"/>
              <w:right w:val="single" w:color="000000" w:sz="8" w:space="0"/>
            </w:tcBorders>
          </w:tcPr>
          <w:p w14:paraId="4B548CF4">
            <w:pPr>
              <w:keepNext w:val="0"/>
              <w:keepLines w:val="0"/>
              <w:pageBreakBefore w:val="0"/>
              <w:widowControl/>
              <w:shd w:val="clear" w:color="auto" w:fill="auto"/>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sz w:val="18"/>
                <w:szCs w:val="18"/>
                <w:highlight w:val="none"/>
                <w:lang w:val="en-US" w:eastAsia="zh-CN"/>
              </w:rPr>
            </w:pPr>
          </w:p>
        </w:tc>
      </w:tr>
    </w:tbl>
    <w:p w14:paraId="1169287B">
      <w:pPr>
        <w:pStyle w:val="19"/>
        <w:rPr>
          <w:szCs w:val="21"/>
          <w:lang w:eastAsia="zh-CN"/>
        </w:rPr>
      </w:pPr>
      <w:r>
        <w:rPr>
          <w:szCs w:val="21"/>
          <w:lang w:eastAsia="zh-CN"/>
        </w:rPr>
        <w:br w:type="page"/>
      </w:r>
    </w:p>
    <w:p w14:paraId="6E148110">
      <w:pPr>
        <w:spacing w:line="360" w:lineRule="auto"/>
        <w:jc w:val="center"/>
        <w:rPr>
          <w:rFonts w:hint="eastAsia" w:ascii="宋体" w:hAnsi="宋体" w:eastAsia="宋体" w:cs="宋体"/>
          <w:b/>
          <w:color w:val="auto"/>
          <w:kern w:val="28"/>
          <w:sz w:val="32"/>
          <w:szCs w:val="32"/>
          <w:highlight w:val="none"/>
          <w:lang w:val="en-US" w:eastAsia="zh-CN"/>
        </w:rPr>
      </w:pPr>
      <w:r>
        <w:rPr>
          <w:rFonts w:hint="eastAsia" w:ascii="宋体" w:hAnsi="宋体" w:eastAsia="宋体" w:cs="宋体"/>
          <w:b/>
          <w:color w:val="auto"/>
          <w:kern w:val="28"/>
          <w:sz w:val="32"/>
          <w:szCs w:val="32"/>
          <w:highlight w:val="none"/>
          <w:lang w:val="en-US" w:eastAsia="zh-CN"/>
        </w:rPr>
        <w:t>第三部分  评分办法标准</w:t>
      </w:r>
    </w:p>
    <w:p w14:paraId="3D9509C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参照《中华人民共和国政府采购法》、《政府采购非招标采购方式管理办法》及相关规定确定以下招标方法、步骤及标准：</w:t>
      </w:r>
    </w:p>
    <w:p w14:paraId="46E7FB6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评审方法</w:t>
      </w:r>
    </w:p>
    <w:p w14:paraId="5A3F68D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本评标办法采用</w:t>
      </w:r>
      <w:r>
        <w:rPr>
          <w:rFonts w:hint="eastAsia" w:ascii="宋体" w:hAnsi="宋体" w:eastAsia="宋体" w:cs="宋体"/>
          <w:kern w:val="0"/>
          <w:sz w:val="24"/>
          <w:szCs w:val="24"/>
          <w:lang w:eastAsia="zh-CN"/>
        </w:rPr>
        <w:t>综合评分方式</w:t>
      </w:r>
      <w:r>
        <w:rPr>
          <w:rFonts w:hint="eastAsia" w:ascii="宋体" w:hAnsi="宋体" w:eastAsia="宋体" w:cs="宋体"/>
          <w:kern w:val="0"/>
          <w:sz w:val="24"/>
          <w:szCs w:val="24"/>
        </w:rPr>
        <w:t>进行评审。</w:t>
      </w:r>
    </w:p>
    <w:p w14:paraId="31CBF6D2">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评标步骤：</w:t>
      </w:r>
      <w:r>
        <w:rPr>
          <w:rFonts w:hint="eastAsia" w:ascii="宋体" w:hAnsi="宋体" w:eastAsia="宋体" w:cs="宋体"/>
          <w:kern w:val="0"/>
          <w:sz w:val="24"/>
          <w:szCs w:val="24"/>
          <w:lang w:eastAsia="zh-CN"/>
        </w:rPr>
        <w:t>评审专家</w:t>
      </w:r>
      <w:r>
        <w:rPr>
          <w:rFonts w:hint="eastAsia" w:ascii="宋体" w:hAnsi="宋体" w:eastAsia="宋体" w:cs="宋体"/>
          <w:kern w:val="0"/>
          <w:sz w:val="24"/>
          <w:szCs w:val="24"/>
        </w:rPr>
        <w:t>组先进行初步评审，再进行技术商务及价格的详细评审。只有通过初步评审的投标才能进入详细的评审。最后</w:t>
      </w:r>
      <w:r>
        <w:rPr>
          <w:rFonts w:hint="eastAsia" w:ascii="宋体" w:hAnsi="宋体" w:eastAsia="宋体" w:cs="宋体"/>
          <w:kern w:val="0"/>
          <w:sz w:val="24"/>
          <w:szCs w:val="24"/>
          <w:lang w:eastAsia="zh-CN"/>
        </w:rPr>
        <w:t>评审专家</w:t>
      </w:r>
      <w:r>
        <w:rPr>
          <w:rFonts w:hint="eastAsia" w:ascii="宋体" w:hAnsi="宋体" w:eastAsia="宋体" w:cs="宋体"/>
          <w:kern w:val="0"/>
          <w:sz w:val="24"/>
          <w:szCs w:val="24"/>
        </w:rPr>
        <w:t>组出具评标报告，并推荐1名中标人。</w:t>
      </w:r>
    </w:p>
    <w:p w14:paraId="788BD6D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评分及其统计：按照评标程序、评分标准以及权重分配的规定，</w:t>
      </w:r>
      <w:r>
        <w:rPr>
          <w:rFonts w:hint="eastAsia" w:ascii="宋体" w:hAnsi="宋体" w:eastAsia="宋体" w:cs="宋体"/>
          <w:kern w:val="0"/>
          <w:sz w:val="24"/>
          <w:szCs w:val="24"/>
          <w:lang w:eastAsia="zh-CN"/>
        </w:rPr>
        <w:t>评审专家</w:t>
      </w:r>
      <w:r>
        <w:rPr>
          <w:rFonts w:hint="eastAsia" w:ascii="宋体" w:hAnsi="宋体" w:eastAsia="宋体" w:cs="宋体"/>
          <w:kern w:val="0"/>
          <w:sz w:val="24"/>
          <w:szCs w:val="24"/>
        </w:rPr>
        <w:t>组各成员分别首先就各个供应商的技术商务状况及其对招标文件要求的响应情况进行评议和比较，评出其技术商务评分。各评委评分的算术平均值即为该供应商的技术商务评分。然后，评出供应商的价格评分。将各供应商的技术商务评分和价格评分分别乘以权重并相加得出其综合得分。将各综合得分由高到低顺序排列，综合得分最高的供应商为中标人。</w:t>
      </w:r>
    </w:p>
    <w:p w14:paraId="57ABE85C">
      <w:pPr>
        <w:widowControl/>
        <w:numPr>
          <w:ilvl w:val="0"/>
          <w:numId w:val="0"/>
        </w:numPr>
        <w:spacing w:line="240" w:lineRule="auto"/>
        <w:ind w:leftChars="0"/>
        <w:jc w:val="left"/>
        <w:rPr>
          <w:rFonts w:hint="eastAsia" w:ascii="宋体" w:hAnsi="宋体" w:eastAsia="宋体" w:cs="宋体"/>
          <w:b/>
          <w:kern w:val="0"/>
          <w:sz w:val="28"/>
          <w:szCs w:val="28"/>
        </w:rPr>
      </w:pPr>
      <w:r>
        <w:rPr>
          <w:rFonts w:hint="eastAsia" w:ascii="宋体" w:hAnsi="宋体" w:eastAsia="宋体" w:cs="宋体"/>
          <w:b/>
          <w:kern w:val="0"/>
          <w:sz w:val="28"/>
          <w:szCs w:val="28"/>
        </w:rPr>
        <w:t>第一阶段：初步评审（投标文件的初审分为资格性检查和符合性检查）</w:t>
      </w:r>
    </w:p>
    <w:p w14:paraId="3F6BF6E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资格性检查是指采购人依据招标文件的规定，对投标文件中的资格证明等进行审查，以确定供应商是否具备投标资格。本项目资格审查由采购人代表负责审查，纪检部门负责核实。核实无误后双方签字确认并作为评审依据归档保存。未通过资格性审查的供应商，将不再进行下一阶段的评审。</w:t>
      </w:r>
    </w:p>
    <w:p w14:paraId="2BF0FDE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符合性检查是指</w:t>
      </w:r>
      <w:r>
        <w:rPr>
          <w:rFonts w:hint="eastAsia" w:ascii="宋体" w:hAnsi="宋体" w:eastAsia="宋体" w:cs="宋体"/>
          <w:kern w:val="0"/>
          <w:sz w:val="24"/>
          <w:szCs w:val="24"/>
          <w:lang w:eastAsia="zh-CN"/>
        </w:rPr>
        <w:t>评审专家</w:t>
      </w:r>
      <w:r>
        <w:rPr>
          <w:rFonts w:hint="eastAsia" w:ascii="宋体" w:hAnsi="宋体" w:eastAsia="宋体" w:cs="宋体"/>
          <w:kern w:val="0"/>
          <w:sz w:val="24"/>
          <w:szCs w:val="24"/>
        </w:rPr>
        <w:t>组依据招标文件规定，从投标文件的有效性、完整性和对招标文件的响应程度等进行审查，以确定是否对招标文件的实质性要求作出响应。</w:t>
      </w:r>
    </w:p>
    <w:p w14:paraId="1FEC39C8">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实质性响应的投标指的是符合招标文件要求的全部条款、条件和规格而无任何重大偏离或保留。重大偏离或保留系指实质上影响到合同项下的服务范围、质量和性能，或指与招标文件有实质不一致，限制了合同项下委托人的权利和承包人的义务, 或对该重大偏离的修改对提交实质性响应投标的其他供应商将不公平。</w:t>
      </w:r>
    </w:p>
    <w:p w14:paraId="0BBAE1E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lang w:eastAsia="zh-CN"/>
        </w:rPr>
        <w:t>评审专家</w:t>
      </w:r>
      <w:r>
        <w:rPr>
          <w:rFonts w:hint="eastAsia" w:ascii="宋体" w:hAnsi="宋体" w:eastAsia="宋体" w:cs="宋体"/>
          <w:kern w:val="0"/>
          <w:sz w:val="24"/>
          <w:szCs w:val="24"/>
        </w:rPr>
        <w:t>组决定投标文件的响应性是基于投标文件的内容本身而不靠外部的证据。</w:t>
      </w:r>
    </w:p>
    <w:p w14:paraId="4AEC514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对是否符合实质性响应招标文件有争议的投标文件,</w:t>
      </w:r>
      <w:r>
        <w:rPr>
          <w:rFonts w:hint="eastAsia" w:ascii="宋体" w:hAnsi="宋体" w:eastAsia="宋体" w:cs="宋体"/>
          <w:kern w:val="0"/>
          <w:sz w:val="24"/>
          <w:szCs w:val="24"/>
          <w:lang w:eastAsia="zh-CN"/>
        </w:rPr>
        <w:t>评审专家</w:t>
      </w:r>
      <w:r>
        <w:rPr>
          <w:rFonts w:hint="eastAsia" w:ascii="宋体" w:hAnsi="宋体" w:eastAsia="宋体" w:cs="宋体"/>
          <w:kern w:val="0"/>
          <w:sz w:val="24"/>
          <w:szCs w:val="24"/>
        </w:rPr>
        <w:t>组成员将以记名方式表决,得票超过半数的供应商才有资格进入下一阶段的评审,否则将被认定为无效投标文件。</w:t>
      </w:r>
    </w:p>
    <w:p w14:paraId="23285954">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lang w:eastAsia="zh-CN"/>
        </w:rPr>
        <w:t>评审专家</w:t>
      </w:r>
      <w:r>
        <w:rPr>
          <w:rFonts w:hint="eastAsia" w:ascii="宋体" w:hAnsi="宋体" w:eastAsia="宋体" w:cs="宋体"/>
          <w:kern w:val="0"/>
          <w:sz w:val="24"/>
          <w:szCs w:val="24"/>
        </w:rPr>
        <w:t>组应当书面要求存在细微偏差的供应商在评标评审结束前予以补正。细微偏差是指投标文件在实质上响应招标文件要求，但在个别地方存在漏项或者提供了不完整的技术方案信息和数据等情况，并且补正这些遗漏或者不完整不会对其他供应商造成不公平的结果。细微偏差不影响投标文件的有效性。</w:t>
      </w:r>
    </w:p>
    <w:p w14:paraId="22666A46">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无效投标的认定</w:t>
      </w:r>
    </w:p>
    <w:p w14:paraId="03502DD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按《资格审查表》、《符合性审查表》（见附表1、附表2）所列各项，投标文件不满足招标文件要求的，将被认定为无效投标。</w:t>
      </w:r>
    </w:p>
    <w:p w14:paraId="1437613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有下列情形之一的，视为供应商串通投标，其投标无效：</w:t>
      </w:r>
    </w:p>
    <w:p w14:paraId="48FEF5B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① 不同供应商的投标文件由同一单位或者个人编制；</w:t>
      </w:r>
    </w:p>
    <w:p w14:paraId="2FF0218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② 不同供应商委托同一单位或者个人办理投标事宜；</w:t>
      </w:r>
    </w:p>
    <w:p w14:paraId="1B3D7C97">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③ 不同供应商的投标文件载明的项目管理成员或者联系人员为同一人；</w:t>
      </w:r>
    </w:p>
    <w:p w14:paraId="3D3A71B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④ 不同供应商的投标文件异常一致或者投标报价呈规律性差异；</w:t>
      </w:r>
    </w:p>
    <w:p w14:paraId="577D3632">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⑤ 不同供应商的投标文件相互混装；</w:t>
      </w:r>
    </w:p>
    <w:p w14:paraId="6CD0160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⑥ 不同供应商的投标保证金从同一单位或者个人的账户转出。</w:t>
      </w:r>
    </w:p>
    <w:p w14:paraId="7E923CA0">
      <w:pPr>
        <w:widowControl/>
        <w:numPr>
          <w:ilvl w:val="0"/>
          <w:numId w:val="0"/>
        </w:numPr>
        <w:spacing w:line="240" w:lineRule="auto"/>
        <w:ind w:leftChars="0"/>
        <w:jc w:val="left"/>
        <w:rPr>
          <w:rFonts w:hint="eastAsia" w:ascii="宋体" w:hAnsi="宋体" w:eastAsia="宋体" w:cs="宋体"/>
          <w:b/>
          <w:kern w:val="0"/>
          <w:sz w:val="28"/>
          <w:szCs w:val="28"/>
        </w:rPr>
      </w:pPr>
      <w:r>
        <w:rPr>
          <w:rFonts w:hint="eastAsia" w:ascii="宋体" w:hAnsi="宋体" w:eastAsia="宋体" w:cs="宋体"/>
          <w:b/>
          <w:kern w:val="0"/>
          <w:sz w:val="28"/>
          <w:szCs w:val="28"/>
        </w:rPr>
        <w:t>第二阶段：详细评审</w:t>
      </w:r>
    </w:p>
    <w:p w14:paraId="524287C9">
      <w:pPr>
        <w:keepNext w:val="0"/>
        <w:keepLines w:val="0"/>
        <w:pageBreakBefore w:val="0"/>
        <w:widowControl/>
        <w:numPr>
          <w:ilvl w:val="0"/>
          <w:numId w:val="2"/>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细评审是对通过资格审查、符合性审查的投标进行技术商务和价格的评审。</w:t>
      </w:r>
    </w:p>
    <w:p w14:paraId="6BACCF65">
      <w:pPr>
        <w:keepNext w:val="0"/>
        <w:keepLines w:val="0"/>
        <w:pageBreakBefore w:val="0"/>
        <w:widowControl/>
        <w:numPr>
          <w:ilvl w:val="0"/>
          <w:numId w:val="2"/>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kern w:val="0"/>
          <w:sz w:val="24"/>
          <w:szCs w:val="24"/>
        </w:rPr>
        <w:t>评分标准</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技术评价</w:t>
      </w:r>
      <w:r>
        <w:rPr>
          <w:rFonts w:hint="eastAsia" w:ascii="宋体" w:hAnsi="宋体" w:eastAsia="宋体" w:cs="宋体"/>
          <w:kern w:val="0"/>
          <w:sz w:val="24"/>
          <w:szCs w:val="24"/>
          <w:lang w:val="en-US" w:eastAsia="zh-CN"/>
        </w:rPr>
        <w:t>45分+</w:t>
      </w:r>
      <w:r>
        <w:rPr>
          <w:rFonts w:hint="eastAsia" w:ascii="宋体" w:hAnsi="宋体" w:eastAsia="宋体" w:cs="宋体"/>
          <w:kern w:val="0"/>
          <w:sz w:val="24"/>
          <w:szCs w:val="24"/>
        </w:rPr>
        <w:t>商务评价</w:t>
      </w:r>
      <w:r>
        <w:rPr>
          <w:rFonts w:hint="eastAsia" w:ascii="宋体" w:hAnsi="宋体" w:eastAsia="宋体" w:cs="宋体"/>
          <w:kern w:val="0"/>
          <w:sz w:val="24"/>
          <w:szCs w:val="24"/>
          <w:lang w:val="en-US" w:eastAsia="zh-CN"/>
        </w:rPr>
        <w:t>55分</w:t>
      </w:r>
    </w:p>
    <w:p w14:paraId="6E2CD9C5">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（1）技术评价：</w:t>
      </w:r>
    </w:p>
    <w:tbl>
      <w:tblPr>
        <w:tblStyle w:val="20"/>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35"/>
        <w:gridCol w:w="720"/>
        <w:gridCol w:w="6139"/>
      </w:tblGrid>
      <w:tr w14:paraId="7FA7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7" w:type="dxa"/>
            <w:vAlign w:val="center"/>
          </w:tcPr>
          <w:p w14:paraId="5B58C2CE">
            <w:pPr>
              <w:keepNext w:val="0"/>
              <w:keepLines w:val="0"/>
              <w:pageBreakBefore w:val="0"/>
              <w:kinsoku/>
              <w:wordWrap/>
              <w:overflowPunct/>
              <w:topLinePunct w:val="0"/>
              <w:bidi w:val="0"/>
              <w:snapToGrid/>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435" w:type="dxa"/>
            <w:vAlign w:val="center"/>
          </w:tcPr>
          <w:p w14:paraId="5100882E">
            <w:pPr>
              <w:keepNext w:val="0"/>
              <w:keepLines w:val="0"/>
              <w:pageBreakBefore w:val="0"/>
              <w:kinsoku/>
              <w:wordWrap/>
              <w:overflowPunct/>
              <w:topLinePunct w:val="0"/>
              <w:bidi w:val="0"/>
              <w:snapToGrid/>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评审内容</w:t>
            </w:r>
          </w:p>
        </w:tc>
        <w:tc>
          <w:tcPr>
            <w:tcW w:w="720" w:type="dxa"/>
            <w:vAlign w:val="center"/>
          </w:tcPr>
          <w:p w14:paraId="4521D93D">
            <w:pPr>
              <w:keepNext w:val="0"/>
              <w:keepLines w:val="0"/>
              <w:pageBreakBefore w:val="0"/>
              <w:kinsoku/>
              <w:wordWrap/>
              <w:overflowPunct/>
              <w:topLinePunct w:val="0"/>
              <w:bidi w:val="0"/>
              <w:snapToGrid/>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评分权重</w:t>
            </w:r>
          </w:p>
        </w:tc>
        <w:tc>
          <w:tcPr>
            <w:tcW w:w="6139" w:type="dxa"/>
          </w:tcPr>
          <w:p w14:paraId="714BE997">
            <w:pPr>
              <w:keepNext w:val="0"/>
              <w:keepLines w:val="0"/>
              <w:pageBreakBefore w:val="0"/>
              <w:kinsoku/>
              <w:wordWrap/>
              <w:overflowPunct/>
              <w:topLinePunct w:val="0"/>
              <w:bidi w:val="0"/>
              <w:snapToGrid/>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评分细则</w:t>
            </w:r>
          </w:p>
        </w:tc>
      </w:tr>
      <w:tr w14:paraId="395F4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vAlign w:val="center"/>
          </w:tcPr>
          <w:p w14:paraId="137DE2BF">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1435" w:type="dxa"/>
            <w:vAlign w:val="center"/>
          </w:tcPr>
          <w:p w14:paraId="76BBFB43">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采购人需求响应情况</w:t>
            </w:r>
          </w:p>
        </w:tc>
        <w:tc>
          <w:tcPr>
            <w:tcW w:w="720" w:type="dxa"/>
            <w:vAlign w:val="center"/>
          </w:tcPr>
          <w:p w14:paraId="5DD009FF">
            <w:pPr>
              <w:pStyle w:val="7"/>
              <w:keepNext w:val="0"/>
              <w:keepLines w:val="0"/>
              <w:pageBreakBefore w:val="0"/>
              <w:kinsoku/>
              <w:wordWrap/>
              <w:overflowPunct/>
              <w:topLinePunct w:val="0"/>
              <w:bidi w:val="0"/>
              <w:snapToGrid/>
              <w:spacing w:line="48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c>
          <w:tcPr>
            <w:tcW w:w="6139" w:type="dxa"/>
          </w:tcPr>
          <w:p w14:paraId="2E323257">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根据投标人的采购需求响应情况进行评选：</w:t>
            </w:r>
          </w:p>
          <w:p w14:paraId="63A9EEFC">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具有优于用户需求条款的得5分</w:t>
            </w:r>
            <w:r>
              <w:rPr>
                <w:rFonts w:hint="eastAsia" w:ascii="宋体" w:hAnsi="宋体" w:eastAsia="宋体" w:cs="宋体"/>
                <w:sz w:val="21"/>
                <w:szCs w:val="21"/>
              </w:rPr>
              <w:t>；</w:t>
            </w:r>
          </w:p>
          <w:p w14:paraId="4626D20A">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完全</w:t>
            </w:r>
            <w:r>
              <w:rPr>
                <w:rFonts w:hint="eastAsia" w:ascii="宋体" w:hAnsi="宋体" w:eastAsia="宋体" w:cs="宋体"/>
                <w:sz w:val="21"/>
                <w:szCs w:val="21"/>
              </w:rPr>
              <w:t>满足</w:t>
            </w:r>
            <w:r>
              <w:rPr>
                <w:rFonts w:hint="eastAsia" w:ascii="宋体" w:hAnsi="宋体" w:eastAsia="宋体" w:cs="宋体"/>
                <w:sz w:val="21"/>
                <w:szCs w:val="21"/>
                <w:lang w:val="en-US" w:eastAsia="zh-CN"/>
              </w:rPr>
              <w:t>用户需求条款的</w:t>
            </w:r>
            <w:r>
              <w:rPr>
                <w:rFonts w:hint="eastAsia" w:ascii="宋体" w:hAnsi="宋体" w:eastAsia="宋体" w:cs="宋体"/>
                <w:sz w:val="21"/>
                <w:szCs w:val="21"/>
              </w:rPr>
              <w:t>得3分；</w:t>
            </w:r>
          </w:p>
          <w:p w14:paraId="7132B7BF">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部分满足或有负偏离条款的得1分</w:t>
            </w:r>
            <w:r>
              <w:rPr>
                <w:rFonts w:hint="eastAsia" w:ascii="宋体" w:hAnsi="宋体" w:eastAsia="宋体" w:cs="宋体"/>
                <w:sz w:val="21"/>
                <w:szCs w:val="21"/>
              </w:rPr>
              <w:t>。</w:t>
            </w:r>
          </w:p>
        </w:tc>
      </w:tr>
      <w:tr w14:paraId="08F1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vAlign w:val="center"/>
          </w:tcPr>
          <w:p w14:paraId="54441AF3">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1435" w:type="dxa"/>
            <w:tcBorders>
              <w:top w:val="single" w:color="auto" w:sz="4" w:space="0"/>
              <w:left w:val="single" w:color="auto" w:sz="4" w:space="0"/>
              <w:bottom w:val="single" w:color="auto" w:sz="4" w:space="0"/>
              <w:right w:val="single" w:color="auto" w:sz="4" w:space="0"/>
            </w:tcBorders>
            <w:vAlign w:val="center"/>
          </w:tcPr>
          <w:p w14:paraId="203D5B8A">
            <w:pPr>
              <w:keepNext w:val="0"/>
              <w:keepLines w:val="0"/>
              <w:pageBreakBefore w:val="0"/>
              <w:widowControl/>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食堂管理服务方案</w:t>
            </w:r>
          </w:p>
        </w:tc>
        <w:tc>
          <w:tcPr>
            <w:tcW w:w="720" w:type="dxa"/>
            <w:tcBorders>
              <w:top w:val="single" w:color="auto" w:sz="4" w:space="0"/>
              <w:left w:val="single" w:color="auto" w:sz="4" w:space="0"/>
              <w:bottom w:val="single" w:color="auto" w:sz="4" w:space="0"/>
              <w:right w:val="single" w:color="auto" w:sz="4" w:space="0"/>
            </w:tcBorders>
            <w:vAlign w:val="center"/>
          </w:tcPr>
          <w:p w14:paraId="5E31C669">
            <w:pPr>
              <w:pStyle w:val="7"/>
              <w:keepNext w:val="0"/>
              <w:keepLines w:val="0"/>
              <w:pageBreakBefore w:val="0"/>
              <w:kinsoku/>
              <w:wordWrap/>
              <w:overflowPunct/>
              <w:topLinePunct w:val="0"/>
              <w:bidi w:val="0"/>
              <w:snapToGrid/>
              <w:spacing w:line="480" w:lineRule="exact"/>
              <w:ind w:firstLine="105" w:firstLineChars="5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6139" w:type="dxa"/>
            <w:tcBorders>
              <w:top w:val="single" w:color="auto" w:sz="4" w:space="0"/>
              <w:left w:val="single" w:color="auto" w:sz="4" w:space="0"/>
              <w:bottom w:val="single" w:color="auto" w:sz="4" w:space="0"/>
              <w:right w:val="single" w:color="auto" w:sz="4" w:space="0"/>
            </w:tcBorders>
          </w:tcPr>
          <w:p w14:paraId="4A83FC9B">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rPr>
              <w:t>对各投标人提供的食堂管理服务方案进行评审，包括但不限于服务团队的架构、厨房清洁卫生、消防安全管理、厨房日常工作检查、送餐管理、设施设备使用维护等进行评审：</w:t>
            </w:r>
          </w:p>
          <w:p w14:paraId="7CCBAF3D">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方案有具体的操作规范、计划安排科学合理、操作可行性强，</w:t>
            </w:r>
            <w:r>
              <w:rPr>
                <w:rFonts w:hint="eastAsia" w:ascii="宋体" w:hAnsi="宋体" w:eastAsia="宋体" w:cs="宋体"/>
                <w:sz w:val="21"/>
                <w:szCs w:val="21"/>
                <w:lang w:val="en-US" w:eastAsia="zh-CN"/>
              </w:rPr>
              <w:t>内容描述详细细致，</w:t>
            </w:r>
            <w:r>
              <w:rPr>
                <w:rFonts w:hint="eastAsia" w:ascii="宋体" w:hAnsi="宋体" w:eastAsia="宋体" w:cs="宋体"/>
                <w:sz w:val="21"/>
                <w:szCs w:val="21"/>
              </w:rPr>
              <w:t>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14:paraId="11B89651">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方案有较具体的操作规范，计划安排较合理、具有可操作性，</w:t>
            </w:r>
            <w:r>
              <w:rPr>
                <w:rFonts w:hint="eastAsia" w:ascii="宋体" w:hAnsi="宋体" w:eastAsia="宋体" w:cs="宋体"/>
                <w:sz w:val="21"/>
                <w:szCs w:val="21"/>
                <w:lang w:val="en-US" w:eastAsia="zh-CN"/>
              </w:rPr>
              <w:t>内容描述比较详细，</w:t>
            </w:r>
            <w:r>
              <w:rPr>
                <w:rFonts w:hint="eastAsia" w:ascii="宋体" w:hAnsi="宋体" w:eastAsia="宋体" w:cs="宋体"/>
                <w:sz w:val="21"/>
                <w:szCs w:val="21"/>
              </w:rPr>
              <w:t>得</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76029A10">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方案有基本的操作规范，计划安排不够合理，可操作性</w:t>
            </w:r>
            <w:r>
              <w:rPr>
                <w:rFonts w:hint="eastAsia" w:ascii="宋体" w:hAnsi="宋体" w:eastAsia="宋体" w:cs="宋体"/>
                <w:sz w:val="21"/>
                <w:szCs w:val="21"/>
                <w:lang w:val="en-US" w:eastAsia="zh-CN"/>
              </w:rPr>
              <w:t>比较合理</w:t>
            </w:r>
            <w:r>
              <w:rPr>
                <w:rFonts w:hint="eastAsia" w:ascii="宋体" w:hAnsi="宋体" w:eastAsia="宋体" w:cs="宋体"/>
                <w:sz w:val="21"/>
                <w:szCs w:val="21"/>
              </w:rPr>
              <w:t>，</w:t>
            </w:r>
            <w:r>
              <w:rPr>
                <w:rFonts w:hint="eastAsia" w:ascii="宋体" w:hAnsi="宋体" w:eastAsia="宋体" w:cs="宋体"/>
                <w:sz w:val="21"/>
                <w:szCs w:val="21"/>
                <w:lang w:val="en-US" w:eastAsia="zh-CN"/>
              </w:rPr>
              <w:t>内容描述比较完整</w:t>
            </w:r>
            <w:r>
              <w:rPr>
                <w:rFonts w:hint="eastAsia" w:ascii="宋体" w:hAnsi="宋体" w:eastAsia="宋体" w:cs="宋体"/>
                <w:sz w:val="21"/>
                <w:szCs w:val="21"/>
              </w:rPr>
              <w:t>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p>
          <w:p w14:paraId="5D2FE403">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4、方案描述比较简单、内容空洞、语句简陋，得1分；</w:t>
            </w:r>
          </w:p>
          <w:p w14:paraId="6F5B9A67">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无提供方案或方案不合理不得分。</w:t>
            </w:r>
          </w:p>
        </w:tc>
      </w:tr>
      <w:tr w14:paraId="08ED4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vAlign w:val="center"/>
          </w:tcPr>
          <w:p w14:paraId="3E91D55F">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1435" w:type="dxa"/>
            <w:tcBorders>
              <w:top w:val="single" w:color="auto" w:sz="4" w:space="0"/>
              <w:left w:val="single" w:color="auto" w:sz="4" w:space="0"/>
              <w:bottom w:val="single" w:color="auto" w:sz="4" w:space="0"/>
              <w:right w:val="single" w:color="auto" w:sz="4" w:space="0"/>
            </w:tcBorders>
            <w:vAlign w:val="center"/>
          </w:tcPr>
          <w:p w14:paraId="493A5518">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 xml:space="preserve">食品安全、原材料管理及食品卫生管理方案 </w:t>
            </w:r>
          </w:p>
        </w:tc>
        <w:tc>
          <w:tcPr>
            <w:tcW w:w="720" w:type="dxa"/>
            <w:tcBorders>
              <w:top w:val="single" w:color="auto" w:sz="4" w:space="0"/>
              <w:left w:val="single" w:color="auto" w:sz="4" w:space="0"/>
              <w:bottom w:val="single" w:color="auto" w:sz="4" w:space="0"/>
              <w:right w:val="single" w:color="auto" w:sz="4" w:space="0"/>
            </w:tcBorders>
            <w:vAlign w:val="center"/>
          </w:tcPr>
          <w:p w14:paraId="4AE2BAE4">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6139" w:type="dxa"/>
            <w:tcBorders>
              <w:top w:val="single" w:color="auto" w:sz="4" w:space="0"/>
              <w:left w:val="single" w:color="auto" w:sz="4" w:space="0"/>
              <w:bottom w:val="single" w:color="auto" w:sz="4" w:space="0"/>
              <w:right w:val="single" w:color="auto" w:sz="4" w:space="0"/>
            </w:tcBorders>
          </w:tcPr>
          <w:p w14:paraId="09EBC1E6">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对各投标人的食品安全、原材料管理及食品卫生管理方案进行评审：</w:t>
            </w:r>
          </w:p>
          <w:p w14:paraId="620FED41">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食品安全、原材料管理及食品卫生管理方案科学、合理、可行性强，</w:t>
            </w:r>
            <w:r>
              <w:rPr>
                <w:rFonts w:hint="eastAsia" w:ascii="宋体" w:hAnsi="宋体" w:eastAsia="宋体" w:cs="宋体"/>
                <w:sz w:val="21"/>
                <w:szCs w:val="21"/>
                <w:lang w:val="en-US" w:eastAsia="zh-CN"/>
              </w:rPr>
              <w:t>内容描述详细细致，</w:t>
            </w:r>
            <w:r>
              <w:rPr>
                <w:rFonts w:hint="eastAsia" w:ascii="宋体" w:hAnsi="宋体" w:eastAsia="宋体" w:cs="宋体"/>
                <w:sz w:val="21"/>
                <w:szCs w:val="21"/>
              </w:rPr>
              <w:t>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14:paraId="07751E6D">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食品安全、原材料管理及食品卫生管理方案较科学、较合理、可行性较强，</w:t>
            </w:r>
            <w:r>
              <w:rPr>
                <w:rFonts w:hint="eastAsia" w:ascii="宋体" w:hAnsi="宋体" w:eastAsia="宋体" w:cs="宋体"/>
                <w:sz w:val="21"/>
                <w:szCs w:val="21"/>
                <w:lang w:val="en-US" w:eastAsia="zh-CN"/>
              </w:rPr>
              <w:t>内容描述比较详细，</w:t>
            </w:r>
            <w:r>
              <w:rPr>
                <w:rFonts w:hint="eastAsia" w:ascii="宋体" w:hAnsi="宋体" w:eastAsia="宋体" w:cs="宋体"/>
                <w:sz w:val="21"/>
                <w:szCs w:val="21"/>
              </w:rPr>
              <w:t>得</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51168959">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食品安全、原材料管理及食品卫生管理方案一般、合理性一般、可行性一般，</w:t>
            </w:r>
            <w:r>
              <w:rPr>
                <w:rFonts w:hint="eastAsia" w:ascii="宋体" w:hAnsi="宋体" w:eastAsia="宋体" w:cs="宋体"/>
                <w:sz w:val="21"/>
                <w:szCs w:val="21"/>
                <w:lang w:val="en-US" w:eastAsia="zh-CN"/>
              </w:rPr>
              <w:t>内容描述不够详细，</w:t>
            </w:r>
            <w:r>
              <w:rPr>
                <w:rFonts w:hint="eastAsia" w:ascii="宋体" w:hAnsi="宋体" w:eastAsia="宋体" w:cs="宋体"/>
                <w:sz w:val="21"/>
                <w:szCs w:val="21"/>
              </w:rPr>
              <w:t>2分；</w:t>
            </w:r>
          </w:p>
          <w:p w14:paraId="1D9B035D">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无方案或方案不合理不得分。</w:t>
            </w:r>
          </w:p>
        </w:tc>
      </w:tr>
      <w:tr w14:paraId="03E0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7908A76C">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72B1189B">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菜式菜谱编制能力</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3E161664">
            <w:pPr>
              <w:pStyle w:val="7"/>
              <w:keepNext w:val="0"/>
              <w:keepLines w:val="0"/>
              <w:pageBreakBefore w:val="0"/>
              <w:kinsoku/>
              <w:wordWrap/>
              <w:overflowPunct/>
              <w:topLinePunct w:val="0"/>
              <w:bidi w:val="0"/>
              <w:snapToGrid/>
              <w:spacing w:line="480" w:lineRule="exact"/>
              <w:ind w:firstLine="105" w:firstLineChars="5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6139" w:type="dxa"/>
            <w:tcBorders>
              <w:top w:val="single" w:color="auto" w:sz="4" w:space="0"/>
              <w:left w:val="single" w:color="auto" w:sz="4" w:space="0"/>
              <w:bottom w:val="single" w:color="auto" w:sz="4" w:space="0"/>
              <w:right w:val="single" w:color="auto" w:sz="4" w:space="0"/>
            </w:tcBorders>
            <w:shd w:val="clear" w:color="auto" w:fill="auto"/>
          </w:tcPr>
          <w:p w14:paraId="60048CCE">
            <w:pPr>
              <w:keepNext w:val="0"/>
              <w:keepLines w:val="0"/>
              <w:pageBreakBefore w:val="0"/>
              <w:kinsoku/>
              <w:wordWrap/>
              <w:overflowPunct/>
              <w:topLinePunct w:val="0"/>
              <w:bidi w:val="0"/>
              <w:snapToGrid/>
              <w:spacing w:line="480" w:lineRule="exact"/>
              <w:rPr>
                <w:rFonts w:hint="eastAsia" w:ascii="宋体" w:hAnsi="宋体" w:eastAsia="宋体" w:cs="宋体"/>
                <w:sz w:val="21"/>
                <w:szCs w:val="21"/>
                <w:lang w:eastAsia="zh-CN"/>
              </w:rPr>
            </w:pPr>
            <w:r>
              <w:rPr>
                <w:rFonts w:hint="eastAsia" w:ascii="宋体" w:hAnsi="宋体" w:eastAsia="宋体" w:cs="宋体"/>
                <w:sz w:val="21"/>
                <w:szCs w:val="21"/>
              </w:rPr>
              <w:t>投标人根据拟实施的供餐模式，以及满足就餐人员口味等要求，提供一周食谱作为参考，提供营养餐、治疗餐服务方案且具有相关服务经验</w:t>
            </w:r>
            <w:r>
              <w:rPr>
                <w:rFonts w:hint="eastAsia" w:ascii="宋体" w:hAnsi="宋体" w:eastAsia="宋体" w:cs="宋体"/>
                <w:sz w:val="21"/>
                <w:szCs w:val="21"/>
                <w:lang w:eastAsia="zh-CN"/>
              </w:rPr>
              <w:t>。</w:t>
            </w:r>
          </w:p>
          <w:p w14:paraId="19F403A6">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营养搭配均衡，品种多样</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图文并茂，具有菜谱营养数据、科学合理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详尽细致</w:t>
            </w:r>
            <w:r>
              <w:rPr>
                <w:rFonts w:hint="eastAsia" w:ascii="宋体" w:hAnsi="宋体" w:eastAsia="宋体" w:cs="宋体"/>
                <w:sz w:val="21"/>
                <w:szCs w:val="21"/>
              </w:rPr>
              <w:t>，得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14:paraId="42CB31C1">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营养搭配合理，品种较多样，</w:t>
            </w:r>
            <w:r>
              <w:rPr>
                <w:rFonts w:hint="eastAsia" w:ascii="宋体" w:hAnsi="宋体" w:eastAsia="宋体" w:cs="宋体"/>
                <w:color w:val="auto"/>
                <w:sz w:val="21"/>
                <w:szCs w:val="21"/>
              </w:rPr>
              <w:t>品种结构</w:t>
            </w:r>
            <w:r>
              <w:rPr>
                <w:rFonts w:hint="eastAsia" w:ascii="宋体" w:hAnsi="宋体" w:eastAsia="宋体" w:cs="宋体"/>
                <w:color w:val="auto"/>
                <w:sz w:val="21"/>
                <w:szCs w:val="21"/>
                <w:lang w:val="en-US" w:eastAsia="zh-CN"/>
              </w:rPr>
              <w:t>比较</w:t>
            </w:r>
            <w:r>
              <w:rPr>
                <w:rFonts w:hint="eastAsia" w:ascii="宋体" w:hAnsi="宋体" w:eastAsia="宋体" w:cs="宋体"/>
                <w:color w:val="auto"/>
                <w:sz w:val="21"/>
                <w:szCs w:val="21"/>
              </w:rPr>
              <w:t>丰富</w:t>
            </w:r>
            <w:r>
              <w:rPr>
                <w:rFonts w:hint="eastAsia" w:ascii="宋体" w:hAnsi="宋体" w:eastAsia="宋体" w:cs="宋体"/>
                <w:sz w:val="21"/>
                <w:szCs w:val="21"/>
              </w:rPr>
              <w:t>，</w:t>
            </w:r>
            <w:r>
              <w:rPr>
                <w:rFonts w:hint="eastAsia" w:ascii="宋体" w:hAnsi="宋体" w:eastAsia="宋体" w:cs="宋体"/>
                <w:sz w:val="21"/>
                <w:szCs w:val="21"/>
                <w:lang w:val="en-US" w:eastAsia="zh-CN"/>
              </w:rPr>
              <w:t>具有菜谱图片，分量搭配比较合理，</w:t>
            </w:r>
            <w:r>
              <w:rPr>
                <w:rFonts w:hint="eastAsia" w:ascii="宋体" w:hAnsi="宋体" w:eastAsia="宋体" w:cs="宋体"/>
                <w:sz w:val="21"/>
                <w:szCs w:val="21"/>
              </w:rPr>
              <w:t>得</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0116E35B">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营养搭配一般，品种一般，</w:t>
            </w:r>
            <w:r>
              <w:rPr>
                <w:rFonts w:hint="eastAsia" w:ascii="宋体" w:hAnsi="宋体" w:eastAsia="宋体" w:cs="宋体"/>
                <w:sz w:val="21"/>
                <w:szCs w:val="21"/>
                <w:lang w:val="en-US" w:eastAsia="zh-CN"/>
              </w:rPr>
              <w:t>菜谱分量及营养比较合理</w:t>
            </w:r>
            <w:r>
              <w:rPr>
                <w:rFonts w:hint="eastAsia" w:ascii="宋体" w:hAnsi="宋体" w:eastAsia="宋体" w:cs="宋体"/>
                <w:sz w:val="21"/>
                <w:szCs w:val="21"/>
              </w:rPr>
              <w:t>，一般得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p>
          <w:p w14:paraId="65345A96">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4、菜谱搭配比较简单，内容描述较少，难以评判营养合理性，得1分；</w:t>
            </w:r>
          </w:p>
          <w:p w14:paraId="1F568631">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rPr>
              <w:t>4.不提供方案得0分。</w:t>
            </w:r>
          </w:p>
        </w:tc>
      </w:tr>
      <w:tr w14:paraId="52A8D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vAlign w:val="center"/>
          </w:tcPr>
          <w:p w14:paraId="4C9A2EC2">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1435" w:type="dxa"/>
            <w:tcBorders>
              <w:top w:val="single" w:color="auto" w:sz="4" w:space="0"/>
              <w:left w:val="single" w:color="auto" w:sz="4" w:space="0"/>
              <w:bottom w:val="single" w:color="auto" w:sz="4" w:space="0"/>
              <w:right w:val="single" w:color="auto" w:sz="4" w:space="0"/>
            </w:tcBorders>
            <w:vAlign w:val="center"/>
          </w:tcPr>
          <w:p w14:paraId="5AA2D0BB">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应急预案</w:t>
            </w:r>
          </w:p>
        </w:tc>
        <w:tc>
          <w:tcPr>
            <w:tcW w:w="720" w:type="dxa"/>
            <w:tcBorders>
              <w:top w:val="single" w:color="auto" w:sz="4" w:space="0"/>
              <w:left w:val="single" w:color="auto" w:sz="4" w:space="0"/>
              <w:bottom w:val="single" w:color="auto" w:sz="4" w:space="0"/>
              <w:right w:val="single" w:color="auto" w:sz="4" w:space="0"/>
            </w:tcBorders>
            <w:vAlign w:val="center"/>
          </w:tcPr>
          <w:p w14:paraId="6138D0AF">
            <w:pPr>
              <w:pStyle w:val="7"/>
              <w:keepNext w:val="0"/>
              <w:keepLines w:val="0"/>
              <w:pageBreakBefore w:val="0"/>
              <w:kinsoku/>
              <w:wordWrap/>
              <w:overflowPunct/>
              <w:topLinePunct w:val="0"/>
              <w:bidi w:val="0"/>
              <w:snapToGrid/>
              <w:spacing w:line="480" w:lineRule="exact"/>
              <w:ind w:firstLine="105" w:firstLineChars="5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6139" w:type="dxa"/>
            <w:tcBorders>
              <w:top w:val="single" w:color="auto" w:sz="4" w:space="0"/>
              <w:left w:val="single" w:color="auto" w:sz="4" w:space="0"/>
              <w:bottom w:val="single" w:color="auto" w:sz="4" w:space="0"/>
              <w:right w:val="single" w:color="auto" w:sz="4" w:space="0"/>
            </w:tcBorders>
          </w:tcPr>
          <w:p w14:paraId="16A6FC90">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rPr>
              <w:t>根据投标人提供的应急预案（包括但不限于火灾、食物中毒预防、中毒事件应急预案、停水停电应急预案等）进行评审：</w:t>
            </w:r>
          </w:p>
          <w:p w14:paraId="6676E94F">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方案准确完善、</w:t>
            </w:r>
            <w:r>
              <w:rPr>
                <w:rFonts w:hint="eastAsia" w:ascii="宋体" w:hAnsi="宋体" w:eastAsia="宋体" w:cs="宋体"/>
                <w:sz w:val="21"/>
                <w:szCs w:val="21"/>
                <w:lang w:val="en-US" w:eastAsia="zh-CN"/>
              </w:rPr>
              <w:t>符合实际、</w:t>
            </w:r>
            <w:r>
              <w:rPr>
                <w:rFonts w:hint="eastAsia" w:ascii="宋体" w:hAnsi="宋体" w:eastAsia="宋体" w:cs="宋体"/>
                <w:sz w:val="21"/>
                <w:szCs w:val="21"/>
              </w:rPr>
              <w:t>内容</w:t>
            </w:r>
            <w:r>
              <w:rPr>
                <w:rFonts w:hint="eastAsia" w:ascii="宋体" w:hAnsi="宋体" w:eastAsia="宋体" w:cs="宋体"/>
                <w:sz w:val="21"/>
                <w:szCs w:val="21"/>
                <w:lang w:val="en-US" w:eastAsia="zh-CN"/>
              </w:rPr>
              <w:t>周到、</w:t>
            </w:r>
            <w:r>
              <w:rPr>
                <w:rFonts w:hint="eastAsia" w:ascii="宋体" w:hAnsi="宋体" w:eastAsia="宋体" w:cs="宋体"/>
                <w:sz w:val="21"/>
                <w:szCs w:val="21"/>
              </w:rPr>
              <w:t>科学合理、可操作性强，</w:t>
            </w:r>
            <w:r>
              <w:rPr>
                <w:rFonts w:hint="eastAsia" w:ascii="宋体" w:hAnsi="宋体" w:eastAsia="宋体" w:cs="宋体"/>
                <w:sz w:val="21"/>
                <w:szCs w:val="21"/>
                <w:lang w:val="en-US" w:eastAsia="zh-CN"/>
              </w:rPr>
              <w:t>方案内容详尽细致，得10分</w:t>
            </w:r>
            <w:r>
              <w:rPr>
                <w:rFonts w:hint="eastAsia" w:ascii="宋体" w:hAnsi="宋体" w:eastAsia="宋体" w:cs="宋体"/>
                <w:sz w:val="21"/>
                <w:szCs w:val="21"/>
              </w:rPr>
              <w:t>；</w:t>
            </w:r>
          </w:p>
          <w:p w14:paraId="71D481CE">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方案基本完善、内容基本合理、可操作性强，得</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3BA6E5E3">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方案基本完善、内容基本合理、操作性</w:t>
            </w:r>
            <w:r>
              <w:rPr>
                <w:rFonts w:hint="eastAsia" w:ascii="宋体" w:hAnsi="宋体" w:eastAsia="宋体" w:cs="宋体"/>
                <w:sz w:val="21"/>
                <w:szCs w:val="21"/>
                <w:lang w:val="en-US" w:eastAsia="zh-CN"/>
              </w:rPr>
              <w:t>一般</w:t>
            </w:r>
            <w:r>
              <w:rPr>
                <w:rFonts w:hint="eastAsia" w:ascii="宋体" w:hAnsi="宋体" w:eastAsia="宋体" w:cs="宋体"/>
                <w:sz w:val="21"/>
                <w:szCs w:val="21"/>
              </w:rPr>
              <w:t>，</w:t>
            </w:r>
            <w:r>
              <w:rPr>
                <w:rFonts w:hint="eastAsia" w:ascii="宋体" w:hAnsi="宋体" w:eastAsia="宋体" w:cs="宋体"/>
                <w:sz w:val="21"/>
                <w:szCs w:val="21"/>
                <w:lang w:val="en-US" w:eastAsia="zh-CN"/>
              </w:rPr>
              <w:t>描述不够具体，内容比较简单，得2</w:t>
            </w:r>
            <w:r>
              <w:rPr>
                <w:rFonts w:hint="eastAsia" w:ascii="宋体" w:hAnsi="宋体" w:eastAsia="宋体" w:cs="宋体"/>
                <w:sz w:val="21"/>
                <w:szCs w:val="21"/>
              </w:rPr>
              <w:t>分；</w:t>
            </w:r>
          </w:p>
          <w:p w14:paraId="5673B98C">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无提供方案或方案不合理不得分。</w:t>
            </w:r>
          </w:p>
        </w:tc>
      </w:tr>
      <w:tr w14:paraId="0837C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07" w:type="dxa"/>
            <w:tcBorders>
              <w:top w:val="single" w:color="auto" w:sz="4" w:space="0"/>
              <w:left w:val="single" w:color="auto" w:sz="4" w:space="0"/>
              <w:bottom w:val="single" w:color="auto" w:sz="4" w:space="0"/>
              <w:right w:val="single" w:color="auto" w:sz="4" w:space="0"/>
            </w:tcBorders>
            <w:vAlign w:val="center"/>
          </w:tcPr>
          <w:p w14:paraId="4B6C951D">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p>
        </w:tc>
        <w:tc>
          <w:tcPr>
            <w:tcW w:w="1435" w:type="dxa"/>
            <w:tcBorders>
              <w:top w:val="single" w:color="auto" w:sz="4" w:space="0"/>
              <w:left w:val="single" w:color="auto" w:sz="4" w:space="0"/>
              <w:bottom w:val="single" w:color="auto" w:sz="4" w:space="0"/>
              <w:right w:val="single" w:color="auto" w:sz="4" w:space="0"/>
            </w:tcBorders>
            <w:vAlign w:val="center"/>
          </w:tcPr>
          <w:p w14:paraId="14E241E4">
            <w:pPr>
              <w:keepNext w:val="0"/>
              <w:keepLines w:val="0"/>
              <w:pageBreakBefore w:val="0"/>
              <w:tabs>
                <w:tab w:val="left" w:pos="840"/>
              </w:tabs>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b/>
                <w:sz w:val="21"/>
                <w:szCs w:val="21"/>
              </w:rPr>
              <w:t>合计</w:t>
            </w:r>
          </w:p>
        </w:tc>
        <w:tc>
          <w:tcPr>
            <w:tcW w:w="720" w:type="dxa"/>
            <w:tcBorders>
              <w:top w:val="single" w:color="auto" w:sz="4" w:space="0"/>
              <w:left w:val="single" w:color="auto" w:sz="4" w:space="0"/>
              <w:bottom w:val="single" w:color="auto" w:sz="4" w:space="0"/>
              <w:right w:val="single" w:color="auto" w:sz="4" w:space="0"/>
            </w:tcBorders>
            <w:vAlign w:val="center"/>
          </w:tcPr>
          <w:p w14:paraId="57646111">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lang w:val="en-US" w:eastAsia="zh-CN"/>
              </w:rPr>
            </w:pPr>
            <w:r>
              <w:rPr>
                <w:rFonts w:hint="eastAsia" w:ascii="宋体" w:hAnsi="宋体" w:eastAsia="宋体" w:cs="宋体"/>
                <w:b/>
                <w:sz w:val="21"/>
                <w:szCs w:val="21"/>
                <w:lang w:val="en-US" w:eastAsia="zh-CN"/>
              </w:rPr>
              <w:t>45</w:t>
            </w:r>
          </w:p>
        </w:tc>
        <w:tc>
          <w:tcPr>
            <w:tcW w:w="6139" w:type="dxa"/>
            <w:tcBorders>
              <w:top w:val="single" w:color="auto" w:sz="4" w:space="0"/>
              <w:left w:val="single" w:color="auto" w:sz="4" w:space="0"/>
              <w:bottom w:val="single" w:color="auto" w:sz="4" w:space="0"/>
              <w:right w:val="single" w:color="auto" w:sz="4" w:space="0"/>
            </w:tcBorders>
            <w:vAlign w:val="center"/>
          </w:tcPr>
          <w:p w14:paraId="464A99BF">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p>
        </w:tc>
      </w:tr>
    </w:tbl>
    <w:p w14:paraId="72ACF3A3">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val="en-US" w:eastAsia="zh-CN" w:bidi="ar-SA"/>
        </w:rPr>
        <w:t>（2）.商务评价：</w:t>
      </w:r>
    </w:p>
    <w:tbl>
      <w:tblPr>
        <w:tblStyle w:val="20"/>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502"/>
        <w:gridCol w:w="735"/>
        <w:gridCol w:w="5903"/>
      </w:tblGrid>
      <w:tr w14:paraId="01F0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0" w:type="dxa"/>
            <w:vAlign w:val="center"/>
          </w:tcPr>
          <w:p w14:paraId="5FE98BEB">
            <w:pPr>
              <w:keepNext w:val="0"/>
              <w:keepLines w:val="0"/>
              <w:pageBreakBefore w:val="0"/>
              <w:kinsoku/>
              <w:wordWrap/>
              <w:overflowPunct/>
              <w:topLinePunct w:val="0"/>
              <w:bidi w:val="0"/>
              <w:snapToGrid/>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502" w:type="dxa"/>
            <w:vAlign w:val="center"/>
          </w:tcPr>
          <w:p w14:paraId="363160AF">
            <w:pPr>
              <w:keepNext w:val="0"/>
              <w:keepLines w:val="0"/>
              <w:pageBreakBefore w:val="0"/>
              <w:kinsoku/>
              <w:wordWrap/>
              <w:overflowPunct/>
              <w:topLinePunct w:val="0"/>
              <w:bidi w:val="0"/>
              <w:snapToGrid/>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评审内容</w:t>
            </w:r>
          </w:p>
        </w:tc>
        <w:tc>
          <w:tcPr>
            <w:tcW w:w="735" w:type="dxa"/>
            <w:vAlign w:val="center"/>
          </w:tcPr>
          <w:p w14:paraId="63A3212B">
            <w:pPr>
              <w:keepNext w:val="0"/>
              <w:keepLines w:val="0"/>
              <w:pageBreakBefore w:val="0"/>
              <w:kinsoku/>
              <w:wordWrap/>
              <w:overflowPunct/>
              <w:topLinePunct w:val="0"/>
              <w:bidi w:val="0"/>
              <w:snapToGrid/>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评分权重</w:t>
            </w:r>
          </w:p>
        </w:tc>
        <w:tc>
          <w:tcPr>
            <w:tcW w:w="5903" w:type="dxa"/>
            <w:vAlign w:val="center"/>
          </w:tcPr>
          <w:p w14:paraId="4AD41F75">
            <w:pPr>
              <w:keepNext w:val="0"/>
              <w:keepLines w:val="0"/>
              <w:pageBreakBefore w:val="0"/>
              <w:kinsoku/>
              <w:wordWrap/>
              <w:overflowPunct/>
              <w:topLinePunct w:val="0"/>
              <w:bidi w:val="0"/>
              <w:snapToGrid/>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评分档次及依据</w:t>
            </w:r>
          </w:p>
        </w:tc>
      </w:tr>
      <w:tr w14:paraId="7BB99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690" w:type="dxa"/>
            <w:vAlign w:val="center"/>
          </w:tcPr>
          <w:p w14:paraId="3DA3560E">
            <w:pPr>
              <w:keepNext w:val="0"/>
              <w:keepLines w:val="0"/>
              <w:pageBreakBefore w:val="0"/>
              <w:kinsoku/>
              <w:wordWrap/>
              <w:overflowPunct/>
              <w:topLinePunct w:val="0"/>
              <w:bidi w:val="0"/>
              <w:snapToGrid/>
              <w:spacing w:line="480" w:lineRule="exact"/>
              <w:jc w:val="center"/>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1</w:t>
            </w:r>
          </w:p>
        </w:tc>
        <w:tc>
          <w:tcPr>
            <w:tcW w:w="1502" w:type="dxa"/>
            <w:vAlign w:val="center"/>
          </w:tcPr>
          <w:p w14:paraId="24AFB8C4">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体系认证情况</w:t>
            </w:r>
          </w:p>
        </w:tc>
        <w:tc>
          <w:tcPr>
            <w:tcW w:w="735" w:type="dxa"/>
            <w:vAlign w:val="center"/>
          </w:tcPr>
          <w:p w14:paraId="3FF9A62A">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c>
          <w:tcPr>
            <w:tcW w:w="5903" w:type="dxa"/>
            <w:vAlign w:val="center"/>
          </w:tcPr>
          <w:p w14:paraId="47300DE8">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投标人具有有效期内的质量管理体系认证、环境管理体系认证、职业健康安全管理体系、食品安全管理体系认证证书、危害分析与关键控制点体系（HACCP）认证证书，每提供一项得1分，满分为</w:t>
            </w:r>
            <w:r>
              <w:rPr>
                <w:rFonts w:hint="eastAsia" w:ascii="宋体" w:hAnsi="宋体" w:eastAsia="宋体" w:cs="宋体"/>
                <w:sz w:val="21"/>
                <w:szCs w:val="21"/>
                <w:lang w:val="en-US" w:eastAsia="zh-CN"/>
              </w:rPr>
              <w:t>5</w:t>
            </w:r>
            <w:r>
              <w:rPr>
                <w:rFonts w:hint="eastAsia" w:ascii="宋体" w:hAnsi="宋体" w:eastAsia="宋体" w:cs="宋体"/>
                <w:sz w:val="21"/>
                <w:szCs w:val="21"/>
              </w:rPr>
              <w:t xml:space="preserve">分。 </w:t>
            </w:r>
          </w:p>
          <w:p w14:paraId="2FAC9F8A">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注：提供有效期内证书复印件和在全国认证认可信息公共服务平台（http://cx.cnca.cn/CertECloud/index/</w:t>
            </w:r>
          </w:p>
          <w:p w14:paraId="0B1741D0">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rPr>
              <w:t>index/page）查询截图，证书必须处于“有效”状态。公开信息中无法查询或与公开信息不一致的，投标人必须提供发证机构出具的证明函。）</w:t>
            </w:r>
          </w:p>
        </w:tc>
      </w:tr>
      <w:tr w14:paraId="471A6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690" w:type="dxa"/>
            <w:vAlign w:val="center"/>
          </w:tcPr>
          <w:p w14:paraId="5B2E66FB">
            <w:pPr>
              <w:keepNext w:val="0"/>
              <w:keepLines w:val="0"/>
              <w:pageBreakBefore w:val="0"/>
              <w:kinsoku/>
              <w:wordWrap/>
              <w:overflowPunct/>
              <w:topLinePunct w:val="0"/>
              <w:bidi w:val="0"/>
              <w:snapToGrid/>
              <w:spacing w:line="480" w:lineRule="exact"/>
              <w:jc w:val="center"/>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2</w:t>
            </w:r>
          </w:p>
        </w:tc>
        <w:tc>
          <w:tcPr>
            <w:tcW w:w="1502" w:type="dxa"/>
            <w:vAlign w:val="center"/>
          </w:tcPr>
          <w:p w14:paraId="162B2C6E">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投标人拟投入团队人员</w:t>
            </w:r>
          </w:p>
        </w:tc>
        <w:tc>
          <w:tcPr>
            <w:tcW w:w="735" w:type="dxa"/>
            <w:vAlign w:val="center"/>
          </w:tcPr>
          <w:p w14:paraId="62D4C5A1">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5903" w:type="dxa"/>
          </w:tcPr>
          <w:p w14:paraId="35036DF9">
            <w:pPr>
              <w:pStyle w:val="19"/>
              <w:keepNext w:val="0"/>
              <w:keepLines w:val="0"/>
              <w:pageBreakBefore w:val="0"/>
              <w:kinsoku/>
              <w:wordWrap/>
              <w:overflowPunct/>
              <w:topLinePunct w:val="0"/>
              <w:bidi w:val="0"/>
              <w:snapToGrid/>
              <w:spacing w:after="0" w:line="480" w:lineRule="exact"/>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投标人拟投入团队人员中：</w:t>
            </w:r>
          </w:p>
          <w:p w14:paraId="3F7A2F68">
            <w:pPr>
              <w:pStyle w:val="19"/>
              <w:keepNext w:val="0"/>
              <w:keepLines w:val="0"/>
              <w:pageBreakBefore w:val="0"/>
              <w:numPr>
                <w:ilvl w:val="0"/>
                <w:numId w:val="0"/>
              </w:numPr>
              <w:kinsoku/>
              <w:wordWrap/>
              <w:overflowPunct/>
              <w:topLinePunct w:val="0"/>
              <w:bidi w:val="0"/>
              <w:snapToGrid/>
              <w:spacing w:after="0" w:line="480" w:lineRule="exact"/>
              <w:ind w:lef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项目负责人：具有高级</w:t>
            </w:r>
            <w:r>
              <w:rPr>
                <w:rFonts w:hint="eastAsia" w:ascii="宋体" w:hAnsi="宋体" w:eastAsia="宋体" w:cs="宋体"/>
                <w:color w:val="auto"/>
                <w:sz w:val="21"/>
                <w:szCs w:val="21"/>
                <w:highlight w:val="none"/>
                <w:lang w:val="en-US" w:eastAsia="zh-CN"/>
              </w:rPr>
              <w:t>健康管理师</w:t>
            </w:r>
            <w:r>
              <w:rPr>
                <w:rFonts w:hint="eastAsia" w:ascii="宋体" w:hAnsi="宋体" w:eastAsia="宋体" w:cs="宋体"/>
                <w:color w:val="auto"/>
                <w:sz w:val="21"/>
                <w:szCs w:val="21"/>
                <w:highlight w:val="none"/>
              </w:rPr>
              <w:t>、高级食品安全管理员证书、高级餐饮职业经理人，</w:t>
            </w:r>
            <w:r>
              <w:rPr>
                <w:rFonts w:hint="eastAsia" w:ascii="宋体" w:hAnsi="宋体" w:eastAsia="宋体" w:cs="宋体"/>
                <w:color w:val="auto"/>
                <w:sz w:val="21"/>
                <w:szCs w:val="21"/>
                <w:highlight w:val="none"/>
                <w:lang w:val="en-US" w:eastAsia="zh-CN"/>
              </w:rPr>
              <w:t>每个得2分，最高得6</w:t>
            </w:r>
            <w:r>
              <w:rPr>
                <w:rFonts w:hint="eastAsia" w:ascii="宋体" w:hAnsi="宋体" w:eastAsia="宋体" w:cs="宋体"/>
                <w:color w:val="auto"/>
                <w:sz w:val="21"/>
                <w:szCs w:val="21"/>
                <w:highlight w:val="none"/>
              </w:rPr>
              <w:t>分；</w:t>
            </w:r>
          </w:p>
          <w:p w14:paraId="3D5461AA">
            <w:pPr>
              <w:pStyle w:val="19"/>
              <w:keepNext w:val="0"/>
              <w:keepLines w:val="0"/>
              <w:pageBreakBefore w:val="0"/>
              <w:kinsoku/>
              <w:wordWrap/>
              <w:overflowPunct/>
              <w:topLinePunct w:val="0"/>
              <w:bidi w:val="0"/>
              <w:snapToGrid/>
              <w:spacing w:after="0" w:line="480" w:lineRule="exact"/>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）厨师长：</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高级食品安全管理员证书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高级烹调师证书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每个得2分，最高得4</w:t>
            </w:r>
            <w:r>
              <w:rPr>
                <w:rFonts w:hint="eastAsia" w:ascii="宋体" w:hAnsi="宋体" w:eastAsia="宋体" w:cs="宋体"/>
                <w:color w:val="auto"/>
                <w:sz w:val="21"/>
                <w:szCs w:val="21"/>
                <w:highlight w:val="none"/>
              </w:rPr>
              <w:t>分；</w:t>
            </w:r>
          </w:p>
          <w:p w14:paraId="2948DAB2">
            <w:pPr>
              <w:pStyle w:val="19"/>
              <w:keepNext w:val="0"/>
              <w:keepLines w:val="0"/>
              <w:pageBreakBefore w:val="0"/>
              <w:kinsoku/>
              <w:wordWrap/>
              <w:overflowPunct/>
              <w:topLinePunct w:val="0"/>
              <w:bidi w:val="0"/>
              <w:snapToGrid/>
              <w:spacing w:after="0" w:line="480" w:lineRule="exact"/>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）服务人员（除项目负责人、厨师长外）：配备专职食品安全管理员，提供高级食品安全管理员证书，得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最高得4分</w:t>
            </w:r>
            <w:r>
              <w:rPr>
                <w:rFonts w:hint="eastAsia" w:ascii="宋体" w:hAnsi="宋体" w:eastAsia="宋体" w:cs="宋体"/>
                <w:color w:val="auto"/>
                <w:sz w:val="21"/>
                <w:szCs w:val="21"/>
                <w:highlight w:val="none"/>
              </w:rPr>
              <w:t>；</w:t>
            </w:r>
          </w:p>
          <w:p w14:paraId="4E4A4572">
            <w:pPr>
              <w:pStyle w:val="19"/>
              <w:keepNext w:val="0"/>
              <w:keepLines w:val="0"/>
              <w:pageBreakBefore w:val="0"/>
              <w:kinsoku/>
              <w:wordWrap/>
              <w:overflowPunct/>
              <w:topLinePunct w:val="0"/>
              <w:bidi w:val="0"/>
              <w:snapToGrid/>
              <w:spacing w:line="480" w:lineRule="exact"/>
              <w:ind w:left="0" w:leftChars="0" w:firstLine="0" w:firstLineChars="0"/>
              <w:jc w:val="left"/>
              <w:rPr>
                <w:rFonts w:hint="eastAsia" w:ascii="宋体" w:hAnsi="宋体" w:eastAsia="宋体" w:cs="宋体"/>
                <w:sz w:val="21"/>
                <w:szCs w:val="21"/>
              </w:rPr>
            </w:pPr>
            <w:r>
              <w:rPr>
                <w:rFonts w:hint="eastAsia" w:ascii="宋体" w:hAnsi="宋体" w:eastAsia="宋体" w:cs="宋体"/>
                <w:color w:val="auto"/>
                <w:sz w:val="21"/>
                <w:szCs w:val="21"/>
                <w:highlight w:val="none"/>
              </w:rPr>
              <w:t>注：（1）投标文件中需提供人员配置清单（格式自拟）和人员相关证明文件并加盖公章。 （2）关于人员用工形式的证明（投标人满足以下任意一项即可，未按要求提供的不得分）：a）提供投标人为其购买的投标文件提交截止时间为止近6个月内任意1个月的社保证明复印件； b）如果投标人成立时间或该人员入职不足1个月，则提供人员入职证明或用工证明资料。</w:t>
            </w:r>
          </w:p>
        </w:tc>
      </w:tr>
      <w:tr w14:paraId="3C24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90" w:type="dxa"/>
            <w:vAlign w:val="center"/>
          </w:tcPr>
          <w:p w14:paraId="0EB7D5F1">
            <w:pPr>
              <w:keepNext w:val="0"/>
              <w:keepLines w:val="0"/>
              <w:pageBreakBefore w:val="0"/>
              <w:kinsoku/>
              <w:wordWrap/>
              <w:overflowPunct/>
              <w:topLinePunct w:val="0"/>
              <w:bidi w:val="0"/>
              <w:snapToGrid/>
              <w:spacing w:line="480" w:lineRule="exact"/>
              <w:jc w:val="center"/>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3</w:t>
            </w:r>
          </w:p>
        </w:tc>
        <w:tc>
          <w:tcPr>
            <w:tcW w:w="1502" w:type="dxa"/>
            <w:vAlign w:val="center"/>
          </w:tcPr>
          <w:p w14:paraId="0593D80E">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业绩要求</w:t>
            </w:r>
          </w:p>
        </w:tc>
        <w:tc>
          <w:tcPr>
            <w:tcW w:w="735" w:type="dxa"/>
            <w:vAlign w:val="center"/>
          </w:tcPr>
          <w:p w14:paraId="6E598819">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5903" w:type="dxa"/>
            <w:vAlign w:val="center"/>
          </w:tcPr>
          <w:p w14:paraId="30542092">
            <w:pPr>
              <w:keepNext w:val="0"/>
              <w:keepLines w:val="0"/>
              <w:pageBreakBefore w:val="0"/>
              <w:tabs>
                <w:tab w:val="left" w:pos="840"/>
              </w:tabs>
              <w:kinsoku/>
              <w:wordWrap/>
              <w:overflowPunct/>
              <w:topLinePunct w:val="0"/>
              <w:bidi w:val="0"/>
              <w:snapToGrid/>
              <w:spacing w:line="480" w:lineRule="exact"/>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2021年1月1日至今（以合同签订时间为准）已完成或正在履行的食堂整体承包运营相关项目业绩的，每提供1项业绩得</w:t>
            </w:r>
            <w:r>
              <w:rPr>
                <w:rFonts w:hint="eastAsia" w:ascii="宋体" w:hAnsi="宋体" w:eastAsia="宋体" w:cs="宋体"/>
                <w:sz w:val="21"/>
                <w:szCs w:val="21"/>
                <w:lang w:val="en-US" w:eastAsia="zh-CN"/>
              </w:rPr>
              <w:t>1</w:t>
            </w:r>
            <w:r>
              <w:rPr>
                <w:rFonts w:hint="eastAsia" w:ascii="宋体" w:hAnsi="宋体" w:eastAsia="宋体" w:cs="宋体"/>
                <w:sz w:val="21"/>
                <w:szCs w:val="21"/>
              </w:rPr>
              <w:t>分，本小项最高得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479E14DD">
            <w:pPr>
              <w:keepNext w:val="0"/>
              <w:keepLines w:val="0"/>
              <w:pageBreakBefore w:val="0"/>
              <w:tabs>
                <w:tab w:val="left" w:pos="840"/>
              </w:tabs>
              <w:kinsoku/>
              <w:wordWrap/>
              <w:overflowPunct/>
              <w:topLinePunct w:val="0"/>
              <w:bidi w:val="0"/>
              <w:snapToGrid/>
              <w:spacing w:line="48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2、其中为医院食堂</w:t>
            </w:r>
            <w:r>
              <w:rPr>
                <w:rFonts w:hint="eastAsia" w:ascii="宋体" w:hAnsi="宋体" w:eastAsia="宋体" w:cs="宋体"/>
                <w:sz w:val="21"/>
                <w:szCs w:val="21"/>
                <w:highlight w:val="none"/>
              </w:rPr>
              <w:t>食堂整体承包运营</w:t>
            </w:r>
            <w:r>
              <w:rPr>
                <w:rFonts w:hint="eastAsia" w:ascii="宋体" w:hAnsi="宋体" w:eastAsia="宋体" w:cs="宋体"/>
                <w:sz w:val="21"/>
                <w:szCs w:val="21"/>
                <w:highlight w:val="none"/>
                <w:lang w:val="en-US" w:eastAsia="zh-CN"/>
              </w:rPr>
              <w:t>业绩的每个加1分，本小项目最高5分</w:t>
            </w:r>
            <w:r>
              <w:rPr>
                <w:rFonts w:hint="eastAsia" w:ascii="宋体" w:hAnsi="宋体" w:eastAsia="宋体" w:cs="宋体"/>
                <w:sz w:val="21"/>
                <w:szCs w:val="21"/>
                <w:highlight w:val="none"/>
              </w:rPr>
              <w:t>。</w:t>
            </w:r>
          </w:p>
          <w:p w14:paraId="68F9A632">
            <w:pPr>
              <w:pStyle w:val="30"/>
              <w:keepNext w:val="0"/>
              <w:keepLines w:val="0"/>
              <w:pageBreakBefore w:val="0"/>
              <w:kinsoku/>
              <w:wordWrap/>
              <w:overflowPunct/>
              <w:topLinePunct w:val="0"/>
              <w:bidi w:val="0"/>
              <w:snapToGrid/>
              <w:spacing w:line="480" w:lineRule="exact"/>
              <w:ind w:left="0"/>
              <w:rPr>
                <w:rFonts w:hint="eastAsia" w:ascii="宋体" w:hAnsi="宋体" w:eastAsia="宋体" w:cs="宋体"/>
                <w:sz w:val="21"/>
                <w:szCs w:val="21"/>
              </w:rPr>
            </w:pPr>
            <w:r>
              <w:rPr>
                <w:rFonts w:hint="eastAsia" w:ascii="宋体" w:hAnsi="宋体" w:eastAsia="宋体" w:cs="宋体"/>
                <w:sz w:val="21"/>
                <w:szCs w:val="21"/>
              </w:rPr>
              <w:t>注：投标文件中须提供合同关键页及合同履行过程中任意一次的发票复印件，业绩时间以合同签订时间为准，未提供或所提供资料模糊不清的不得分。如合同中无法体现详细内容的，投标人须提供合同甲方出具的加盖公章的证明文件，否则视为不满足评审要求。</w:t>
            </w:r>
          </w:p>
        </w:tc>
      </w:tr>
      <w:tr w14:paraId="12BE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90" w:type="dxa"/>
            <w:vAlign w:val="center"/>
          </w:tcPr>
          <w:p w14:paraId="17081A0D">
            <w:pPr>
              <w:keepNext w:val="0"/>
              <w:keepLines w:val="0"/>
              <w:pageBreakBefore w:val="0"/>
              <w:kinsoku/>
              <w:wordWrap/>
              <w:overflowPunct/>
              <w:topLinePunct w:val="0"/>
              <w:bidi w:val="0"/>
              <w:snapToGrid/>
              <w:spacing w:line="480" w:lineRule="exact"/>
              <w:jc w:val="center"/>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4</w:t>
            </w:r>
          </w:p>
        </w:tc>
        <w:tc>
          <w:tcPr>
            <w:tcW w:w="1502" w:type="dxa"/>
            <w:vAlign w:val="center"/>
          </w:tcPr>
          <w:p w14:paraId="37B8CAE9">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业主好评</w:t>
            </w:r>
          </w:p>
        </w:tc>
        <w:tc>
          <w:tcPr>
            <w:tcW w:w="735" w:type="dxa"/>
            <w:vAlign w:val="center"/>
          </w:tcPr>
          <w:p w14:paraId="00268858">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c>
          <w:tcPr>
            <w:tcW w:w="5903" w:type="dxa"/>
            <w:vAlign w:val="center"/>
          </w:tcPr>
          <w:p w14:paraId="43C4EBBE">
            <w:pPr>
              <w:keepNext w:val="0"/>
              <w:keepLines w:val="0"/>
              <w:pageBreakBefore w:val="0"/>
              <w:tabs>
                <w:tab w:val="left" w:pos="840"/>
              </w:tabs>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rPr>
              <w:t>提供上述食堂运营或食堂管理服务项目业绩的用户书面满意度评价或意见反馈情况：正面评价（业主书面优秀、满意或相当之类的正面评价），不含及格或合格等普通评价，每份得</w:t>
            </w:r>
            <w:r>
              <w:rPr>
                <w:rFonts w:hint="eastAsia" w:ascii="宋体" w:hAnsi="宋体" w:eastAsia="宋体" w:cs="宋体"/>
                <w:sz w:val="21"/>
                <w:szCs w:val="21"/>
                <w:lang w:val="en-US" w:eastAsia="zh-CN"/>
              </w:rPr>
              <w:t>1</w:t>
            </w:r>
            <w:r>
              <w:rPr>
                <w:rFonts w:hint="eastAsia" w:ascii="宋体" w:hAnsi="宋体" w:eastAsia="宋体" w:cs="宋体"/>
                <w:sz w:val="21"/>
                <w:szCs w:val="21"/>
              </w:rPr>
              <w:t>分；本项最高得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6C0F8219">
            <w:pPr>
              <w:keepNext w:val="0"/>
              <w:keepLines w:val="0"/>
              <w:pageBreakBefore w:val="0"/>
              <w:tabs>
                <w:tab w:val="left" w:pos="840"/>
              </w:tabs>
              <w:kinsoku/>
              <w:wordWrap/>
              <w:overflowPunct/>
              <w:topLinePunct w:val="0"/>
              <w:bidi w:val="0"/>
              <w:snapToGrid/>
              <w:spacing w:line="480" w:lineRule="exact"/>
              <w:jc w:val="left"/>
              <w:rPr>
                <w:rFonts w:hint="eastAsia" w:ascii="宋体" w:hAnsi="宋体" w:eastAsia="宋体" w:cs="宋体"/>
                <w:sz w:val="21"/>
                <w:szCs w:val="21"/>
              </w:rPr>
            </w:pPr>
            <w:r>
              <w:rPr>
                <w:rFonts w:hint="eastAsia" w:ascii="宋体" w:hAnsi="宋体" w:eastAsia="宋体" w:cs="宋体"/>
                <w:sz w:val="21"/>
                <w:szCs w:val="21"/>
              </w:rPr>
              <w:t>注：提供相关用户书面满意度评价或意见反馈情况（需用户单位盖章），复印件并加盖供应商公章，满意度评价（或意见反馈情况）要和业绩须是同一用户，不符合要求或不提供，不得分。</w:t>
            </w:r>
          </w:p>
        </w:tc>
      </w:tr>
      <w:tr w14:paraId="0E35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90" w:type="dxa"/>
            <w:vAlign w:val="center"/>
          </w:tcPr>
          <w:p w14:paraId="6A59EE54">
            <w:pPr>
              <w:keepNext w:val="0"/>
              <w:keepLines w:val="0"/>
              <w:pageBreakBefore w:val="0"/>
              <w:kinsoku/>
              <w:wordWrap/>
              <w:overflowPunct/>
              <w:topLinePunct w:val="0"/>
              <w:bidi w:val="0"/>
              <w:snapToGrid/>
              <w:spacing w:line="480" w:lineRule="exact"/>
              <w:jc w:val="center"/>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5</w:t>
            </w:r>
          </w:p>
        </w:tc>
        <w:tc>
          <w:tcPr>
            <w:tcW w:w="1502" w:type="dxa"/>
            <w:vAlign w:val="center"/>
          </w:tcPr>
          <w:p w14:paraId="184D83F6">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企业抗风险能力</w:t>
            </w:r>
          </w:p>
        </w:tc>
        <w:tc>
          <w:tcPr>
            <w:tcW w:w="735" w:type="dxa"/>
            <w:vAlign w:val="center"/>
          </w:tcPr>
          <w:p w14:paraId="3BF9C74D">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5903" w:type="dxa"/>
            <w:vAlign w:val="center"/>
          </w:tcPr>
          <w:p w14:paraId="6AB80D6F">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投标人提供食品安全责任保险：</w:t>
            </w:r>
          </w:p>
          <w:p w14:paraId="0889F948">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保额1000万元以上(含1000万元)，得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5BF05CB1">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保额500万(含)以上-1000万元内，得2分；</w:t>
            </w:r>
          </w:p>
          <w:p w14:paraId="7B8CED1E">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保额100万(含)以上-500万元以内，得1分；</w:t>
            </w:r>
          </w:p>
          <w:p w14:paraId="57494A25">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保额100万元以下得0分。</w:t>
            </w:r>
          </w:p>
          <w:p w14:paraId="00761607">
            <w:pPr>
              <w:keepNext w:val="0"/>
              <w:keepLines w:val="0"/>
              <w:pageBreakBefore w:val="0"/>
              <w:kinsoku/>
              <w:wordWrap/>
              <w:overflowPunct/>
              <w:topLinePunct w:val="0"/>
              <w:bidi w:val="0"/>
              <w:snapToGrid/>
              <w:spacing w:line="480" w:lineRule="exact"/>
              <w:rPr>
                <w:rFonts w:hint="eastAsia" w:ascii="宋体" w:hAnsi="宋体" w:eastAsia="宋体" w:cs="宋体"/>
                <w:sz w:val="21"/>
                <w:szCs w:val="21"/>
              </w:rPr>
            </w:pPr>
            <w:r>
              <w:rPr>
                <w:rFonts w:hint="eastAsia" w:ascii="宋体" w:hAnsi="宋体" w:eastAsia="宋体" w:cs="宋体"/>
                <w:sz w:val="21"/>
                <w:szCs w:val="21"/>
              </w:rPr>
              <w:t>注：投标人提供有效期内投标人购买食品安全责任险保单复印件并加盖公章</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如无</w:t>
            </w:r>
            <w:r>
              <w:rPr>
                <w:rFonts w:hint="eastAsia" w:ascii="宋体" w:hAnsi="宋体" w:eastAsia="宋体" w:cs="宋体"/>
                <w:sz w:val="21"/>
                <w:szCs w:val="21"/>
              </w:rPr>
              <w:t>食品安全责任险</w:t>
            </w:r>
            <w:r>
              <w:rPr>
                <w:rFonts w:hint="eastAsia" w:ascii="宋体" w:hAnsi="宋体" w:eastAsia="宋体" w:cs="宋体"/>
                <w:sz w:val="21"/>
                <w:szCs w:val="21"/>
                <w:lang w:eastAsia="zh-CN"/>
              </w:rPr>
              <w:t>的</w:t>
            </w:r>
            <w:r>
              <w:rPr>
                <w:rFonts w:hint="eastAsia" w:ascii="宋体" w:hAnsi="宋体" w:eastAsia="宋体" w:cs="宋体"/>
                <w:sz w:val="21"/>
                <w:szCs w:val="21"/>
                <w:lang w:val="en-US" w:eastAsia="zh-CN"/>
              </w:rPr>
              <w:t>须提供承诺函，承诺中标后购买上述保额的保险</w:t>
            </w:r>
            <w:r>
              <w:rPr>
                <w:rFonts w:hint="eastAsia" w:ascii="宋体" w:hAnsi="宋体" w:eastAsia="宋体" w:cs="宋体"/>
                <w:sz w:val="21"/>
                <w:szCs w:val="21"/>
              </w:rPr>
              <w:t>。</w:t>
            </w:r>
          </w:p>
        </w:tc>
      </w:tr>
      <w:tr w14:paraId="1094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90" w:type="dxa"/>
            <w:vAlign w:val="center"/>
          </w:tcPr>
          <w:p w14:paraId="4A116179">
            <w:pPr>
              <w:keepNext w:val="0"/>
              <w:keepLines w:val="0"/>
              <w:pageBreakBefore w:val="0"/>
              <w:kinsoku/>
              <w:wordWrap/>
              <w:overflowPunct/>
              <w:topLinePunct w:val="0"/>
              <w:bidi w:val="0"/>
              <w:snapToGrid/>
              <w:spacing w:line="480" w:lineRule="exact"/>
              <w:jc w:val="center"/>
              <w:rPr>
                <w:rFonts w:hint="eastAsia" w:ascii="宋体" w:hAnsi="宋体" w:eastAsia="宋体" w:cs="宋体"/>
                <w:bCs/>
                <w:sz w:val="21"/>
                <w:szCs w:val="21"/>
              </w:rPr>
            </w:pPr>
            <w:r>
              <w:rPr>
                <w:rFonts w:hint="eastAsia" w:ascii="宋体" w:hAnsi="宋体" w:eastAsia="宋体" w:cs="宋体"/>
                <w:sz w:val="21"/>
                <w:szCs w:val="21"/>
                <w:lang w:val="en-US" w:eastAsia="zh-CN"/>
              </w:rPr>
              <w:t>6</w:t>
            </w:r>
          </w:p>
        </w:tc>
        <w:tc>
          <w:tcPr>
            <w:tcW w:w="1502" w:type="dxa"/>
            <w:vAlign w:val="center"/>
          </w:tcPr>
          <w:p w14:paraId="4165346C">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食品原料质量检测</w:t>
            </w:r>
          </w:p>
        </w:tc>
        <w:tc>
          <w:tcPr>
            <w:tcW w:w="735" w:type="dxa"/>
            <w:vAlign w:val="center"/>
          </w:tcPr>
          <w:p w14:paraId="2504BBD3">
            <w:pPr>
              <w:pStyle w:val="7"/>
              <w:keepNext w:val="0"/>
              <w:keepLines w:val="0"/>
              <w:pageBreakBefore w:val="0"/>
              <w:kinsoku/>
              <w:wordWrap/>
              <w:overflowPunct/>
              <w:topLinePunct w:val="0"/>
              <w:bidi w:val="0"/>
              <w:snapToGrid/>
              <w:spacing w:line="480" w:lineRule="exact"/>
              <w:ind w:firstLine="105" w:firstLineChars="50"/>
              <w:jc w:val="center"/>
              <w:rPr>
                <w:rFonts w:hint="default" w:ascii="宋体" w:hAnsi="宋体" w:eastAsia="宋体" w:cs="宋体"/>
                <w:sz w:val="21"/>
                <w:szCs w:val="21"/>
                <w:lang w:val="en-US" w:eastAsia="zh-CN"/>
              </w:rPr>
            </w:pPr>
            <w:r>
              <w:rPr>
                <w:rFonts w:hint="eastAsia" w:cs="宋体"/>
                <w:sz w:val="21"/>
                <w:szCs w:val="21"/>
                <w:lang w:val="en-US" w:eastAsia="zh-CN"/>
              </w:rPr>
              <w:t>10</w:t>
            </w:r>
          </w:p>
        </w:tc>
        <w:tc>
          <w:tcPr>
            <w:tcW w:w="5903" w:type="dxa"/>
            <w:vAlign w:val="top"/>
          </w:tcPr>
          <w:p w14:paraId="7227FDCD">
            <w:pPr>
              <w:keepNext w:val="0"/>
              <w:keepLines w:val="0"/>
              <w:pageBreakBefore w:val="0"/>
              <w:widowControl/>
              <w:kinsoku/>
              <w:wordWrap/>
              <w:overflowPunct/>
              <w:topLinePunct w:val="0"/>
              <w:bidi w:val="0"/>
              <w:snapToGrid/>
              <w:spacing w:line="480" w:lineRule="exact"/>
              <w:jc w:val="left"/>
              <w:textAlignment w:val="center"/>
              <w:rPr>
                <w:rFonts w:hint="eastAsia" w:ascii="宋体" w:hAnsi="宋体" w:eastAsia="宋体" w:cs="宋体"/>
                <w:sz w:val="21"/>
                <w:szCs w:val="21"/>
              </w:rPr>
            </w:pPr>
            <w:r>
              <w:rPr>
                <w:rStyle w:val="44"/>
                <w:rFonts w:hint="eastAsia" w:ascii="宋体" w:hAnsi="宋体" w:eastAsia="宋体" w:cs="宋体"/>
                <w:color w:val="auto"/>
                <w:sz w:val="21"/>
                <w:szCs w:val="21"/>
                <w:highlight w:val="none"/>
                <w:lang w:bidi="ar"/>
              </w:rPr>
              <w:t>提供</w:t>
            </w:r>
            <w:r>
              <w:rPr>
                <w:rStyle w:val="44"/>
                <w:rFonts w:hint="eastAsia" w:ascii="宋体" w:hAnsi="宋体" w:eastAsia="宋体" w:cs="宋体"/>
                <w:color w:val="auto"/>
                <w:sz w:val="21"/>
                <w:szCs w:val="21"/>
                <w:highlight w:val="none"/>
                <w:lang w:val="en-US" w:eastAsia="zh-CN" w:bidi="ar"/>
              </w:rPr>
              <w:t>2025年任意</w:t>
            </w:r>
            <w:r>
              <w:rPr>
                <w:rStyle w:val="44"/>
                <w:rFonts w:hint="eastAsia" w:ascii="宋体" w:hAnsi="宋体" w:eastAsia="宋体" w:cs="宋体"/>
                <w:color w:val="auto"/>
                <w:sz w:val="21"/>
                <w:szCs w:val="21"/>
                <w:highlight w:val="none"/>
                <w:shd w:val="clear"/>
                <w:lang w:val="en-US" w:eastAsia="zh-CN" w:bidi="ar"/>
              </w:rPr>
              <w:t>连续三</w:t>
            </w:r>
            <w:r>
              <w:rPr>
                <w:rStyle w:val="44"/>
                <w:rFonts w:hint="eastAsia" w:ascii="宋体" w:hAnsi="宋体" w:eastAsia="宋体" w:cs="宋体"/>
                <w:color w:val="auto"/>
                <w:sz w:val="21"/>
                <w:szCs w:val="21"/>
                <w:highlight w:val="none"/>
                <w:lang w:bidi="ar"/>
              </w:rPr>
              <w:t>个月具有CNAS和CMA认证资质第三方检测报告，</w:t>
            </w:r>
            <w:r>
              <w:rPr>
                <w:rFonts w:hint="eastAsia" w:ascii="宋体" w:hAnsi="宋体" w:eastAsia="宋体" w:cs="宋体"/>
                <w:sz w:val="21"/>
                <w:szCs w:val="21"/>
                <w:highlight w:val="none"/>
              </w:rPr>
              <w:t>八大原材料</w:t>
            </w:r>
            <w:r>
              <w:rPr>
                <w:rStyle w:val="44"/>
                <w:rFonts w:hint="eastAsia" w:ascii="宋体" w:hAnsi="宋体" w:eastAsia="宋体" w:cs="宋体"/>
                <w:color w:val="auto"/>
                <w:sz w:val="21"/>
                <w:szCs w:val="21"/>
                <w:highlight w:val="none"/>
                <w:lang w:bidi="ar"/>
              </w:rPr>
              <w:t>蔬菜类、水产类、大米、蛋类、水果类、</w:t>
            </w:r>
            <w:r>
              <w:rPr>
                <w:rFonts w:hint="eastAsia" w:ascii="宋体" w:hAnsi="宋体" w:eastAsia="宋体" w:cs="宋体"/>
                <w:sz w:val="21"/>
                <w:szCs w:val="21"/>
                <w:highlight w:val="none"/>
              </w:rPr>
              <w:t>食用油类、家禽类、猪肉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米面制品类、干货类</w:t>
            </w:r>
            <w:r>
              <w:rPr>
                <w:rFonts w:hint="eastAsia" w:ascii="宋体" w:hAnsi="宋体" w:eastAsia="宋体" w:cs="宋体"/>
                <w:sz w:val="21"/>
                <w:szCs w:val="21"/>
                <w:highlight w:val="none"/>
              </w:rPr>
              <w:t>，</w:t>
            </w:r>
            <w:r>
              <w:rPr>
                <w:rStyle w:val="44"/>
                <w:rFonts w:hint="eastAsia" w:ascii="宋体" w:hAnsi="宋体" w:eastAsia="宋体" w:cs="宋体"/>
                <w:color w:val="auto"/>
                <w:sz w:val="21"/>
                <w:szCs w:val="21"/>
                <w:lang w:bidi="ar"/>
              </w:rPr>
              <w:t>每提供1类满足要求检测报告得1分，满分</w:t>
            </w:r>
            <w:r>
              <w:rPr>
                <w:rStyle w:val="44"/>
                <w:rFonts w:hint="eastAsia" w:ascii="宋体" w:hAnsi="宋体" w:eastAsia="宋体" w:cs="宋体"/>
                <w:color w:val="auto"/>
                <w:sz w:val="21"/>
                <w:szCs w:val="21"/>
                <w:lang w:val="en-US" w:eastAsia="zh-CN" w:bidi="ar"/>
              </w:rPr>
              <w:t>10</w:t>
            </w:r>
            <w:r>
              <w:rPr>
                <w:rStyle w:val="44"/>
                <w:rFonts w:hint="eastAsia" w:ascii="宋体" w:hAnsi="宋体" w:eastAsia="宋体" w:cs="宋体"/>
                <w:color w:val="auto"/>
                <w:sz w:val="21"/>
                <w:szCs w:val="21"/>
                <w:lang w:bidi="ar"/>
              </w:rPr>
              <w:t>分。</w:t>
            </w:r>
          </w:p>
          <w:p w14:paraId="2753D9CC">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rPr>
            </w:pPr>
            <w:r>
              <w:rPr>
                <w:rStyle w:val="44"/>
                <w:rFonts w:hint="eastAsia" w:ascii="宋体" w:hAnsi="宋体" w:eastAsia="宋体" w:cs="宋体"/>
                <w:color w:val="auto"/>
                <w:sz w:val="21"/>
                <w:szCs w:val="21"/>
                <w:lang w:bidi="ar"/>
              </w:rPr>
              <w:t>注：检测报告委托单位或送检单位须为投标人；需提供带有CMA和CNAS标志的第三方检测报告；检测报告应在全国认证认可信息公共服务平台（http://cx.cnca.cn/）上可进行查询，并提供查询截图，且检测报告编号与网站查询截图报告编号需一致；每份检测报告检测结果均为合格或阴性或符合或未检出，检测内容任意一项不合格的不得分。</w:t>
            </w:r>
          </w:p>
        </w:tc>
      </w:tr>
      <w:tr w14:paraId="3D1E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90" w:type="dxa"/>
            <w:vAlign w:val="center"/>
          </w:tcPr>
          <w:p w14:paraId="5E5A8A9C">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1502" w:type="dxa"/>
            <w:vAlign w:val="center"/>
          </w:tcPr>
          <w:p w14:paraId="2885925B">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信息化方案</w:t>
            </w:r>
          </w:p>
        </w:tc>
        <w:tc>
          <w:tcPr>
            <w:tcW w:w="735" w:type="dxa"/>
            <w:vAlign w:val="center"/>
          </w:tcPr>
          <w:p w14:paraId="170A39F6">
            <w:pPr>
              <w:pStyle w:val="7"/>
              <w:keepNext w:val="0"/>
              <w:keepLines w:val="0"/>
              <w:pageBreakBefore w:val="0"/>
              <w:kinsoku/>
              <w:wordWrap/>
              <w:overflowPunct/>
              <w:topLinePunct w:val="0"/>
              <w:bidi w:val="0"/>
              <w:snapToGrid/>
              <w:spacing w:line="480" w:lineRule="exact"/>
              <w:ind w:firstLine="105" w:firstLineChars="50"/>
              <w:jc w:val="center"/>
              <w:rPr>
                <w:rFonts w:hint="eastAsia" w:ascii="宋体" w:hAnsi="宋体" w:eastAsia="宋体" w:cs="宋体"/>
                <w:sz w:val="21"/>
                <w:szCs w:val="21"/>
              </w:rPr>
            </w:pPr>
            <w:r>
              <w:rPr>
                <w:rFonts w:hint="eastAsia" w:ascii="宋体" w:hAnsi="宋体" w:eastAsia="宋体" w:cs="宋体"/>
                <w:sz w:val="21"/>
                <w:szCs w:val="21"/>
                <w:lang w:val="en-US" w:eastAsia="zh-CN"/>
              </w:rPr>
              <w:t>3</w:t>
            </w:r>
          </w:p>
        </w:tc>
        <w:tc>
          <w:tcPr>
            <w:tcW w:w="5903" w:type="dxa"/>
            <w:vAlign w:val="top"/>
          </w:tcPr>
          <w:p w14:paraId="75128481">
            <w:pPr>
              <w:pStyle w:val="30"/>
              <w:keepNext w:val="0"/>
              <w:keepLines w:val="0"/>
              <w:pageBreakBefore w:val="0"/>
              <w:kinsoku/>
              <w:wordWrap/>
              <w:overflowPunct/>
              <w:topLinePunct w:val="0"/>
              <w:bidi w:val="0"/>
              <w:snapToGrid/>
              <w:spacing w:line="480" w:lineRule="exact"/>
              <w:ind w:left="0"/>
              <w:rPr>
                <w:rFonts w:hint="eastAsia" w:ascii="宋体" w:hAnsi="宋体" w:eastAsia="宋体" w:cs="宋体"/>
                <w:sz w:val="21"/>
                <w:szCs w:val="21"/>
              </w:rPr>
            </w:pPr>
            <w:r>
              <w:rPr>
                <w:rFonts w:hint="eastAsia" w:ascii="宋体" w:hAnsi="宋体" w:eastAsia="宋体" w:cs="宋体"/>
                <w:sz w:val="21"/>
                <w:szCs w:val="21"/>
              </w:rPr>
              <w:t>投标人拥有为采购人打造智慧餐厅的能力，能为采购人提供智能化餐饮相关系统，包含但不限于人脸识别，预定餐，数据统计等功能。</w:t>
            </w:r>
          </w:p>
          <w:p w14:paraId="20A9E22C">
            <w:pPr>
              <w:pStyle w:val="30"/>
              <w:keepNext w:val="0"/>
              <w:keepLines w:val="0"/>
              <w:pageBreakBefore w:val="0"/>
              <w:numPr>
                <w:ilvl w:val="0"/>
                <w:numId w:val="0"/>
              </w:numPr>
              <w:kinsoku/>
              <w:wordWrap/>
              <w:overflowPunct/>
              <w:topLinePunct w:val="0"/>
              <w:bidi w:val="0"/>
              <w:snapToGrid/>
              <w:spacing w:line="480" w:lineRule="exact"/>
              <w:ind w:left="0" w:leftChars="0" w:firstLine="0" w:firstLineChars="0"/>
              <w:rPr>
                <w:rStyle w:val="44"/>
                <w:rFonts w:hint="eastAsia" w:ascii="宋体" w:hAnsi="宋体" w:eastAsia="宋体" w:cs="宋体"/>
                <w:color w:val="auto"/>
                <w:sz w:val="21"/>
                <w:szCs w:val="21"/>
                <w:lang w:bidi="ar"/>
              </w:rPr>
            </w:pPr>
            <w:r>
              <w:rPr>
                <w:rFonts w:hint="eastAsia" w:ascii="宋体" w:hAnsi="宋体" w:eastAsia="宋体" w:cs="宋体"/>
                <w:sz w:val="21"/>
                <w:szCs w:val="21"/>
                <w:lang w:val="en-US" w:eastAsia="zh-CN"/>
              </w:rPr>
              <w:t>注：已有相关系统的提供系统相关界面截图及系统建设合同复印件；无相关系统的须提供承诺函，承诺中标后建设智慧餐厅系统（</w:t>
            </w:r>
            <w:r>
              <w:rPr>
                <w:rFonts w:hint="eastAsia" w:ascii="宋体" w:hAnsi="宋体" w:eastAsia="宋体" w:cs="宋体"/>
                <w:sz w:val="21"/>
                <w:szCs w:val="21"/>
              </w:rPr>
              <w:t>包含但不限于人脸识别，预定餐，数据统计等功能</w:t>
            </w:r>
            <w:r>
              <w:rPr>
                <w:rFonts w:hint="eastAsia" w:ascii="宋体" w:hAnsi="宋体" w:eastAsia="宋体" w:cs="宋体"/>
                <w:sz w:val="21"/>
                <w:szCs w:val="21"/>
                <w:lang w:val="en-US" w:eastAsia="zh-CN"/>
              </w:rPr>
              <w:t>）投入到本项目中，有的得5分，不提供不得分。</w:t>
            </w:r>
          </w:p>
        </w:tc>
      </w:tr>
      <w:tr w14:paraId="0BB96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90" w:type="dxa"/>
            <w:vAlign w:val="center"/>
          </w:tcPr>
          <w:p w14:paraId="186A9F65">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1502" w:type="dxa"/>
            <w:vAlign w:val="center"/>
          </w:tcPr>
          <w:p w14:paraId="6ECC9960">
            <w:pPr>
              <w:keepNext w:val="0"/>
              <w:keepLines w:val="0"/>
              <w:pageBreakBefore w:val="0"/>
              <w:kinsoku/>
              <w:wordWrap/>
              <w:overflowPunct/>
              <w:topLinePunct w:val="0"/>
              <w:bidi w:val="0"/>
              <w:snapToGrid/>
              <w:spacing w:line="480" w:lineRule="exact"/>
              <w:jc w:val="center"/>
              <w:rPr>
                <w:rFonts w:hint="eastAsia" w:ascii="宋体" w:hAnsi="宋体" w:eastAsia="宋体" w:cs="宋体"/>
                <w:sz w:val="21"/>
                <w:szCs w:val="21"/>
              </w:rPr>
            </w:pPr>
            <w:r>
              <w:rPr>
                <w:rFonts w:hint="eastAsia" w:ascii="宋体" w:hAnsi="宋体" w:eastAsia="宋体" w:cs="宋体"/>
                <w:sz w:val="21"/>
                <w:szCs w:val="21"/>
              </w:rPr>
              <w:t>食品安全追溯能力</w:t>
            </w:r>
          </w:p>
        </w:tc>
        <w:tc>
          <w:tcPr>
            <w:tcW w:w="735" w:type="dxa"/>
            <w:vAlign w:val="center"/>
          </w:tcPr>
          <w:p w14:paraId="6005FF6B">
            <w:pPr>
              <w:pStyle w:val="7"/>
              <w:keepNext w:val="0"/>
              <w:keepLines w:val="0"/>
              <w:pageBreakBefore w:val="0"/>
              <w:kinsoku/>
              <w:wordWrap/>
              <w:overflowPunct/>
              <w:topLinePunct w:val="0"/>
              <w:bidi w:val="0"/>
              <w:snapToGrid/>
              <w:spacing w:line="480" w:lineRule="exact"/>
              <w:ind w:firstLine="105" w:firstLineChars="50"/>
              <w:jc w:val="center"/>
              <w:rPr>
                <w:rFonts w:hint="eastAsia" w:ascii="宋体" w:hAnsi="宋体" w:eastAsia="宋体" w:cs="宋体"/>
                <w:sz w:val="21"/>
                <w:szCs w:val="21"/>
              </w:rPr>
            </w:pPr>
            <w:r>
              <w:rPr>
                <w:rFonts w:hint="eastAsia" w:ascii="宋体" w:hAnsi="宋体" w:eastAsia="宋体" w:cs="宋体"/>
                <w:sz w:val="21"/>
                <w:szCs w:val="21"/>
                <w:lang w:val="en-US" w:eastAsia="zh-CN"/>
              </w:rPr>
              <w:t>3</w:t>
            </w:r>
          </w:p>
        </w:tc>
        <w:tc>
          <w:tcPr>
            <w:tcW w:w="5903" w:type="dxa"/>
            <w:vAlign w:val="top"/>
          </w:tcPr>
          <w:p w14:paraId="0F0F8041">
            <w:pPr>
              <w:keepNext w:val="0"/>
              <w:keepLines w:val="0"/>
              <w:pageBreakBefore w:val="0"/>
              <w:kinsoku/>
              <w:wordWrap/>
              <w:overflowPunct/>
              <w:topLinePunct w:val="0"/>
              <w:bidi w:val="0"/>
              <w:snapToGrid/>
              <w:spacing w:line="480" w:lineRule="exact"/>
              <w:jc w:val="left"/>
              <w:rPr>
                <w:rFonts w:hint="eastAsia" w:ascii="宋体" w:hAnsi="宋体" w:eastAsia="宋体" w:cs="宋体"/>
                <w:sz w:val="21"/>
                <w:szCs w:val="21"/>
                <w:lang w:eastAsia="zh-CN"/>
              </w:rPr>
            </w:pPr>
            <w:r>
              <w:rPr>
                <w:rFonts w:hint="eastAsia" w:ascii="宋体" w:hAnsi="宋体" w:eastAsia="宋体" w:cs="宋体"/>
                <w:sz w:val="21"/>
                <w:szCs w:val="21"/>
              </w:rPr>
              <w:t>投标人</w:t>
            </w:r>
            <w:r>
              <w:rPr>
                <w:rFonts w:hint="eastAsia" w:ascii="宋体" w:hAnsi="宋体" w:eastAsia="宋体" w:cs="宋体"/>
                <w:sz w:val="21"/>
                <w:szCs w:val="21"/>
                <w:lang w:val="en-US" w:eastAsia="zh-CN"/>
              </w:rPr>
              <w:t>具</w:t>
            </w:r>
            <w:r>
              <w:rPr>
                <w:rFonts w:hint="eastAsia" w:ascii="宋体" w:hAnsi="宋体" w:eastAsia="宋体" w:cs="宋体"/>
                <w:sz w:val="21"/>
                <w:szCs w:val="21"/>
              </w:rPr>
              <w:t>有食品质量安全追溯系统，提供系统截图证明，得4分</w:t>
            </w:r>
            <w:r>
              <w:rPr>
                <w:rFonts w:hint="eastAsia" w:ascii="宋体" w:hAnsi="宋体" w:eastAsia="宋体" w:cs="宋体"/>
                <w:sz w:val="21"/>
                <w:szCs w:val="21"/>
                <w:lang w:eastAsia="zh-CN"/>
              </w:rPr>
              <w:t>。</w:t>
            </w:r>
          </w:p>
          <w:p w14:paraId="79BDBCAD">
            <w:pPr>
              <w:keepNext w:val="0"/>
              <w:keepLines w:val="0"/>
              <w:pageBreakBefore w:val="0"/>
              <w:kinsoku/>
              <w:wordWrap/>
              <w:overflowPunct/>
              <w:topLinePunct w:val="0"/>
              <w:bidi w:val="0"/>
              <w:snapToGrid/>
              <w:spacing w:line="480" w:lineRule="exact"/>
              <w:jc w:val="left"/>
              <w:rPr>
                <w:rStyle w:val="44"/>
                <w:rFonts w:hint="eastAsia" w:ascii="宋体" w:hAnsi="宋体" w:eastAsia="宋体" w:cs="宋体"/>
                <w:color w:val="auto"/>
                <w:sz w:val="21"/>
                <w:szCs w:val="21"/>
                <w:lang w:bidi="ar"/>
              </w:rPr>
            </w:pPr>
            <w:r>
              <w:rPr>
                <w:rFonts w:hint="eastAsia" w:ascii="宋体" w:hAnsi="宋体" w:eastAsia="宋体" w:cs="宋体"/>
                <w:sz w:val="21"/>
                <w:szCs w:val="21"/>
                <w:lang w:val="en-US" w:eastAsia="zh-CN"/>
              </w:rPr>
              <w:t>注：已有相关系统的提供系统相关界面截图及</w:t>
            </w:r>
            <w:r>
              <w:rPr>
                <w:rFonts w:hint="eastAsia" w:ascii="宋体" w:hAnsi="宋体" w:eastAsia="宋体" w:cs="宋体"/>
                <w:sz w:val="21"/>
                <w:szCs w:val="21"/>
                <w:highlight w:val="none"/>
                <w:lang w:val="en-US" w:eastAsia="zh-CN"/>
              </w:rPr>
              <w:t>软件著作权或</w:t>
            </w:r>
            <w:r>
              <w:rPr>
                <w:rFonts w:hint="eastAsia" w:ascii="宋体" w:hAnsi="宋体" w:eastAsia="宋体" w:cs="宋体"/>
                <w:sz w:val="21"/>
                <w:szCs w:val="21"/>
                <w:lang w:val="en-US" w:eastAsia="zh-CN"/>
              </w:rPr>
              <w:t>系统建设合同复印件；无相关系统的须</w:t>
            </w:r>
            <w:bookmarkStart w:id="20" w:name="_GoBack"/>
            <w:bookmarkEnd w:id="20"/>
            <w:r>
              <w:rPr>
                <w:rFonts w:hint="eastAsia" w:ascii="宋体" w:hAnsi="宋体" w:eastAsia="宋体" w:cs="宋体"/>
                <w:sz w:val="21"/>
                <w:szCs w:val="21"/>
                <w:lang w:val="en-US" w:eastAsia="zh-CN"/>
              </w:rPr>
              <w:t>提供承诺函，承诺中标后建设</w:t>
            </w:r>
            <w:r>
              <w:rPr>
                <w:rFonts w:hint="eastAsia" w:ascii="宋体" w:hAnsi="宋体" w:eastAsia="宋体" w:cs="宋体"/>
                <w:sz w:val="21"/>
                <w:szCs w:val="21"/>
              </w:rPr>
              <w:t>食品质量安全追溯系统</w:t>
            </w:r>
            <w:r>
              <w:rPr>
                <w:rFonts w:hint="eastAsia" w:ascii="宋体" w:hAnsi="宋体" w:eastAsia="宋体" w:cs="宋体"/>
                <w:sz w:val="21"/>
                <w:szCs w:val="21"/>
                <w:lang w:val="en-US" w:eastAsia="zh-CN"/>
              </w:rPr>
              <w:t>投入到本项目中，有的得5分，不提供不得分。</w:t>
            </w:r>
          </w:p>
        </w:tc>
      </w:tr>
      <w:tr w14:paraId="6B313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90" w:type="dxa"/>
            <w:vAlign w:val="center"/>
          </w:tcPr>
          <w:p w14:paraId="4113D595">
            <w:pPr>
              <w:keepNext w:val="0"/>
              <w:keepLines w:val="0"/>
              <w:pageBreakBefore w:val="0"/>
              <w:kinsoku/>
              <w:wordWrap/>
              <w:overflowPunct/>
              <w:topLinePunct w:val="0"/>
              <w:bidi w:val="0"/>
              <w:snapToGrid/>
              <w:spacing w:line="480" w:lineRule="exact"/>
              <w:jc w:val="center"/>
              <w:rPr>
                <w:rFonts w:hint="eastAsia" w:ascii="宋体" w:hAnsi="宋体" w:eastAsia="宋体" w:cs="宋体"/>
                <w:b/>
                <w:bCs/>
                <w:sz w:val="21"/>
                <w:szCs w:val="21"/>
              </w:rPr>
            </w:pPr>
          </w:p>
        </w:tc>
        <w:tc>
          <w:tcPr>
            <w:tcW w:w="1502" w:type="dxa"/>
            <w:vAlign w:val="center"/>
          </w:tcPr>
          <w:p w14:paraId="23D3B99A">
            <w:pPr>
              <w:keepNext w:val="0"/>
              <w:keepLines w:val="0"/>
              <w:pageBreakBefore w:val="0"/>
              <w:tabs>
                <w:tab w:val="left" w:pos="840"/>
              </w:tabs>
              <w:kinsoku/>
              <w:wordWrap/>
              <w:overflowPunct/>
              <w:topLinePunct w:val="0"/>
              <w:bidi w:val="0"/>
              <w:snapToGrid/>
              <w:spacing w:line="480" w:lineRule="exact"/>
              <w:jc w:val="left"/>
              <w:rPr>
                <w:rFonts w:hint="eastAsia" w:ascii="宋体" w:hAnsi="宋体" w:eastAsia="宋体" w:cs="宋体"/>
                <w:b/>
                <w:sz w:val="21"/>
                <w:szCs w:val="21"/>
              </w:rPr>
            </w:pPr>
            <w:r>
              <w:rPr>
                <w:rFonts w:hint="eastAsia" w:ascii="宋体" w:hAnsi="宋体" w:eastAsia="宋体" w:cs="宋体"/>
                <w:b/>
                <w:sz w:val="21"/>
                <w:szCs w:val="21"/>
              </w:rPr>
              <w:t>合计</w:t>
            </w:r>
          </w:p>
        </w:tc>
        <w:tc>
          <w:tcPr>
            <w:tcW w:w="735" w:type="dxa"/>
            <w:vAlign w:val="center"/>
          </w:tcPr>
          <w:p w14:paraId="7780B3A4">
            <w:pPr>
              <w:keepNext w:val="0"/>
              <w:keepLines w:val="0"/>
              <w:pageBreakBefore w:val="0"/>
              <w:tabs>
                <w:tab w:val="left" w:pos="840"/>
              </w:tabs>
              <w:kinsoku/>
              <w:wordWrap/>
              <w:overflowPunct/>
              <w:topLinePunct w:val="0"/>
              <w:bidi w:val="0"/>
              <w:snapToGrid/>
              <w:spacing w:line="480" w:lineRule="exact"/>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55</w:t>
            </w:r>
          </w:p>
        </w:tc>
        <w:tc>
          <w:tcPr>
            <w:tcW w:w="5903" w:type="dxa"/>
            <w:vAlign w:val="center"/>
          </w:tcPr>
          <w:p w14:paraId="06BB2231">
            <w:pPr>
              <w:keepNext w:val="0"/>
              <w:keepLines w:val="0"/>
              <w:pageBreakBefore w:val="0"/>
              <w:kinsoku/>
              <w:wordWrap/>
              <w:overflowPunct/>
              <w:topLinePunct w:val="0"/>
              <w:bidi w:val="0"/>
              <w:snapToGrid/>
              <w:spacing w:line="480" w:lineRule="exact"/>
              <w:rPr>
                <w:rFonts w:hint="eastAsia" w:ascii="宋体" w:hAnsi="宋体" w:eastAsia="宋体" w:cs="宋体"/>
                <w:b/>
                <w:sz w:val="21"/>
                <w:szCs w:val="21"/>
              </w:rPr>
            </w:pPr>
          </w:p>
        </w:tc>
      </w:tr>
    </w:tbl>
    <w:p w14:paraId="6C08833E">
      <w:pPr>
        <w:widowControl/>
        <w:numPr>
          <w:ilvl w:val="0"/>
          <w:numId w:val="0"/>
        </w:numPr>
        <w:spacing w:line="240" w:lineRule="auto"/>
        <w:ind w:leftChars="0"/>
        <w:jc w:val="left"/>
        <w:rPr>
          <w:rFonts w:hint="eastAsia" w:ascii="宋体" w:hAnsi="宋体" w:eastAsia="宋体" w:cs="宋体"/>
          <w:b/>
          <w:kern w:val="0"/>
          <w:sz w:val="28"/>
          <w:szCs w:val="28"/>
        </w:rPr>
      </w:pPr>
      <w:r>
        <w:rPr>
          <w:rFonts w:hint="eastAsia" w:ascii="宋体" w:hAnsi="宋体" w:eastAsia="宋体" w:cs="宋体"/>
          <w:b/>
          <w:kern w:val="0"/>
          <w:sz w:val="28"/>
          <w:szCs w:val="28"/>
        </w:rPr>
        <w:t>第三阶段：投标文件的澄清</w:t>
      </w:r>
    </w:p>
    <w:p w14:paraId="6EA7F73F">
      <w:pPr>
        <w:keepNext w:val="0"/>
        <w:keepLines w:val="0"/>
        <w:pageBreakBefore w:val="0"/>
        <w:kinsoku/>
        <w:wordWrap/>
        <w:overflowPunct/>
        <w:topLinePunct w:val="0"/>
        <w:bidi w:val="0"/>
        <w:snapToGrid/>
        <w:spacing w:line="48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为有助于对投标文件的审核、评价和比较，评审专家组可分别要求供应商对其投标文件进行澄清，有关澄清的要求和答复先以口头形式进行，最终要以书面形式确认，但不得寻求、提供或允许对投标价格或实质性内容做任何更改。</w:t>
      </w:r>
    </w:p>
    <w:p w14:paraId="7CF93B00">
      <w:pPr>
        <w:keepNext w:val="0"/>
        <w:keepLines w:val="0"/>
        <w:pageBreakBefore w:val="0"/>
        <w:kinsoku/>
        <w:wordWrap/>
        <w:overflowPunct/>
        <w:topLinePunct w:val="0"/>
        <w:bidi w:val="0"/>
        <w:snapToGrid/>
        <w:spacing w:line="48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2.评审专家组和采购人在评标过程中认为有必要将对供应商进行实地核查，并在必要时核对投标文件的原件。</w:t>
      </w:r>
    </w:p>
    <w:p w14:paraId="4CB808AA">
      <w:pPr>
        <w:keepNext w:val="0"/>
        <w:keepLines w:val="0"/>
        <w:pageBreakBefore w:val="0"/>
        <w:kinsoku/>
        <w:wordWrap/>
        <w:overflowPunct/>
        <w:topLinePunct w:val="0"/>
        <w:bidi w:val="0"/>
        <w:snapToGrid/>
        <w:spacing w:line="480" w:lineRule="exact"/>
        <w:jc w:val="left"/>
        <w:rPr>
          <w:rFonts w:hint="eastAsia" w:ascii="宋体" w:hAnsi="宋体" w:eastAsia="宋体" w:cs="宋体"/>
          <w:sz w:val="24"/>
          <w:szCs w:val="24"/>
          <w:lang w:val="en-US" w:eastAsia="zh-CN"/>
        </w:rPr>
      </w:pPr>
    </w:p>
    <w:p w14:paraId="390D8F0E">
      <w:pPr>
        <w:widowControl/>
        <w:spacing w:line="360" w:lineRule="auto"/>
        <w:ind w:right="191" w:rightChars="91"/>
        <w:rPr>
          <w:rFonts w:hint="eastAsia" w:ascii="宋体" w:hAnsi="宋体" w:eastAsia="宋体" w:cs="Times New Roman"/>
          <w:b/>
          <w:bCs/>
          <w:kern w:val="0"/>
          <w:szCs w:val="21"/>
        </w:rPr>
      </w:pPr>
    </w:p>
    <w:p w14:paraId="4F8D4276">
      <w:pPr>
        <w:widowControl/>
        <w:spacing w:line="360" w:lineRule="auto"/>
        <w:ind w:right="191" w:rightChars="91"/>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附表1：                  </w:t>
      </w:r>
      <w:r>
        <w:rPr>
          <w:rFonts w:hint="eastAsia" w:ascii="宋体" w:hAnsi="宋体" w:eastAsia="宋体" w:cs="Times New Roman"/>
          <w:b/>
          <w:bCs/>
          <w:sz w:val="28"/>
          <w:szCs w:val="28"/>
        </w:rPr>
        <w:t>中山市东升医院院内采购资格审查表</w:t>
      </w:r>
    </w:p>
    <w:tbl>
      <w:tblPr>
        <w:tblStyle w:val="20"/>
        <w:tblW w:w="4992"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397"/>
        <w:gridCol w:w="1580"/>
        <w:gridCol w:w="4123"/>
        <w:gridCol w:w="964"/>
        <w:gridCol w:w="960"/>
        <w:gridCol w:w="994"/>
        <w:gridCol w:w="934"/>
      </w:tblGrid>
      <w:tr w14:paraId="6B99AA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99" w:type="pct"/>
            <w:tcBorders>
              <w:top w:val="single" w:color="auto" w:sz="2" w:space="0"/>
              <w:left w:val="single" w:color="auto" w:sz="2" w:space="0"/>
              <w:bottom w:val="single" w:color="auto" w:sz="2" w:space="0"/>
              <w:right w:val="single" w:color="auto" w:sz="2" w:space="0"/>
            </w:tcBorders>
            <w:vAlign w:val="center"/>
          </w:tcPr>
          <w:p w14:paraId="70F98FEB">
            <w:pPr>
              <w:jc w:val="center"/>
              <w:rPr>
                <w:rFonts w:ascii="Calibri" w:hAnsi="Calibri" w:eastAsia="宋体" w:cs="Times New Roman"/>
                <w:b/>
                <w:bCs/>
                <w:sz w:val="18"/>
                <w:szCs w:val="18"/>
              </w:rPr>
            </w:pPr>
            <w:r>
              <w:rPr>
                <w:rFonts w:ascii="宋体" w:hAnsi="宋体" w:eastAsia="宋体" w:cs="Times New Roman"/>
                <w:b/>
                <w:bCs/>
                <w:sz w:val="18"/>
                <w:szCs w:val="18"/>
              </w:rPr>
              <w:t>序号</w:t>
            </w:r>
          </w:p>
        </w:tc>
        <w:tc>
          <w:tcPr>
            <w:tcW w:w="2865" w:type="pct"/>
            <w:gridSpan w:val="2"/>
            <w:tcBorders>
              <w:top w:val="single" w:color="auto" w:sz="2" w:space="0"/>
              <w:left w:val="single" w:color="auto" w:sz="2" w:space="0"/>
              <w:bottom w:val="single" w:color="auto" w:sz="2" w:space="0"/>
              <w:right w:val="single" w:color="auto" w:sz="2" w:space="0"/>
            </w:tcBorders>
            <w:vAlign w:val="center"/>
          </w:tcPr>
          <w:p w14:paraId="628DD1F5">
            <w:pPr>
              <w:jc w:val="center"/>
              <w:rPr>
                <w:rFonts w:ascii="Calibri" w:hAnsi="Calibri" w:eastAsia="宋体" w:cs="Times New Roman"/>
                <w:b/>
                <w:bCs/>
                <w:sz w:val="18"/>
                <w:szCs w:val="18"/>
              </w:rPr>
            </w:pPr>
            <w:r>
              <w:rPr>
                <w:rFonts w:ascii="宋体" w:hAnsi="宋体" w:eastAsia="宋体" w:cs="Times New Roman"/>
                <w:b/>
                <w:bCs/>
                <w:sz w:val="18"/>
                <w:szCs w:val="18"/>
              </w:rPr>
              <w:t>资格审查内容</w:t>
            </w:r>
          </w:p>
        </w:tc>
        <w:tc>
          <w:tcPr>
            <w:tcW w:w="484" w:type="pct"/>
            <w:tcBorders>
              <w:top w:val="single" w:color="auto" w:sz="2" w:space="0"/>
              <w:left w:val="single" w:color="auto" w:sz="2" w:space="0"/>
              <w:bottom w:val="single" w:color="auto" w:sz="2" w:space="0"/>
              <w:right w:val="single" w:color="auto" w:sz="2" w:space="0"/>
            </w:tcBorders>
            <w:vAlign w:val="center"/>
          </w:tcPr>
          <w:p w14:paraId="13835C55">
            <w:pPr>
              <w:jc w:val="center"/>
              <w:rPr>
                <w:rFonts w:ascii="Calibri" w:hAnsi="Calibri" w:eastAsia="宋体" w:cs="Times New Roman"/>
                <w:b/>
                <w:bCs/>
                <w:sz w:val="18"/>
                <w:szCs w:val="18"/>
              </w:rPr>
            </w:pPr>
          </w:p>
        </w:tc>
        <w:tc>
          <w:tcPr>
            <w:tcW w:w="482" w:type="pct"/>
            <w:tcBorders>
              <w:top w:val="single" w:color="auto" w:sz="2" w:space="0"/>
              <w:left w:val="single" w:color="auto" w:sz="2" w:space="0"/>
              <w:bottom w:val="single" w:color="auto" w:sz="2" w:space="0"/>
              <w:right w:val="single" w:color="auto" w:sz="2" w:space="0"/>
            </w:tcBorders>
            <w:vAlign w:val="center"/>
          </w:tcPr>
          <w:p w14:paraId="662294C3">
            <w:pPr>
              <w:jc w:val="center"/>
              <w:rPr>
                <w:rFonts w:ascii="Calibri" w:hAnsi="Calibri" w:eastAsia="宋体" w:cs="Times New Roman"/>
                <w:b/>
                <w:bCs/>
                <w:sz w:val="18"/>
                <w:szCs w:val="18"/>
              </w:rPr>
            </w:pPr>
          </w:p>
        </w:tc>
        <w:tc>
          <w:tcPr>
            <w:tcW w:w="499" w:type="pct"/>
            <w:tcBorders>
              <w:top w:val="single" w:color="auto" w:sz="2" w:space="0"/>
              <w:left w:val="single" w:color="auto" w:sz="2" w:space="0"/>
              <w:bottom w:val="single" w:color="auto" w:sz="2" w:space="0"/>
              <w:right w:val="single" w:color="auto" w:sz="2" w:space="0"/>
            </w:tcBorders>
            <w:vAlign w:val="center"/>
          </w:tcPr>
          <w:p w14:paraId="32DC247E">
            <w:pPr>
              <w:jc w:val="center"/>
              <w:rPr>
                <w:rFonts w:ascii="Calibri" w:hAnsi="Calibri" w:eastAsia="宋体" w:cs="Times New Roman"/>
                <w:b/>
                <w:bCs/>
                <w:sz w:val="18"/>
                <w:szCs w:val="18"/>
              </w:rPr>
            </w:pPr>
          </w:p>
        </w:tc>
        <w:tc>
          <w:tcPr>
            <w:tcW w:w="469" w:type="pct"/>
            <w:tcBorders>
              <w:top w:val="single" w:color="auto" w:sz="2" w:space="0"/>
              <w:left w:val="single" w:color="auto" w:sz="2" w:space="0"/>
              <w:bottom w:val="single" w:color="auto" w:sz="2" w:space="0"/>
              <w:right w:val="single" w:color="auto" w:sz="2" w:space="0"/>
            </w:tcBorders>
            <w:vAlign w:val="center"/>
          </w:tcPr>
          <w:p w14:paraId="1B9AF00D">
            <w:pPr>
              <w:jc w:val="center"/>
              <w:rPr>
                <w:rFonts w:ascii="Calibri" w:hAnsi="Calibri" w:eastAsia="宋体" w:cs="Times New Roman"/>
                <w:b/>
                <w:bCs/>
                <w:sz w:val="18"/>
                <w:szCs w:val="18"/>
              </w:rPr>
            </w:pPr>
          </w:p>
        </w:tc>
      </w:tr>
      <w:tr w14:paraId="763637F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99" w:type="pct"/>
            <w:tcBorders>
              <w:top w:val="single" w:color="auto" w:sz="2" w:space="0"/>
              <w:left w:val="single" w:color="auto" w:sz="2" w:space="0"/>
              <w:bottom w:val="single" w:color="auto" w:sz="2" w:space="0"/>
              <w:right w:val="single" w:color="auto" w:sz="2" w:space="0"/>
            </w:tcBorders>
            <w:vAlign w:val="center"/>
          </w:tcPr>
          <w:p w14:paraId="634E3DAB">
            <w:pPr>
              <w:jc w:val="center"/>
              <w:rPr>
                <w:rFonts w:ascii="Calibri" w:hAnsi="Calibri" w:eastAsia="宋体" w:cs="Times New Roman"/>
                <w:sz w:val="18"/>
                <w:szCs w:val="18"/>
              </w:rPr>
            </w:pPr>
            <w:r>
              <w:rPr>
                <w:rFonts w:ascii="Calibri" w:hAnsi="Calibri" w:eastAsia="宋体" w:cs="Times New Roman"/>
                <w:sz w:val="18"/>
                <w:szCs w:val="18"/>
              </w:rPr>
              <w:t>1</w:t>
            </w:r>
          </w:p>
        </w:tc>
        <w:tc>
          <w:tcPr>
            <w:tcW w:w="794" w:type="pct"/>
            <w:tcBorders>
              <w:top w:val="single" w:color="auto" w:sz="2" w:space="0"/>
              <w:left w:val="single" w:color="auto" w:sz="2" w:space="0"/>
              <w:bottom w:val="single" w:color="auto" w:sz="2" w:space="0"/>
              <w:right w:val="single" w:color="auto" w:sz="2" w:space="0"/>
            </w:tcBorders>
            <w:vAlign w:val="center"/>
          </w:tcPr>
          <w:p w14:paraId="0CB4F692">
            <w:pPr>
              <w:jc w:val="center"/>
              <w:rPr>
                <w:rFonts w:ascii="Calibri" w:hAnsi="Calibri" w:eastAsia="宋体" w:cs="Times New Roman"/>
                <w:b/>
                <w:bCs/>
                <w:sz w:val="18"/>
                <w:szCs w:val="18"/>
              </w:rPr>
            </w:pPr>
            <w:r>
              <w:rPr>
                <w:rFonts w:ascii="宋体" w:hAnsi="宋体" w:eastAsia="宋体" w:cs="Times New Roman"/>
                <w:b/>
                <w:bCs/>
                <w:sz w:val="18"/>
                <w:szCs w:val="18"/>
              </w:rPr>
              <w:t>具有独立承担民事责任的能力</w:t>
            </w:r>
          </w:p>
        </w:tc>
        <w:tc>
          <w:tcPr>
            <w:tcW w:w="2071" w:type="pct"/>
            <w:tcBorders>
              <w:top w:val="single" w:color="auto" w:sz="2" w:space="0"/>
              <w:left w:val="single" w:color="auto" w:sz="2" w:space="0"/>
              <w:bottom w:val="single" w:color="auto" w:sz="2" w:space="0"/>
              <w:right w:val="single" w:color="auto" w:sz="2" w:space="0"/>
            </w:tcBorders>
          </w:tcPr>
          <w:p w14:paraId="7F88D5BE">
            <w:pPr>
              <w:rPr>
                <w:rFonts w:ascii="Calibri" w:hAnsi="Calibri" w:eastAsia="宋体" w:cs="Times New Roman"/>
                <w:sz w:val="18"/>
                <w:szCs w:val="18"/>
              </w:rPr>
            </w:pPr>
            <w:r>
              <w:rPr>
                <w:rFonts w:ascii="宋体" w:hAnsi="宋体" w:eastAsia="宋体" w:cs="Times New Roman"/>
                <w:sz w:val="18"/>
                <w:szCs w:val="18"/>
              </w:rPr>
              <w:t>在中华人民共和国境内注册的法人或其他组织或自然人，投标（响应）时提交有效的营业执照</w:t>
            </w:r>
            <w:r>
              <w:rPr>
                <w:rFonts w:hint="eastAsia" w:ascii="宋体" w:hAnsi="宋体" w:eastAsia="宋体" w:cs="Times New Roman"/>
                <w:sz w:val="18"/>
                <w:szCs w:val="18"/>
              </w:rPr>
              <w:t>、</w:t>
            </w:r>
            <w:r>
              <w:rPr>
                <w:rFonts w:ascii="宋体" w:hAnsi="宋体" w:eastAsia="宋体" w:cs="Times New Roman"/>
                <w:sz w:val="18"/>
                <w:szCs w:val="18"/>
              </w:rPr>
              <w:t>法人登记证</w:t>
            </w:r>
            <w:r>
              <w:rPr>
                <w:rFonts w:hint="eastAsia" w:ascii="宋体" w:hAnsi="宋体" w:eastAsia="宋体" w:cs="Times New Roman"/>
                <w:sz w:val="18"/>
                <w:szCs w:val="18"/>
              </w:rPr>
              <w:t>、法人和授权人</w:t>
            </w:r>
            <w:r>
              <w:rPr>
                <w:rFonts w:ascii="宋体" w:hAnsi="宋体" w:eastAsia="宋体" w:cs="Times New Roman"/>
                <w:sz w:val="18"/>
                <w:szCs w:val="18"/>
              </w:rPr>
              <w:t>身份证等相关</w:t>
            </w:r>
            <w:r>
              <w:rPr>
                <w:rFonts w:hint="eastAsia" w:ascii="宋体" w:hAnsi="宋体" w:eastAsia="宋体" w:cs="Times New Roman"/>
                <w:sz w:val="18"/>
                <w:szCs w:val="18"/>
              </w:rPr>
              <w:t>资质</w:t>
            </w:r>
            <w:r>
              <w:rPr>
                <w:rFonts w:ascii="宋体" w:hAnsi="宋体" w:eastAsia="宋体" w:cs="Times New Roman"/>
                <w:sz w:val="18"/>
                <w:szCs w:val="18"/>
              </w:rPr>
              <w:t>证明）副本复印件。</w:t>
            </w:r>
          </w:p>
        </w:tc>
        <w:tc>
          <w:tcPr>
            <w:tcW w:w="484" w:type="pct"/>
            <w:tcBorders>
              <w:top w:val="single" w:color="auto" w:sz="2" w:space="0"/>
              <w:left w:val="single" w:color="auto" w:sz="2" w:space="0"/>
              <w:bottom w:val="single" w:color="auto" w:sz="2" w:space="0"/>
              <w:right w:val="single" w:color="auto" w:sz="2" w:space="0"/>
            </w:tcBorders>
          </w:tcPr>
          <w:p w14:paraId="0D43D9C8">
            <w:pPr>
              <w:rPr>
                <w:rFonts w:ascii="Calibri" w:hAnsi="Calibri" w:eastAsia="宋体" w:cs="Times New Roman"/>
                <w:szCs w:val="21"/>
              </w:rPr>
            </w:pPr>
          </w:p>
        </w:tc>
        <w:tc>
          <w:tcPr>
            <w:tcW w:w="482" w:type="pct"/>
            <w:tcBorders>
              <w:top w:val="single" w:color="auto" w:sz="2" w:space="0"/>
              <w:left w:val="single" w:color="auto" w:sz="2" w:space="0"/>
              <w:bottom w:val="single" w:color="auto" w:sz="2" w:space="0"/>
              <w:right w:val="single" w:color="auto" w:sz="2" w:space="0"/>
            </w:tcBorders>
          </w:tcPr>
          <w:p w14:paraId="1C6D45E7">
            <w:pPr>
              <w:rPr>
                <w:rFonts w:ascii="Calibri" w:hAnsi="Calibri" w:eastAsia="宋体" w:cs="Times New Roman"/>
                <w:szCs w:val="21"/>
              </w:rPr>
            </w:pPr>
          </w:p>
        </w:tc>
        <w:tc>
          <w:tcPr>
            <w:tcW w:w="499" w:type="pct"/>
            <w:tcBorders>
              <w:top w:val="single" w:color="auto" w:sz="2" w:space="0"/>
              <w:left w:val="single" w:color="auto" w:sz="2" w:space="0"/>
              <w:bottom w:val="single" w:color="auto" w:sz="2" w:space="0"/>
              <w:right w:val="single" w:color="auto" w:sz="2" w:space="0"/>
            </w:tcBorders>
          </w:tcPr>
          <w:p w14:paraId="3EBDAA6C">
            <w:pPr>
              <w:rPr>
                <w:rFonts w:ascii="Calibri" w:hAnsi="Calibri" w:eastAsia="宋体" w:cs="Times New Roman"/>
                <w:szCs w:val="21"/>
              </w:rPr>
            </w:pPr>
          </w:p>
        </w:tc>
        <w:tc>
          <w:tcPr>
            <w:tcW w:w="469" w:type="pct"/>
            <w:tcBorders>
              <w:top w:val="single" w:color="auto" w:sz="2" w:space="0"/>
              <w:left w:val="single" w:color="auto" w:sz="2" w:space="0"/>
              <w:bottom w:val="single" w:color="auto" w:sz="2" w:space="0"/>
              <w:right w:val="single" w:color="auto" w:sz="2" w:space="0"/>
            </w:tcBorders>
          </w:tcPr>
          <w:p w14:paraId="2C46E57B">
            <w:pPr>
              <w:rPr>
                <w:rFonts w:ascii="Calibri" w:hAnsi="Calibri" w:eastAsia="宋体" w:cs="Times New Roman"/>
                <w:szCs w:val="21"/>
              </w:rPr>
            </w:pPr>
          </w:p>
        </w:tc>
      </w:tr>
      <w:tr w14:paraId="51E5866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99" w:type="pct"/>
            <w:tcBorders>
              <w:top w:val="single" w:color="auto" w:sz="2" w:space="0"/>
              <w:left w:val="single" w:color="auto" w:sz="2" w:space="0"/>
              <w:bottom w:val="single" w:color="auto" w:sz="2" w:space="0"/>
              <w:right w:val="single" w:color="auto" w:sz="2" w:space="0"/>
            </w:tcBorders>
            <w:vAlign w:val="center"/>
          </w:tcPr>
          <w:p w14:paraId="4263DEC2">
            <w:pPr>
              <w:jc w:val="center"/>
              <w:rPr>
                <w:rFonts w:ascii="Calibri" w:hAnsi="Calibri" w:eastAsia="宋体" w:cs="Times New Roman"/>
                <w:sz w:val="18"/>
                <w:szCs w:val="18"/>
              </w:rPr>
            </w:pPr>
            <w:r>
              <w:rPr>
                <w:rFonts w:ascii="Calibri" w:hAnsi="Calibri" w:eastAsia="宋体" w:cs="Times New Roman"/>
                <w:sz w:val="18"/>
                <w:szCs w:val="18"/>
              </w:rPr>
              <w:t>2</w:t>
            </w:r>
          </w:p>
        </w:tc>
        <w:tc>
          <w:tcPr>
            <w:tcW w:w="794" w:type="pct"/>
            <w:tcBorders>
              <w:top w:val="single" w:color="auto" w:sz="2" w:space="0"/>
              <w:left w:val="single" w:color="auto" w:sz="2" w:space="0"/>
              <w:bottom w:val="single" w:color="auto" w:sz="2" w:space="0"/>
              <w:right w:val="single" w:color="auto" w:sz="2" w:space="0"/>
            </w:tcBorders>
            <w:vAlign w:val="center"/>
          </w:tcPr>
          <w:p w14:paraId="56D9C74C">
            <w:pPr>
              <w:jc w:val="center"/>
              <w:rPr>
                <w:rFonts w:ascii="Calibri" w:hAnsi="Calibri" w:eastAsia="宋体" w:cs="Times New Roman"/>
                <w:b/>
                <w:bCs/>
                <w:sz w:val="18"/>
                <w:szCs w:val="18"/>
              </w:rPr>
            </w:pPr>
            <w:r>
              <w:rPr>
                <w:rFonts w:ascii="宋体" w:hAnsi="宋体" w:eastAsia="宋体" w:cs="Times New Roman"/>
                <w:b/>
                <w:bCs/>
                <w:sz w:val="18"/>
                <w:szCs w:val="18"/>
              </w:rPr>
              <w:t>有依法缴纳税收和社会保障资金的良好记录</w:t>
            </w:r>
          </w:p>
        </w:tc>
        <w:tc>
          <w:tcPr>
            <w:tcW w:w="2071" w:type="pct"/>
            <w:tcBorders>
              <w:top w:val="single" w:color="auto" w:sz="2" w:space="0"/>
              <w:left w:val="single" w:color="auto" w:sz="2" w:space="0"/>
              <w:bottom w:val="single" w:color="auto" w:sz="2" w:space="0"/>
              <w:right w:val="single" w:color="auto" w:sz="2" w:space="0"/>
            </w:tcBorders>
          </w:tcPr>
          <w:p w14:paraId="77070B52">
            <w:pPr>
              <w:rPr>
                <w:rFonts w:ascii="Calibri" w:hAnsi="Calibri" w:eastAsia="宋体" w:cs="Times New Roman"/>
                <w:sz w:val="18"/>
                <w:szCs w:val="18"/>
              </w:rPr>
            </w:pPr>
            <w:r>
              <w:rPr>
                <w:rFonts w:ascii="宋体" w:hAnsi="宋体" w:eastAsia="宋体" w:cs="Times New Roman"/>
                <w:sz w:val="18"/>
                <w:szCs w:val="18"/>
              </w:rPr>
              <w:t>提供投标截止日前</w:t>
            </w:r>
            <w:r>
              <w:rPr>
                <w:rFonts w:hint="eastAsia" w:ascii="Calibri" w:hAnsi="Calibri" w:eastAsia="宋体" w:cs="Calibri"/>
                <w:sz w:val="18"/>
                <w:szCs w:val="18"/>
              </w:rPr>
              <w:t>1</w:t>
            </w:r>
            <w:r>
              <w:rPr>
                <w:rFonts w:hint="eastAsia" w:ascii="宋体" w:hAnsi="宋体" w:eastAsia="宋体" w:cs="Times New Roman"/>
                <w:sz w:val="18"/>
                <w:szCs w:val="18"/>
              </w:rPr>
              <w:t>年</w:t>
            </w:r>
            <w:r>
              <w:rPr>
                <w:rFonts w:ascii="宋体" w:hAnsi="宋体" w:eastAsia="宋体" w:cs="Times New Roman"/>
                <w:sz w:val="18"/>
                <w:szCs w:val="18"/>
              </w:rPr>
              <w:t>内任意</w:t>
            </w:r>
            <w:r>
              <w:rPr>
                <w:rFonts w:ascii="Calibri" w:hAnsi="Calibri" w:eastAsia="宋体" w:cs="Times New Roman"/>
                <w:sz w:val="18"/>
                <w:szCs w:val="18"/>
              </w:rPr>
              <w:t>1</w:t>
            </w:r>
            <w:r>
              <w:rPr>
                <w:rFonts w:ascii="宋体" w:hAnsi="宋体" w:eastAsia="宋体" w:cs="Times New Roman"/>
                <w:sz w:val="18"/>
                <w:szCs w:val="18"/>
              </w:rPr>
              <w:t>个月依法缴纳税收和社会保障资金的相关材料。如依法免税或不需要缴纳社会保障资金的，提供相应证明材料。</w:t>
            </w:r>
          </w:p>
        </w:tc>
        <w:tc>
          <w:tcPr>
            <w:tcW w:w="484" w:type="pct"/>
            <w:tcBorders>
              <w:top w:val="single" w:color="auto" w:sz="2" w:space="0"/>
              <w:left w:val="single" w:color="auto" w:sz="2" w:space="0"/>
              <w:bottom w:val="single" w:color="auto" w:sz="2" w:space="0"/>
              <w:right w:val="single" w:color="auto" w:sz="2" w:space="0"/>
            </w:tcBorders>
          </w:tcPr>
          <w:p w14:paraId="34DE763B">
            <w:pPr>
              <w:rPr>
                <w:rFonts w:ascii="Calibri" w:hAnsi="Calibri" w:eastAsia="宋体" w:cs="Times New Roman"/>
                <w:szCs w:val="21"/>
              </w:rPr>
            </w:pPr>
          </w:p>
        </w:tc>
        <w:tc>
          <w:tcPr>
            <w:tcW w:w="482" w:type="pct"/>
            <w:tcBorders>
              <w:top w:val="single" w:color="auto" w:sz="2" w:space="0"/>
              <w:left w:val="single" w:color="auto" w:sz="2" w:space="0"/>
              <w:bottom w:val="single" w:color="auto" w:sz="2" w:space="0"/>
              <w:right w:val="single" w:color="auto" w:sz="2" w:space="0"/>
            </w:tcBorders>
          </w:tcPr>
          <w:p w14:paraId="73C1D211">
            <w:pPr>
              <w:rPr>
                <w:rFonts w:ascii="Calibri" w:hAnsi="Calibri" w:eastAsia="宋体" w:cs="Times New Roman"/>
                <w:szCs w:val="21"/>
              </w:rPr>
            </w:pPr>
          </w:p>
        </w:tc>
        <w:tc>
          <w:tcPr>
            <w:tcW w:w="499" w:type="pct"/>
            <w:tcBorders>
              <w:top w:val="single" w:color="auto" w:sz="2" w:space="0"/>
              <w:left w:val="single" w:color="auto" w:sz="2" w:space="0"/>
              <w:bottom w:val="single" w:color="auto" w:sz="2" w:space="0"/>
              <w:right w:val="single" w:color="auto" w:sz="2" w:space="0"/>
            </w:tcBorders>
          </w:tcPr>
          <w:p w14:paraId="5B60A3CD">
            <w:pPr>
              <w:rPr>
                <w:rFonts w:ascii="Calibri" w:hAnsi="Calibri" w:eastAsia="宋体" w:cs="Times New Roman"/>
                <w:szCs w:val="21"/>
              </w:rPr>
            </w:pPr>
          </w:p>
        </w:tc>
        <w:tc>
          <w:tcPr>
            <w:tcW w:w="469" w:type="pct"/>
            <w:tcBorders>
              <w:top w:val="single" w:color="auto" w:sz="2" w:space="0"/>
              <w:left w:val="single" w:color="auto" w:sz="2" w:space="0"/>
              <w:bottom w:val="single" w:color="auto" w:sz="2" w:space="0"/>
              <w:right w:val="single" w:color="auto" w:sz="2" w:space="0"/>
            </w:tcBorders>
          </w:tcPr>
          <w:p w14:paraId="6C78A884">
            <w:pPr>
              <w:rPr>
                <w:rFonts w:ascii="Calibri" w:hAnsi="Calibri" w:eastAsia="宋体" w:cs="Times New Roman"/>
                <w:szCs w:val="21"/>
              </w:rPr>
            </w:pPr>
          </w:p>
        </w:tc>
      </w:tr>
      <w:tr w14:paraId="5803D8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99" w:type="pct"/>
            <w:tcBorders>
              <w:top w:val="single" w:color="auto" w:sz="2" w:space="0"/>
              <w:left w:val="single" w:color="auto" w:sz="2" w:space="0"/>
              <w:bottom w:val="single" w:color="auto" w:sz="2" w:space="0"/>
              <w:right w:val="single" w:color="auto" w:sz="2" w:space="0"/>
            </w:tcBorders>
            <w:vAlign w:val="center"/>
          </w:tcPr>
          <w:p w14:paraId="35B9022D">
            <w:pPr>
              <w:jc w:val="center"/>
              <w:rPr>
                <w:rFonts w:ascii="Calibri" w:hAnsi="Calibri" w:eastAsia="宋体" w:cs="Times New Roman"/>
                <w:sz w:val="18"/>
                <w:szCs w:val="18"/>
              </w:rPr>
            </w:pPr>
            <w:r>
              <w:rPr>
                <w:rFonts w:ascii="Calibri" w:hAnsi="Calibri" w:eastAsia="宋体" w:cs="Times New Roman"/>
                <w:sz w:val="18"/>
                <w:szCs w:val="18"/>
              </w:rPr>
              <w:t>3</w:t>
            </w:r>
          </w:p>
        </w:tc>
        <w:tc>
          <w:tcPr>
            <w:tcW w:w="794" w:type="pct"/>
            <w:tcBorders>
              <w:top w:val="single" w:color="auto" w:sz="2" w:space="0"/>
              <w:left w:val="single" w:color="auto" w:sz="2" w:space="0"/>
              <w:bottom w:val="single" w:color="auto" w:sz="2" w:space="0"/>
              <w:right w:val="single" w:color="auto" w:sz="2" w:space="0"/>
            </w:tcBorders>
            <w:vAlign w:val="center"/>
          </w:tcPr>
          <w:p w14:paraId="388C47B3">
            <w:pPr>
              <w:jc w:val="center"/>
              <w:rPr>
                <w:rFonts w:ascii="Calibri" w:hAnsi="Calibri" w:eastAsia="宋体" w:cs="Times New Roman"/>
                <w:b/>
                <w:bCs/>
                <w:sz w:val="18"/>
                <w:szCs w:val="18"/>
              </w:rPr>
            </w:pPr>
            <w:r>
              <w:rPr>
                <w:rFonts w:ascii="宋体" w:hAnsi="宋体" w:eastAsia="宋体" w:cs="Times New Roman"/>
                <w:b/>
                <w:bCs/>
                <w:sz w:val="18"/>
                <w:szCs w:val="18"/>
              </w:rPr>
              <w:t>具有良好的商业信誉和健全的财务会计制度</w:t>
            </w:r>
          </w:p>
        </w:tc>
        <w:tc>
          <w:tcPr>
            <w:tcW w:w="2071" w:type="pct"/>
            <w:tcBorders>
              <w:top w:val="single" w:color="auto" w:sz="2" w:space="0"/>
              <w:left w:val="single" w:color="auto" w:sz="2" w:space="0"/>
              <w:bottom w:val="single" w:color="auto" w:sz="2" w:space="0"/>
              <w:right w:val="single" w:color="auto" w:sz="2" w:space="0"/>
            </w:tcBorders>
          </w:tcPr>
          <w:p w14:paraId="6F50F608">
            <w:pPr>
              <w:rPr>
                <w:rFonts w:ascii="Calibri" w:hAnsi="Calibri" w:eastAsia="宋体" w:cs="Times New Roman"/>
                <w:sz w:val="18"/>
                <w:szCs w:val="18"/>
              </w:rPr>
            </w:pPr>
            <w:r>
              <w:rPr>
                <w:rFonts w:ascii="宋体" w:hAnsi="宋体" w:eastAsia="宋体" w:cs="Times New Roman"/>
                <w:sz w:val="18"/>
                <w:szCs w:val="18"/>
              </w:rPr>
              <w:t>提供以下证明材料之一：（</w:t>
            </w:r>
            <w:r>
              <w:rPr>
                <w:rFonts w:ascii="Calibri" w:hAnsi="Calibri" w:eastAsia="宋体" w:cs="Times New Roman"/>
                <w:sz w:val="18"/>
                <w:szCs w:val="18"/>
              </w:rPr>
              <w:t>1</w:t>
            </w:r>
            <w:r>
              <w:rPr>
                <w:rFonts w:ascii="宋体" w:hAnsi="宋体" w:eastAsia="宋体" w:cs="Times New Roman"/>
                <w:sz w:val="18"/>
                <w:szCs w:val="18"/>
              </w:rPr>
              <w:t>）</w:t>
            </w:r>
            <w:r>
              <w:rPr>
                <w:rFonts w:hint="eastAsia" w:ascii="宋体" w:hAnsi="宋体" w:eastAsia="宋体" w:cs="Times New Roman"/>
                <w:sz w:val="18"/>
                <w:szCs w:val="18"/>
              </w:rPr>
              <w:t>上一年度</w:t>
            </w:r>
            <w:r>
              <w:rPr>
                <w:rFonts w:ascii="宋体" w:hAnsi="宋体" w:eastAsia="宋体" w:cs="Times New Roman"/>
                <w:sz w:val="18"/>
                <w:szCs w:val="18"/>
              </w:rPr>
              <w:t>财务状况报告；（</w:t>
            </w:r>
            <w:r>
              <w:rPr>
                <w:rFonts w:ascii="Calibri" w:hAnsi="Calibri" w:eastAsia="宋体" w:cs="Times New Roman"/>
                <w:sz w:val="18"/>
                <w:szCs w:val="18"/>
              </w:rPr>
              <w:t>2</w:t>
            </w:r>
            <w:r>
              <w:rPr>
                <w:rFonts w:ascii="宋体" w:hAnsi="宋体" w:eastAsia="宋体" w:cs="Times New Roman"/>
                <w:sz w:val="18"/>
                <w:szCs w:val="18"/>
              </w:rPr>
              <w:t>）投标截止日前</w:t>
            </w:r>
            <w:r>
              <w:rPr>
                <w:rFonts w:hint="eastAsia" w:ascii="Calibri" w:hAnsi="Calibri" w:eastAsia="宋体" w:cs="Calibri"/>
                <w:sz w:val="18"/>
                <w:szCs w:val="18"/>
              </w:rPr>
              <w:t>1</w:t>
            </w:r>
            <w:r>
              <w:rPr>
                <w:rFonts w:hint="eastAsia" w:ascii="宋体" w:hAnsi="宋体" w:eastAsia="宋体" w:cs="Times New Roman"/>
                <w:sz w:val="18"/>
                <w:szCs w:val="18"/>
              </w:rPr>
              <w:t>年</w:t>
            </w:r>
            <w:r>
              <w:rPr>
                <w:rFonts w:ascii="宋体" w:hAnsi="宋体" w:eastAsia="宋体" w:cs="Times New Roman"/>
                <w:sz w:val="18"/>
                <w:szCs w:val="18"/>
              </w:rPr>
              <w:t>内任意</w:t>
            </w:r>
            <w:r>
              <w:rPr>
                <w:rFonts w:ascii="Calibri" w:hAnsi="Calibri" w:eastAsia="宋体" w:cs="Times New Roman"/>
                <w:sz w:val="18"/>
                <w:szCs w:val="18"/>
              </w:rPr>
              <w:t>1</w:t>
            </w:r>
            <w:r>
              <w:rPr>
                <w:rFonts w:ascii="宋体" w:hAnsi="宋体" w:eastAsia="宋体" w:cs="Times New Roman"/>
                <w:sz w:val="18"/>
                <w:szCs w:val="18"/>
              </w:rPr>
              <w:t>个月的财务月度报表；（</w:t>
            </w:r>
            <w:r>
              <w:rPr>
                <w:rFonts w:ascii="Calibri" w:hAnsi="Calibri" w:eastAsia="宋体" w:cs="Calibri"/>
                <w:sz w:val="18"/>
                <w:szCs w:val="18"/>
              </w:rPr>
              <w:t>3</w:t>
            </w:r>
            <w:r>
              <w:rPr>
                <w:rFonts w:ascii="宋体" w:hAnsi="宋体" w:eastAsia="宋体" w:cs="Times New Roman"/>
                <w:sz w:val="18"/>
                <w:szCs w:val="18"/>
              </w:rPr>
              <w:t>）企业所在基本开户行出具的资信证明。</w:t>
            </w:r>
          </w:p>
        </w:tc>
        <w:tc>
          <w:tcPr>
            <w:tcW w:w="484" w:type="pct"/>
            <w:tcBorders>
              <w:top w:val="single" w:color="auto" w:sz="2" w:space="0"/>
              <w:left w:val="single" w:color="auto" w:sz="2" w:space="0"/>
              <w:bottom w:val="single" w:color="auto" w:sz="2" w:space="0"/>
              <w:right w:val="single" w:color="auto" w:sz="2" w:space="0"/>
            </w:tcBorders>
          </w:tcPr>
          <w:p w14:paraId="46BF5F87">
            <w:pPr>
              <w:rPr>
                <w:rFonts w:ascii="Calibri" w:hAnsi="Calibri" w:eastAsia="宋体" w:cs="Times New Roman"/>
                <w:szCs w:val="21"/>
              </w:rPr>
            </w:pPr>
          </w:p>
        </w:tc>
        <w:tc>
          <w:tcPr>
            <w:tcW w:w="482" w:type="pct"/>
            <w:tcBorders>
              <w:top w:val="single" w:color="auto" w:sz="2" w:space="0"/>
              <w:left w:val="single" w:color="auto" w:sz="2" w:space="0"/>
              <w:bottom w:val="single" w:color="auto" w:sz="2" w:space="0"/>
              <w:right w:val="single" w:color="auto" w:sz="2" w:space="0"/>
            </w:tcBorders>
          </w:tcPr>
          <w:p w14:paraId="10DD483E">
            <w:pPr>
              <w:rPr>
                <w:rFonts w:ascii="Calibri" w:hAnsi="Calibri" w:eastAsia="宋体" w:cs="Times New Roman"/>
                <w:szCs w:val="21"/>
              </w:rPr>
            </w:pPr>
          </w:p>
        </w:tc>
        <w:tc>
          <w:tcPr>
            <w:tcW w:w="499" w:type="pct"/>
            <w:tcBorders>
              <w:top w:val="single" w:color="auto" w:sz="2" w:space="0"/>
              <w:left w:val="single" w:color="auto" w:sz="2" w:space="0"/>
              <w:bottom w:val="single" w:color="auto" w:sz="2" w:space="0"/>
              <w:right w:val="single" w:color="auto" w:sz="2" w:space="0"/>
            </w:tcBorders>
          </w:tcPr>
          <w:p w14:paraId="5B0258BC">
            <w:pPr>
              <w:rPr>
                <w:rFonts w:ascii="Calibri" w:hAnsi="Calibri" w:eastAsia="宋体" w:cs="Times New Roman"/>
                <w:szCs w:val="21"/>
              </w:rPr>
            </w:pPr>
          </w:p>
        </w:tc>
        <w:tc>
          <w:tcPr>
            <w:tcW w:w="469" w:type="pct"/>
            <w:tcBorders>
              <w:top w:val="single" w:color="auto" w:sz="2" w:space="0"/>
              <w:left w:val="single" w:color="auto" w:sz="2" w:space="0"/>
              <w:bottom w:val="single" w:color="auto" w:sz="2" w:space="0"/>
              <w:right w:val="single" w:color="auto" w:sz="2" w:space="0"/>
            </w:tcBorders>
          </w:tcPr>
          <w:p w14:paraId="6FCB20CE">
            <w:pPr>
              <w:rPr>
                <w:rFonts w:ascii="Calibri" w:hAnsi="Calibri" w:eastAsia="宋体" w:cs="Times New Roman"/>
                <w:szCs w:val="21"/>
              </w:rPr>
            </w:pPr>
          </w:p>
        </w:tc>
      </w:tr>
      <w:tr w14:paraId="681CC1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99" w:type="pct"/>
            <w:tcBorders>
              <w:top w:val="single" w:color="auto" w:sz="2" w:space="0"/>
              <w:left w:val="single" w:color="auto" w:sz="2" w:space="0"/>
              <w:bottom w:val="single" w:color="auto" w:sz="2" w:space="0"/>
              <w:right w:val="single" w:color="auto" w:sz="2" w:space="0"/>
            </w:tcBorders>
            <w:vAlign w:val="center"/>
          </w:tcPr>
          <w:p w14:paraId="0AD93FC2">
            <w:pPr>
              <w:jc w:val="center"/>
              <w:rPr>
                <w:rFonts w:ascii="Calibri" w:hAnsi="Calibri" w:eastAsia="宋体" w:cs="Times New Roman"/>
                <w:sz w:val="18"/>
                <w:szCs w:val="18"/>
              </w:rPr>
            </w:pPr>
            <w:r>
              <w:rPr>
                <w:rFonts w:ascii="Calibri" w:hAnsi="Calibri" w:eastAsia="宋体" w:cs="Times New Roman"/>
                <w:sz w:val="18"/>
                <w:szCs w:val="18"/>
              </w:rPr>
              <w:t>4</w:t>
            </w:r>
          </w:p>
        </w:tc>
        <w:tc>
          <w:tcPr>
            <w:tcW w:w="794" w:type="pct"/>
            <w:tcBorders>
              <w:top w:val="single" w:color="auto" w:sz="2" w:space="0"/>
              <w:left w:val="single" w:color="auto" w:sz="2" w:space="0"/>
              <w:bottom w:val="single" w:color="auto" w:sz="2" w:space="0"/>
              <w:right w:val="single" w:color="auto" w:sz="2" w:space="0"/>
            </w:tcBorders>
            <w:vAlign w:val="center"/>
          </w:tcPr>
          <w:p w14:paraId="0D5A0937">
            <w:pPr>
              <w:jc w:val="center"/>
              <w:rPr>
                <w:rFonts w:ascii="Calibri" w:hAnsi="Calibri" w:eastAsia="宋体" w:cs="Times New Roman"/>
                <w:b/>
                <w:bCs/>
                <w:sz w:val="18"/>
                <w:szCs w:val="18"/>
              </w:rPr>
            </w:pPr>
            <w:r>
              <w:rPr>
                <w:rFonts w:ascii="宋体" w:hAnsi="宋体" w:eastAsia="宋体" w:cs="Times New Roman"/>
                <w:b/>
                <w:bCs/>
                <w:sz w:val="18"/>
                <w:szCs w:val="18"/>
              </w:rPr>
              <w:t>履行合同所必需的设备和专业技术能力</w:t>
            </w:r>
          </w:p>
        </w:tc>
        <w:tc>
          <w:tcPr>
            <w:tcW w:w="2071" w:type="pct"/>
            <w:tcBorders>
              <w:top w:val="single" w:color="auto" w:sz="2" w:space="0"/>
              <w:left w:val="single" w:color="auto" w:sz="2" w:space="0"/>
              <w:bottom w:val="single" w:color="auto" w:sz="2" w:space="0"/>
              <w:right w:val="single" w:color="auto" w:sz="2" w:space="0"/>
            </w:tcBorders>
          </w:tcPr>
          <w:p w14:paraId="42CF76AE">
            <w:pPr>
              <w:rPr>
                <w:rFonts w:ascii="Calibri" w:hAnsi="Calibri" w:eastAsia="宋体" w:cs="Times New Roman"/>
                <w:sz w:val="18"/>
                <w:szCs w:val="18"/>
              </w:rPr>
            </w:pPr>
            <w:r>
              <w:rPr>
                <w:rFonts w:hint="eastAsia" w:ascii="宋体" w:hAnsi="宋体" w:eastAsia="宋体" w:cs="Times New Roman"/>
                <w:sz w:val="18"/>
                <w:szCs w:val="18"/>
              </w:rPr>
              <w:t>提供声明函并加盖公章（格式自拟，声明内容包括但不限于：“我方具有履行本项目合同所必需的公司资质及专业技术能力。”）</w:t>
            </w:r>
          </w:p>
        </w:tc>
        <w:tc>
          <w:tcPr>
            <w:tcW w:w="484" w:type="pct"/>
            <w:tcBorders>
              <w:top w:val="single" w:color="auto" w:sz="2" w:space="0"/>
              <w:left w:val="single" w:color="auto" w:sz="2" w:space="0"/>
              <w:bottom w:val="single" w:color="auto" w:sz="2" w:space="0"/>
              <w:right w:val="single" w:color="auto" w:sz="2" w:space="0"/>
            </w:tcBorders>
          </w:tcPr>
          <w:p w14:paraId="4B263D4D">
            <w:pPr>
              <w:rPr>
                <w:rFonts w:ascii="Calibri" w:hAnsi="Calibri" w:eastAsia="宋体" w:cs="Times New Roman"/>
                <w:szCs w:val="21"/>
              </w:rPr>
            </w:pPr>
          </w:p>
        </w:tc>
        <w:tc>
          <w:tcPr>
            <w:tcW w:w="482" w:type="pct"/>
            <w:tcBorders>
              <w:top w:val="single" w:color="auto" w:sz="2" w:space="0"/>
              <w:left w:val="single" w:color="auto" w:sz="2" w:space="0"/>
              <w:bottom w:val="single" w:color="auto" w:sz="2" w:space="0"/>
              <w:right w:val="single" w:color="auto" w:sz="2" w:space="0"/>
            </w:tcBorders>
          </w:tcPr>
          <w:p w14:paraId="582821C4">
            <w:pPr>
              <w:rPr>
                <w:rFonts w:ascii="Calibri" w:hAnsi="Calibri" w:eastAsia="宋体" w:cs="Times New Roman"/>
                <w:szCs w:val="21"/>
              </w:rPr>
            </w:pPr>
          </w:p>
        </w:tc>
        <w:tc>
          <w:tcPr>
            <w:tcW w:w="499" w:type="pct"/>
            <w:tcBorders>
              <w:top w:val="single" w:color="auto" w:sz="2" w:space="0"/>
              <w:left w:val="single" w:color="auto" w:sz="2" w:space="0"/>
              <w:bottom w:val="single" w:color="auto" w:sz="2" w:space="0"/>
              <w:right w:val="single" w:color="auto" w:sz="2" w:space="0"/>
            </w:tcBorders>
          </w:tcPr>
          <w:p w14:paraId="60BCD340">
            <w:pPr>
              <w:rPr>
                <w:rFonts w:ascii="Calibri" w:hAnsi="Calibri" w:eastAsia="宋体" w:cs="Times New Roman"/>
                <w:szCs w:val="21"/>
              </w:rPr>
            </w:pPr>
          </w:p>
        </w:tc>
        <w:tc>
          <w:tcPr>
            <w:tcW w:w="469" w:type="pct"/>
            <w:tcBorders>
              <w:top w:val="single" w:color="auto" w:sz="2" w:space="0"/>
              <w:left w:val="single" w:color="auto" w:sz="2" w:space="0"/>
              <w:bottom w:val="single" w:color="auto" w:sz="2" w:space="0"/>
              <w:right w:val="single" w:color="auto" w:sz="2" w:space="0"/>
            </w:tcBorders>
          </w:tcPr>
          <w:p w14:paraId="7361B9D4">
            <w:pPr>
              <w:rPr>
                <w:rFonts w:ascii="Calibri" w:hAnsi="Calibri" w:eastAsia="宋体" w:cs="Times New Roman"/>
                <w:szCs w:val="21"/>
              </w:rPr>
            </w:pPr>
          </w:p>
        </w:tc>
      </w:tr>
      <w:tr w14:paraId="7526BE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99" w:type="pct"/>
            <w:tcBorders>
              <w:top w:val="single" w:color="auto" w:sz="2" w:space="0"/>
              <w:left w:val="single" w:color="auto" w:sz="2" w:space="0"/>
              <w:bottom w:val="single" w:color="auto" w:sz="2" w:space="0"/>
              <w:right w:val="single" w:color="auto" w:sz="2" w:space="0"/>
            </w:tcBorders>
            <w:vAlign w:val="center"/>
          </w:tcPr>
          <w:p w14:paraId="1DBF7D15">
            <w:pPr>
              <w:jc w:val="center"/>
              <w:rPr>
                <w:rFonts w:ascii="Calibri" w:hAnsi="Calibri" w:eastAsia="宋体" w:cs="Times New Roman"/>
                <w:sz w:val="18"/>
                <w:szCs w:val="18"/>
              </w:rPr>
            </w:pPr>
            <w:r>
              <w:rPr>
                <w:rFonts w:ascii="Calibri" w:hAnsi="Calibri" w:eastAsia="宋体" w:cs="Times New Roman"/>
                <w:sz w:val="18"/>
                <w:szCs w:val="18"/>
              </w:rPr>
              <w:t>5</w:t>
            </w:r>
          </w:p>
        </w:tc>
        <w:tc>
          <w:tcPr>
            <w:tcW w:w="794" w:type="pct"/>
            <w:tcBorders>
              <w:top w:val="single" w:color="auto" w:sz="2" w:space="0"/>
              <w:left w:val="single" w:color="auto" w:sz="2" w:space="0"/>
              <w:bottom w:val="single" w:color="auto" w:sz="2" w:space="0"/>
              <w:right w:val="single" w:color="auto" w:sz="2" w:space="0"/>
            </w:tcBorders>
            <w:vAlign w:val="center"/>
          </w:tcPr>
          <w:p w14:paraId="1A058D69">
            <w:pPr>
              <w:jc w:val="center"/>
              <w:rPr>
                <w:rFonts w:ascii="Calibri" w:hAnsi="Calibri" w:eastAsia="宋体" w:cs="Times New Roman"/>
                <w:b/>
                <w:bCs/>
                <w:sz w:val="18"/>
                <w:szCs w:val="18"/>
              </w:rPr>
            </w:pPr>
            <w:r>
              <w:rPr>
                <w:rFonts w:ascii="宋体" w:hAnsi="宋体" w:eastAsia="宋体" w:cs="Times New Roman"/>
                <w:b/>
                <w:bCs/>
                <w:sz w:val="18"/>
                <w:szCs w:val="18"/>
              </w:rPr>
              <w:t>参加采购活动前</w:t>
            </w:r>
            <w:r>
              <w:rPr>
                <w:rFonts w:ascii="Calibri" w:hAnsi="Calibri" w:eastAsia="宋体" w:cs="Times New Roman"/>
                <w:b/>
                <w:bCs/>
                <w:sz w:val="18"/>
                <w:szCs w:val="18"/>
              </w:rPr>
              <w:t>3</w:t>
            </w:r>
            <w:r>
              <w:rPr>
                <w:rFonts w:ascii="宋体" w:hAnsi="宋体" w:eastAsia="宋体" w:cs="Times New Roman"/>
                <w:b/>
                <w:bCs/>
                <w:sz w:val="18"/>
                <w:szCs w:val="18"/>
              </w:rPr>
              <w:t>年内，在经营活动中没有重大违法记录</w:t>
            </w:r>
          </w:p>
        </w:tc>
        <w:tc>
          <w:tcPr>
            <w:tcW w:w="2071" w:type="pct"/>
            <w:tcBorders>
              <w:top w:val="single" w:color="auto" w:sz="2" w:space="0"/>
              <w:left w:val="single" w:color="auto" w:sz="2" w:space="0"/>
              <w:bottom w:val="single" w:color="auto" w:sz="2" w:space="0"/>
              <w:right w:val="single" w:color="auto" w:sz="2" w:space="0"/>
            </w:tcBorders>
          </w:tcPr>
          <w:p w14:paraId="39C303B6">
            <w:pPr>
              <w:rPr>
                <w:rFonts w:ascii="Calibri" w:hAnsi="Calibri" w:eastAsia="宋体" w:cs="Times New Roman"/>
                <w:sz w:val="18"/>
                <w:szCs w:val="18"/>
              </w:rPr>
            </w:pPr>
            <w:r>
              <w:rPr>
                <w:rFonts w:hint="eastAsia" w:ascii="宋体" w:hAnsi="宋体" w:eastAsia="宋体" w:cs="Times New Roman"/>
                <w:sz w:val="18"/>
                <w:szCs w:val="18"/>
              </w:rPr>
              <w:t>提供声明函并加盖公章（格式自拟，声明内容包括但不限于：“我方在本次采购活动三年内未发生</w:t>
            </w:r>
            <w:r>
              <w:rPr>
                <w:rFonts w:ascii="宋体" w:hAnsi="宋体" w:eastAsia="宋体" w:cs="Times New Roman"/>
                <w:sz w:val="18"/>
                <w:szCs w:val="18"/>
              </w:rPr>
              <w:t>重大违法记录</w:t>
            </w:r>
            <w:r>
              <w:rPr>
                <w:rFonts w:hint="eastAsia" w:ascii="宋体" w:hAnsi="宋体" w:eastAsia="宋体" w:cs="Times New Roman"/>
                <w:sz w:val="18"/>
                <w:szCs w:val="18"/>
              </w:rPr>
              <w:t>。”）</w:t>
            </w:r>
            <w:r>
              <w:rPr>
                <w:rFonts w:ascii="Calibri" w:hAnsi="Calibri" w:eastAsia="宋体" w:cs="Times New Roman"/>
                <w:sz w:val="18"/>
                <w:szCs w:val="18"/>
              </w:rPr>
              <w:t xml:space="preserve"> </w:t>
            </w:r>
            <w:r>
              <w:rPr>
                <w:rFonts w:ascii="宋体" w:hAnsi="宋体" w:eastAsia="宋体" w:cs="Times New Roman"/>
                <w:sz w:val="18"/>
                <w:szCs w:val="18"/>
              </w:rPr>
              <w:t>重大违法记录，是指供应商因违法经营受到刑事处罚或者责令停产停业、吊销许可证或者执照、较大数额罚款等行政处罚。（根据财库〔</w:t>
            </w:r>
            <w:r>
              <w:rPr>
                <w:rFonts w:ascii="Calibri" w:hAnsi="Calibri" w:eastAsia="宋体" w:cs="Times New Roman"/>
                <w:sz w:val="18"/>
                <w:szCs w:val="18"/>
              </w:rPr>
              <w:t>2022</w:t>
            </w:r>
            <w:r>
              <w:rPr>
                <w:rFonts w:ascii="宋体" w:hAnsi="宋体" w:eastAsia="宋体" w:cs="Times New Roman"/>
                <w:sz w:val="18"/>
                <w:szCs w:val="18"/>
              </w:rPr>
              <w:t>〕</w:t>
            </w:r>
            <w:r>
              <w:rPr>
                <w:rFonts w:ascii="Calibri" w:hAnsi="Calibri" w:eastAsia="宋体" w:cs="Calibri"/>
                <w:sz w:val="18"/>
                <w:szCs w:val="18"/>
              </w:rPr>
              <w:t>3</w:t>
            </w:r>
            <w:r>
              <w:rPr>
                <w:rFonts w:ascii="宋体" w:hAnsi="宋体" w:eastAsia="宋体" w:cs="Times New Roman"/>
                <w:sz w:val="18"/>
                <w:szCs w:val="18"/>
              </w:rPr>
              <w:t>号文，</w:t>
            </w:r>
            <w:r>
              <w:rPr>
                <w:rFonts w:ascii="Calibri" w:hAnsi="Calibri" w:eastAsia="宋体" w:cs="Calibri"/>
                <w:sz w:val="18"/>
                <w:szCs w:val="18"/>
              </w:rPr>
              <w:t>“</w:t>
            </w:r>
            <w:r>
              <w:rPr>
                <w:rFonts w:ascii="宋体" w:hAnsi="宋体" w:eastAsia="宋体" w:cs="Times New Roman"/>
                <w:sz w:val="18"/>
                <w:szCs w:val="18"/>
              </w:rPr>
              <w:t>较大数额罚款</w:t>
            </w:r>
            <w:r>
              <w:rPr>
                <w:rFonts w:ascii="Calibri" w:hAnsi="Calibri" w:eastAsia="宋体" w:cs="Calibri"/>
                <w:sz w:val="18"/>
                <w:szCs w:val="18"/>
              </w:rPr>
              <w:t>”</w:t>
            </w:r>
            <w:r>
              <w:rPr>
                <w:rFonts w:ascii="宋体" w:hAnsi="宋体" w:eastAsia="宋体" w:cs="Times New Roman"/>
                <w:sz w:val="18"/>
                <w:szCs w:val="18"/>
              </w:rPr>
              <w:t>认定为</w:t>
            </w:r>
            <w:r>
              <w:rPr>
                <w:rFonts w:ascii="Calibri" w:hAnsi="Calibri" w:eastAsia="宋体" w:cs="Calibri"/>
                <w:sz w:val="18"/>
                <w:szCs w:val="18"/>
              </w:rPr>
              <w:t>200</w:t>
            </w:r>
            <w:r>
              <w:rPr>
                <w:rFonts w:ascii="宋体" w:hAnsi="宋体" w:eastAsia="宋体" w:cs="Times New Roman"/>
                <w:sz w:val="18"/>
                <w:szCs w:val="18"/>
              </w:rPr>
              <w:t>万元以上的罚款，法律、行政法规以及国务院有关部门明确规定相关领域</w:t>
            </w:r>
            <w:r>
              <w:rPr>
                <w:rFonts w:ascii="Calibri" w:hAnsi="Calibri" w:eastAsia="宋体" w:cs="Calibri"/>
                <w:sz w:val="18"/>
                <w:szCs w:val="18"/>
              </w:rPr>
              <w:t>“</w:t>
            </w:r>
            <w:r>
              <w:rPr>
                <w:rFonts w:ascii="宋体" w:hAnsi="宋体" w:eastAsia="宋体" w:cs="Times New Roman"/>
                <w:sz w:val="18"/>
                <w:szCs w:val="18"/>
              </w:rPr>
              <w:t>较大数额罚款</w:t>
            </w:r>
            <w:r>
              <w:rPr>
                <w:rFonts w:ascii="Calibri" w:hAnsi="Calibri" w:eastAsia="宋体" w:cs="Calibri"/>
                <w:sz w:val="18"/>
                <w:szCs w:val="18"/>
              </w:rPr>
              <w:t>”</w:t>
            </w:r>
            <w:r>
              <w:rPr>
                <w:rFonts w:ascii="宋体" w:hAnsi="宋体" w:eastAsia="宋体" w:cs="Times New Roman"/>
                <w:sz w:val="18"/>
                <w:szCs w:val="18"/>
              </w:rPr>
              <w:t>标准高于</w:t>
            </w:r>
            <w:r>
              <w:rPr>
                <w:rFonts w:ascii="Calibri" w:hAnsi="Calibri" w:eastAsia="宋体" w:cs="Calibri"/>
                <w:sz w:val="18"/>
                <w:szCs w:val="18"/>
              </w:rPr>
              <w:t>200</w:t>
            </w:r>
            <w:r>
              <w:rPr>
                <w:rFonts w:ascii="宋体" w:hAnsi="宋体" w:eastAsia="宋体" w:cs="Times New Roman"/>
                <w:sz w:val="18"/>
                <w:szCs w:val="18"/>
              </w:rPr>
              <w:t>万元的，从其规定）</w:t>
            </w:r>
          </w:p>
        </w:tc>
        <w:tc>
          <w:tcPr>
            <w:tcW w:w="484" w:type="pct"/>
            <w:tcBorders>
              <w:top w:val="single" w:color="auto" w:sz="2" w:space="0"/>
              <w:left w:val="single" w:color="auto" w:sz="2" w:space="0"/>
              <w:bottom w:val="single" w:color="auto" w:sz="2" w:space="0"/>
              <w:right w:val="single" w:color="auto" w:sz="2" w:space="0"/>
            </w:tcBorders>
          </w:tcPr>
          <w:p w14:paraId="4F6117A7">
            <w:pPr>
              <w:rPr>
                <w:rFonts w:ascii="Calibri" w:hAnsi="Calibri" w:eastAsia="宋体" w:cs="Times New Roman"/>
                <w:szCs w:val="21"/>
              </w:rPr>
            </w:pPr>
          </w:p>
        </w:tc>
        <w:tc>
          <w:tcPr>
            <w:tcW w:w="482" w:type="pct"/>
            <w:tcBorders>
              <w:top w:val="single" w:color="auto" w:sz="2" w:space="0"/>
              <w:left w:val="single" w:color="auto" w:sz="2" w:space="0"/>
              <w:bottom w:val="single" w:color="auto" w:sz="2" w:space="0"/>
              <w:right w:val="single" w:color="auto" w:sz="2" w:space="0"/>
            </w:tcBorders>
          </w:tcPr>
          <w:p w14:paraId="55B97231">
            <w:pPr>
              <w:rPr>
                <w:rFonts w:ascii="Calibri" w:hAnsi="Calibri" w:eastAsia="宋体" w:cs="Times New Roman"/>
                <w:szCs w:val="21"/>
              </w:rPr>
            </w:pPr>
          </w:p>
        </w:tc>
        <w:tc>
          <w:tcPr>
            <w:tcW w:w="499" w:type="pct"/>
            <w:tcBorders>
              <w:top w:val="single" w:color="auto" w:sz="2" w:space="0"/>
              <w:left w:val="single" w:color="auto" w:sz="2" w:space="0"/>
              <w:bottom w:val="single" w:color="auto" w:sz="2" w:space="0"/>
              <w:right w:val="single" w:color="auto" w:sz="2" w:space="0"/>
            </w:tcBorders>
          </w:tcPr>
          <w:p w14:paraId="293C83D7">
            <w:pPr>
              <w:rPr>
                <w:rFonts w:ascii="Calibri" w:hAnsi="Calibri" w:eastAsia="宋体" w:cs="Times New Roman"/>
                <w:szCs w:val="21"/>
              </w:rPr>
            </w:pPr>
          </w:p>
        </w:tc>
        <w:tc>
          <w:tcPr>
            <w:tcW w:w="469" w:type="pct"/>
            <w:tcBorders>
              <w:top w:val="single" w:color="auto" w:sz="2" w:space="0"/>
              <w:left w:val="single" w:color="auto" w:sz="2" w:space="0"/>
              <w:bottom w:val="single" w:color="auto" w:sz="2" w:space="0"/>
              <w:right w:val="single" w:color="auto" w:sz="2" w:space="0"/>
            </w:tcBorders>
          </w:tcPr>
          <w:p w14:paraId="7136E9A7">
            <w:pPr>
              <w:rPr>
                <w:rFonts w:ascii="Calibri" w:hAnsi="Calibri" w:eastAsia="宋体" w:cs="Times New Roman"/>
                <w:szCs w:val="21"/>
              </w:rPr>
            </w:pPr>
          </w:p>
        </w:tc>
      </w:tr>
      <w:tr w14:paraId="611C636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99" w:type="pct"/>
            <w:tcBorders>
              <w:top w:val="single" w:color="auto" w:sz="2" w:space="0"/>
              <w:left w:val="single" w:color="auto" w:sz="2" w:space="0"/>
              <w:bottom w:val="single" w:color="auto" w:sz="2" w:space="0"/>
              <w:right w:val="single" w:color="auto" w:sz="2" w:space="0"/>
            </w:tcBorders>
            <w:vAlign w:val="center"/>
          </w:tcPr>
          <w:p w14:paraId="7A0C87EB">
            <w:pPr>
              <w:jc w:val="center"/>
              <w:rPr>
                <w:rFonts w:ascii="Calibri" w:hAnsi="Calibri" w:eastAsia="宋体" w:cs="Times New Roman"/>
                <w:sz w:val="18"/>
                <w:szCs w:val="18"/>
              </w:rPr>
            </w:pPr>
            <w:r>
              <w:rPr>
                <w:rFonts w:ascii="Calibri" w:hAnsi="Calibri" w:eastAsia="宋体" w:cs="Times New Roman"/>
                <w:sz w:val="18"/>
                <w:szCs w:val="18"/>
              </w:rPr>
              <w:t>6</w:t>
            </w:r>
          </w:p>
        </w:tc>
        <w:tc>
          <w:tcPr>
            <w:tcW w:w="794" w:type="pct"/>
            <w:tcBorders>
              <w:top w:val="single" w:color="auto" w:sz="2" w:space="0"/>
              <w:left w:val="single" w:color="auto" w:sz="2" w:space="0"/>
              <w:bottom w:val="single" w:color="auto" w:sz="2" w:space="0"/>
              <w:right w:val="single" w:color="auto" w:sz="2" w:space="0"/>
            </w:tcBorders>
            <w:vAlign w:val="center"/>
          </w:tcPr>
          <w:p w14:paraId="275EA428">
            <w:pPr>
              <w:jc w:val="center"/>
              <w:rPr>
                <w:rFonts w:ascii="Calibri" w:hAnsi="Calibri" w:eastAsia="宋体" w:cs="Times New Roman"/>
                <w:b/>
                <w:bCs/>
                <w:sz w:val="18"/>
                <w:szCs w:val="18"/>
              </w:rPr>
            </w:pPr>
            <w:r>
              <w:rPr>
                <w:rFonts w:ascii="宋体" w:hAnsi="宋体" w:eastAsia="宋体" w:cs="Times New Roman"/>
                <w:b/>
                <w:bCs/>
                <w:sz w:val="18"/>
                <w:szCs w:val="18"/>
              </w:rPr>
              <w:t>信用记录</w:t>
            </w:r>
          </w:p>
        </w:tc>
        <w:tc>
          <w:tcPr>
            <w:tcW w:w="2071" w:type="pct"/>
            <w:tcBorders>
              <w:top w:val="single" w:color="auto" w:sz="2" w:space="0"/>
              <w:left w:val="single" w:color="auto" w:sz="2" w:space="0"/>
              <w:bottom w:val="single" w:color="auto" w:sz="2" w:space="0"/>
              <w:right w:val="single" w:color="auto" w:sz="2" w:space="0"/>
            </w:tcBorders>
          </w:tcPr>
          <w:p w14:paraId="202E03CC">
            <w:pPr>
              <w:rPr>
                <w:rFonts w:ascii="Calibri" w:hAnsi="Calibri" w:eastAsia="宋体" w:cs="Times New Roman"/>
                <w:sz w:val="18"/>
                <w:szCs w:val="18"/>
              </w:rPr>
            </w:pPr>
            <w:r>
              <w:rPr>
                <w:rFonts w:ascii="宋体" w:hAnsi="宋体" w:eastAsia="宋体" w:cs="Times New Roman"/>
                <w:sz w:val="18"/>
                <w:szCs w:val="18"/>
              </w:rPr>
              <w:t>供应商未被列入</w:t>
            </w:r>
            <w:r>
              <w:rPr>
                <w:rFonts w:ascii="Calibri" w:hAnsi="Calibri" w:eastAsia="宋体" w:cs="Calibri"/>
                <w:sz w:val="18"/>
                <w:szCs w:val="18"/>
              </w:rPr>
              <w:t>“</w:t>
            </w:r>
            <w:r>
              <w:rPr>
                <w:rFonts w:ascii="宋体" w:hAnsi="宋体" w:eastAsia="宋体" w:cs="Times New Roman"/>
                <w:sz w:val="18"/>
                <w:szCs w:val="18"/>
              </w:rPr>
              <w:t>信用中国</w:t>
            </w:r>
            <w:r>
              <w:rPr>
                <w:rFonts w:ascii="Calibri" w:hAnsi="Calibri" w:eastAsia="宋体" w:cs="Calibri"/>
                <w:sz w:val="18"/>
                <w:szCs w:val="18"/>
              </w:rPr>
              <w:t>”</w:t>
            </w:r>
            <w:r>
              <w:rPr>
                <w:rFonts w:ascii="宋体" w:hAnsi="宋体" w:eastAsia="宋体" w:cs="Times New Roman"/>
                <w:sz w:val="18"/>
                <w:szCs w:val="18"/>
              </w:rPr>
              <w:t>网站记录失信被执行人或重大税收违法案件当事人名单或政府采购严重违法失信行为</w:t>
            </w:r>
            <w:r>
              <w:rPr>
                <w:rFonts w:ascii="Calibri" w:hAnsi="Calibri" w:eastAsia="宋体" w:cs="Calibri"/>
                <w:sz w:val="18"/>
                <w:szCs w:val="18"/>
              </w:rPr>
              <w:t>”</w:t>
            </w:r>
            <w:r>
              <w:rPr>
                <w:rFonts w:ascii="宋体" w:hAnsi="宋体" w:eastAsia="宋体" w:cs="Times New Roman"/>
                <w:sz w:val="18"/>
                <w:szCs w:val="18"/>
              </w:rPr>
              <w:t>记录名单；不处于中国政府采购网政府采购</w:t>
            </w:r>
            <w:r>
              <w:rPr>
                <w:rFonts w:hint="eastAsia" w:ascii="宋体" w:hAnsi="宋体" w:eastAsia="宋体" w:cs="Times New Roman"/>
                <w:sz w:val="18"/>
                <w:szCs w:val="18"/>
              </w:rPr>
              <w:t>“</w:t>
            </w:r>
            <w:r>
              <w:rPr>
                <w:rFonts w:ascii="宋体" w:hAnsi="宋体" w:eastAsia="宋体" w:cs="Times New Roman"/>
                <w:sz w:val="18"/>
                <w:szCs w:val="18"/>
              </w:rPr>
              <w:t>严重违法失信行为信息记录</w:t>
            </w:r>
            <w:r>
              <w:rPr>
                <w:rFonts w:hint="eastAsia" w:ascii="宋体" w:hAnsi="宋体" w:eastAsia="宋体" w:cs="Times New Roman"/>
                <w:sz w:val="18"/>
                <w:szCs w:val="18"/>
              </w:rPr>
              <w:t>”</w:t>
            </w:r>
            <w:r>
              <w:rPr>
                <w:rFonts w:ascii="宋体" w:hAnsi="宋体" w:eastAsia="宋体" w:cs="Times New Roman"/>
                <w:sz w:val="18"/>
                <w:szCs w:val="18"/>
              </w:rPr>
              <w:t>中的禁止参加政府采购活动期间。</w:t>
            </w:r>
            <w:r>
              <w:rPr>
                <w:rFonts w:hint="eastAsia" w:ascii="宋体" w:hAnsi="宋体" w:eastAsia="宋体" w:cs="Times New Roman"/>
                <w:sz w:val="18"/>
                <w:szCs w:val="18"/>
              </w:rPr>
              <w:t>供应商须提供上述网站纸质版查询结果作为相关证明材料。</w:t>
            </w:r>
          </w:p>
        </w:tc>
        <w:tc>
          <w:tcPr>
            <w:tcW w:w="484" w:type="pct"/>
            <w:tcBorders>
              <w:top w:val="single" w:color="auto" w:sz="2" w:space="0"/>
              <w:left w:val="single" w:color="auto" w:sz="2" w:space="0"/>
              <w:bottom w:val="single" w:color="auto" w:sz="2" w:space="0"/>
              <w:right w:val="single" w:color="auto" w:sz="2" w:space="0"/>
            </w:tcBorders>
          </w:tcPr>
          <w:p w14:paraId="7973A998">
            <w:pPr>
              <w:rPr>
                <w:rFonts w:ascii="Calibri" w:hAnsi="Calibri" w:eastAsia="宋体" w:cs="Times New Roman"/>
                <w:szCs w:val="21"/>
              </w:rPr>
            </w:pPr>
          </w:p>
        </w:tc>
        <w:tc>
          <w:tcPr>
            <w:tcW w:w="482" w:type="pct"/>
            <w:tcBorders>
              <w:top w:val="single" w:color="auto" w:sz="2" w:space="0"/>
              <w:left w:val="single" w:color="auto" w:sz="2" w:space="0"/>
              <w:bottom w:val="single" w:color="auto" w:sz="2" w:space="0"/>
              <w:right w:val="single" w:color="auto" w:sz="2" w:space="0"/>
            </w:tcBorders>
          </w:tcPr>
          <w:p w14:paraId="1ADC4CC8">
            <w:pPr>
              <w:rPr>
                <w:rFonts w:ascii="Calibri" w:hAnsi="Calibri" w:eastAsia="宋体" w:cs="Times New Roman"/>
                <w:szCs w:val="21"/>
              </w:rPr>
            </w:pPr>
          </w:p>
        </w:tc>
        <w:tc>
          <w:tcPr>
            <w:tcW w:w="499" w:type="pct"/>
            <w:tcBorders>
              <w:top w:val="single" w:color="auto" w:sz="2" w:space="0"/>
              <w:left w:val="single" w:color="auto" w:sz="2" w:space="0"/>
              <w:bottom w:val="single" w:color="auto" w:sz="2" w:space="0"/>
              <w:right w:val="single" w:color="auto" w:sz="2" w:space="0"/>
            </w:tcBorders>
          </w:tcPr>
          <w:p w14:paraId="14ADFC70">
            <w:pPr>
              <w:rPr>
                <w:rFonts w:ascii="Calibri" w:hAnsi="Calibri" w:eastAsia="宋体" w:cs="Times New Roman"/>
                <w:szCs w:val="21"/>
              </w:rPr>
            </w:pPr>
          </w:p>
        </w:tc>
        <w:tc>
          <w:tcPr>
            <w:tcW w:w="469" w:type="pct"/>
            <w:tcBorders>
              <w:top w:val="single" w:color="auto" w:sz="2" w:space="0"/>
              <w:left w:val="single" w:color="auto" w:sz="2" w:space="0"/>
              <w:bottom w:val="single" w:color="auto" w:sz="2" w:space="0"/>
              <w:right w:val="single" w:color="auto" w:sz="2" w:space="0"/>
            </w:tcBorders>
          </w:tcPr>
          <w:p w14:paraId="27DEDF9D">
            <w:pPr>
              <w:rPr>
                <w:rFonts w:ascii="Calibri" w:hAnsi="Calibri" w:eastAsia="宋体" w:cs="Times New Roman"/>
                <w:szCs w:val="21"/>
              </w:rPr>
            </w:pPr>
          </w:p>
        </w:tc>
      </w:tr>
      <w:tr w14:paraId="472F2B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44" w:hRule="atLeast"/>
        </w:trPr>
        <w:tc>
          <w:tcPr>
            <w:tcW w:w="199" w:type="pct"/>
            <w:tcBorders>
              <w:top w:val="single" w:color="auto" w:sz="2" w:space="0"/>
              <w:left w:val="single" w:color="auto" w:sz="2" w:space="0"/>
              <w:bottom w:val="single" w:color="auto" w:sz="2" w:space="0"/>
              <w:right w:val="single" w:color="auto" w:sz="2" w:space="0"/>
            </w:tcBorders>
            <w:vAlign w:val="center"/>
          </w:tcPr>
          <w:p w14:paraId="3097EB0F">
            <w:pPr>
              <w:jc w:val="center"/>
              <w:rPr>
                <w:rFonts w:ascii="Calibri" w:hAnsi="Calibri" w:eastAsia="宋体" w:cs="Times New Roman"/>
                <w:sz w:val="18"/>
                <w:szCs w:val="18"/>
              </w:rPr>
            </w:pPr>
            <w:r>
              <w:rPr>
                <w:rFonts w:ascii="Calibri" w:hAnsi="Calibri" w:eastAsia="宋体" w:cs="Times New Roman"/>
                <w:sz w:val="18"/>
                <w:szCs w:val="18"/>
              </w:rPr>
              <w:t>7</w:t>
            </w:r>
          </w:p>
        </w:tc>
        <w:tc>
          <w:tcPr>
            <w:tcW w:w="794" w:type="pct"/>
            <w:tcBorders>
              <w:top w:val="single" w:color="auto" w:sz="2" w:space="0"/>
              <w:left w:val="single" w:color="auto" w:sz="2" w:space="0"/>
              <w:bottom w:val="single" w:color="auto" w:sz="2" w:space="0"/>
              <w:right w:val="single" w:color="auto" w:sz="2" w:space="0"/>
            </w:tcBorders>
            <w:vAlign w:val="center"/>
          </w:tcPr>
          <w:p w14:paraId="132F1B4D">
            <w:pPr>
              <w:jc w:val="center"/>
              <w:rPr>
                <w:rFonts w:ascii="Calibri" w:hAnsi="Calibri" w:eastAsia="宋体" w:cs="Times New Roman"/>
                <w:b/>
                <w:bCs/>
                <w:sz w:val="18"/>
                <w:szCs w:val="18"/>
              </w:rPr>
            </w:pPr>
            <w:r>
              <w:rPr>
                <w:rFonts w:ascii="宋体" w:hAnsi="宋体" w:eastAsia="宋体" w:cs="Times New Roman"/>
                <w:b/>
                <w:bCs/>
                <w:sz w:val="18"/>
                <w:szCs w:val="18"/>
              </w:rPr>
              <w:t>供应商必须符合法律、行政法规规定的其他条件</w:t>
            </w:r>
          </w:p>
        </w:tc>
        <w:tc>
          <w:tcPr>
            <w:tcW w:w="2071" w:type="pct"/>
            <w:tcBorders>
              <w:top w:val="single" w:color="auto" w:sz="2" w:space="0"/>
              <w:left w:val="single" w:color="auto" w:sz="2" w:space="0"/>
              <w:bottom w:val="single" w:color="auto" w:sz="2" w:space="0"/>
              <w:right w:val="single" w:color="auto" w:sz="2" w:space="0"/>
            </w:tcBorders>
          </w:tcPr>
          <w:p w14:paraId="33580E5D">
            <w:pPr>
              <w:rPr>
                <w:rFonts w:ascii="Calibri" w:hAnsi="Calibri" w:eastAsia="宋体" w:cs="Times New Roman"/>
                <w:sz w:val="18"/>
                <w:szCs w:val="18"/>
              </w:rPr>
            </w:pPr>
            <w:r>
              <w:rPr>
                <w:rFonts w:hint="eastAsia" w:ascii="宋体" w:hAnsi="宋体" w:eastAsia="宋体" w:cs="Times New Roman"/>
                <w:sz w:val="18"/>
                <w:szCs w:val="18"/>
              </w:rPr>
              <w:t>提供声明函并加盖公章（格式自拟，声明内容包括但不限于：“</w:t>
            </w:r>
            <w:r>
              <w:rPr>
                <w:rFonts w:ascii="宋体" w:hAnsi="宋体" w:eastAsia="宋体" w:cs="Times New Roman"/>
                <w:sz w:val="18"/>
                <w:szCs w:val="18"/>
              </w:rPr>
              <w:t>单位负责人为同一人或者存在直接控股、</w:t>
            </w:r>
            <w:r>
              <w:rPr>
                <w:rFonts w:ascii="Calibri" w:hAnsi="Calibri" w:eastAsia="宋体" w:cs="Times New Roman"/>
                <w:sz w:val="18"/>
                <w:szCs w:val="18"/>
              </w:rPr>
              <w:t xml:space="preserve"> </w:t>
            </w:r>
            <w:r>
              <w:rPr>
                <w:rFonts w:ascii="宋体" w:hAnsi="宋体" w:eastAsia="宋体" w:cs="Times New Roman"/>
                <w:sz w:val="18"/>
                <w:szCs w:val="18"/>
              </w:rPr>
              <w:t>管理关系的不同供应商，</w:t>
            </w:r>
            <w:r>
              <w:rPr>
                <w:rFonts w:hint="eastAsia" w:ascii="宋体" w:hAnsi="宋体" w:eastAsia="宋体" w:cs="Times New Roman"/>
                <w:sz w:val="18"/>
                <w:szCs w:val="18"/>
              </w:rPr>
              <w:t>未</w:t>
            </w:r>
            <w:r>
              <w:rPr>
                <w:rFonts w:ascii="宋体" w:hAnsi="宋体" w:eastAsia="宋体" w:cs="Times New Roman"/>
                <w:sz w:val="18"/>
                <w:szCs w:val="18"/>
              </w:rPr>
              <w:t>同时参加本采购项目或采购包投标</w:t>
            </w:r>
            <w:r>
              <w:rPr>
                <w:rFonts w:hint="eastAsia" w:ascii="Calibri" w:hAnsi="Calibri" w:eastAsia="宋体" w:cs="Calibri"/>
                <w:sz w:val="18"/>
                <w:szCs w:val="18"/>
              </w:rPr>
              <w:t>/</w:t>
            </w:r>
            <w:r>
              <w:rPr>
                <w:rFonts w:ascii="宋体" w:hAnsi="宋体" w:eastAsia="宋体" w:cs="Times New Roman"/>
                <w:sz w:val="18"/>
                <w:szCs w:val="18"/>
              </w:rPr>
              <w:t>响应。</w:t>
            </w:r>
            <w:r>
              <w:rPr>
                <w:rFonts w:ascii="Calibri" w:hAnsi="Calibri" w:eastAsia="宋体" w:cs="Times New Roman"/>
                <w:sz w:val="18"/>
                <w:szCs w:val="18"/>
              </w:rPr>
              <w:t xml:space="preserve"> </w:t>
            </w:r>
            <w:r>
              <w:rPr>
                <w:rFonts w:ascii="宋体" w:hAnsi="宋体" w:eastAsia="宋体" w:cs="Times New Roman"/>
                <w:sz w:val="18"/>
                <w:szCs w:val="18"/>
              </w:rPr>
              <w:t>为本项目提供整体设计</w:t>
            </w:r>
            <w:r>
              <w:rPr>
                <w:rFonts w:hint="eastAsia" w:ascii="宋体" w:hAnsi="宋体" w:eastAsia="宋体" w:cs="Times New Roman"/>
                <w:sz w:val="18"/>
                <w:szCs w:val="18"/>
              </w:rPr>
              <w:t>、</w:t>
            </w:r>
            <w:r>
              <w:rPr>
                <w:rFonts w:ascii="宋体" w:hAnsi="宋体" w:eastAsia="宋体" w:cs="Times New Roman"/>
                <w:sz w:val="18"/>
                <w:szCs w:val="18"/>
              </w:rPr>
              <w:t>规范编制或者项目管理</w:t>
            </w:r>
            <w:r>
              <w:rPr>
                <w:rFonts w:hint="eastAsia" w:ascii="宋体" w:hAnsi="宋体" w:eastAsia="宋体" w:cs="Times New Roman"/>
                <w:sz w:val="18"/>
                <w:szCs w:val="18"/>
              </w:rPr>
              <w:t>、</w:t>
            </w:r>
            <w:r>
              <w:rPr>
                <w:rFonts w:ascii="宋体" w:hAnsi="宋体" w:eastAsia="宋体" w:cs="Times New Roman"/>
                <w:sz w:val="18"/>
                <w:szCs w:val="18"/>
              </w:rPr>
              <w:t>监理、</w:t>
            </w:r>
            <w:r>
              <w:rPr>
                <w:rFonts w:ascii="Calibri" w:hAnsi="Calibri" w:eastAsia="宋体" w:cs="Times New Roman"/>
                <w:sz w:val="18"/>
                <w:szCs w:val="18"/>
              </w:rPr>
              <w:t xml:space="preserve"> </w:t>
            </w:r>
            <w:r>
              <w:rPr>
                <w:rFonts w:ascii="宋体" w:hAnsi="宋体" w:eastAsia="宋体" w:cs="Times New Roman"/>
                <w:sz w:val="18"/>
                <w:szCs w:val="18"/>
              </w:rPr>
              <w:t>检测等服务的供应商，</w:t>
            </w:r>
            <w:r>
              <w:rPr>
                <w:rFonts w:hint="eastAsia" w:ascii="宋体" w:hAnsi="宋体" w:eastAsia="宋体" w:cs="Times New Roman"/>
                <w:sz w:val="18"/>
                <w:szCs w:val="18"/>
              </w:rPr>
              <w:t>未</w:t>
            </w:r>
            <w:r>
              <w:rPr>
                <w:rFonts w:ascii="宋体" w:hAnsi="宋体" w:eastAsia="宋体" w:cs="Times New Roman"/>
                <w:sz w:val="18"/>
                <w:szCs w:val="18"/>
              </w:rPr>
              <w:t>再参与本项目投标</w:t>
            </w:r>
            <w:r>
              <w:rPr>
                <w:rFonts w:hint="eastAsia" w:ascii="Calibri" w:hAnsi="Calibri" w:eastAsia="宋体" w:cs="Calibri"/>
                <w:sz w:val="18"/>
                <w:szCs w:val="18"/>
              </w:rPr>
              <w:t>/</w:t>
            </w:r>
            <w:r>
              <w:rPr>
                <w:rFonts w:ascii="宋体" w:hAnsi="宋体" w:eastAsia="宋体" w:cs="Times New Roman"/>
                <w:sz w:val="18"/>
                <w:szCs w:val="18"/>
              </w:rPr>
              <w:t>响应</w:t>
            </w:r>
            <w:r>
              <w:rPr>
                <w:rFonts w:hint="eastAsia" w:ascii="宋体" w:hAnsi="宋体" w:eastAsia="宋体" w:cs="Times New Roman"/>
                <w:sz w:val="18"/>
                <w:szCs w:val="18"/>
              </w:rPr>
              <w:t>。”）</w:t>
            </w:r>
          </w:p>
        </w:tc>
        <w:tc>
          <w:tcPr>
            <w:tcW w:w="484" w:type="pct"/>
            <w:tcBorders>
              <w:top w:val="single" w:color="auto" w:sz="2" w:space="0"/>
              <w:left w:val="single" w:color="auto" w:sz="2" w:space="0"/>
              <w:bottom w:val="single" w:color="auto" w:sz="2" w:space="0"/>
              <w:right w:val="single" w:color="auto" w:sz="2" w:space="0"/>
            </w:tcBorders>
          </w:tcPr>
          <w:p w14:paraId="2B10A026">
            <w:pPr>
              <w:rPr>
                <w:rFonts w:ascii="Calibri" w:hAnsi="Calibri" w:eastAsia="宋体" w:cs="Times New Roman"/>
                <w:szCs w:val="21"/>
              </w:rPr>
            </w:pPr>
          </w:p>
        </w:tc>
        <w:tc>
          <w:tcPr>
            <w:tcW w:w="482" w:type="pct"/>
            <w:tcBorders>
              <w:top w:val="single" w:color="auto" w:sz="2" w:space="0"/>
              <w:left w:val="single" w:color="auto" w:sz="2" w:space="0"/>
              <w:bottom w:val="single" w:color="auto" w:sz="2" w:space="0"/>
              <w:right w:val="single" w:color="auto" w:sz="2" w:space="0"/>
            </w:tcBorders>
          </w:tcPr>
          <w:p w14:paraId="5CE34197">
            <w:pPr>
              <w:rPr>
                <w:rFonts w:ascii="Calibri" w:hAnsi="Calibri" w:eastAsia="宋体" w:cs="Times New Roman"/>
                <w:szCs w:val="21"/>
              </w:rPr>
            </w:pPr>
          </w:p>
        </w:tc>
        <w:tc>
          <w:tcPr>
            <w:tcW w:w="499" w:type="pct"/>
            <w:tcBorders>
              <w:top w:val="single" w:color="auto" w:sz="2" w:space="0"/>
              <w:left w:val="single" w:color="auto" w:sz="2" w:space="0"/>
              <w:bottom w:val="single" w:color="auto" w:sz="2" w:space="0"/>
              <w:right w:val="single" w:color="auto" w:sz="2" w:space="0"/>
            </w:tcBorders>
          </w:tcPr>
          <w:p w14:paraId="729E55FF">
            <w:pPr>
              <w:rPr>
                <w:rFonts w:ascii="Calibri" w:hAnsi="Calibri" w:eastAsia="宋体" w:cs="Times New Roman"/>
                <w:szCs w:val="21"/>
              </w:rPr>
            </w:pPr>
          </w:p>
        </w:tc>
        <w:tc>
          <w:tcPr>
            <w:tcW w:w="469" w:type="pct"/>
            <w:tcBorders>
              <w:top w:val="single" w:color="auto" w:sz="2" w:space="0"/>
              <w:left w:val="single" w:color="auto" w:sz="2" w:space="0"/>
              <w:bottom w:val="single" w:color="auto" w:sz="2" w:space="0"/>
              <w:right w:val="single" w:color="auto" w:sz="2" w:space="0"/>
            </w:tcBorders>
          </w:tcPr>
          <w:p w14:paraId="6DED8C10">
            <w:pPr>
              <w:rPr>
                <w:rFonts w:ascii="Calibri" w:hAnsi="Calibri" w:eastAsia="宋体" w:cs="Times New Roman"/>
                <w:szCs w:val="21"/>
              </w:rPr>
            </w:pPr>
          </w:p>
        </w:tc>
      </w:tr>
      <w:tr w14:paraId="2ED021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92" w:hRule="atLeast"/>
        </w:trPr>
        <w:tc>
          <w:tcPr>
            <w:tcW w:w="199" w:type="pct"/>
            <w:tcBorders>
              <w:top w:val="single" w:color="auto" w:sz="2" w:space="0"/>
              <w:left w:val="single" w:color="auto" w:sz="2" w:space="0"/>
              <w:bottom w:val="single" w:color="auto" w:sz="2" w:space="0"/>
              <w:right w:val="single" w:color="auto" w:sz="2" w:space="0"/>
            </w:tcBorders>
            <w:vAlign w:val="center"/>
          </w:tcPr>
          <w:p w14:paraId="4FAC6920">
            <w:pPr>
              <w:jc w:val="center"/>
              <w:rPr>
                <w:rFonts w:ascii="Calibri" w:hAnsi="Calibri" w:eastAsia="宋体" w:cs="Times New Roman"/>
                <w:sz w:val="18"/>
                <w:szCs w:val="18"/>
              </w:rPr>
            </w:pPr>
          </w:p>
        </w:tc>
        <w:tc>
          <w:tcPr>
            <w:tcW w:w="2865" w:type="pct"/>
            <w:gridSpan w:val="2"/>
            <w:tcBorders>
              <w:top w:val="single" w:color="auto" w:sz="2" w:space="0"/>
              <w:left w:val="single" w:color="auto" w:sz="2" w:space="0"/>
              <w:bottom w:val="single" w:color="auto" w:sz="2" w:space="0"/>
              <w:right w:val="single" w:color="auto" w:sz="2" w:space="0"/>
            </w:tcBorders>
            <w:vAlign w:val="center"/>
          </w:tcPr>
          <w:p w14:paraId="37561432">
            <w:pPr>
              <w:jc w:val="center"/>
              <w:rPr>
                <w:rFonts w:ascii="Calibri" w:hAnsi="Calibri" w:eastAsia="宋体" w:cs="Times New Roman"/>
                <w:sz w:val="18"/>
                <w:szCs w:val="18"/>
              </w:rPr>
            </w:pPr>
            <w:r>
              <w:rPr>
                <w:rFonts w:hint="eastAsia" w:ascii="宋体" w:hAnsi="宋体" w:eastAsia="宋体" w:cs="Times New Roman"/>
                <w:b/>
                <w:bCs/>
                <w:sz w:val="18"/>
                <w:szCs w:val="18"/>
              </w:rPr>
              <w:t>是否通过资格审查</w:t>
            </w:r>
          </w:p>
        </w:tc>
        <w:tc>
          <w:tcPr>
            <w:tcW w:w="484" w:type="pct"/>
            <w:tcBorders>
              <w:top w:val="single" w:color="auto" w:sz="2" w:space="0"/>
              <w:left w:val="single" w:color="auto" w:sz="2" w:space="0"/>
              <w:bottom w:val="single" w:color="auto" w:sz="2" w:space="0"/>
              <w:right w:val="single" w:color="auto" w:sz="2" w:space="0"/>
            </w:tcBorders>
          </w:tcPr>
          <w:p w14:paraId="1A022CE7">
            <w:pPr>
              <w:rPr>
                <w:rFonts w:ascii="Calibri" w:hAnsi="Calibri" w:eastAsia="宋体" w:cs="Times New Roman"/>
                <w:szCs w:val="21"/>
              </w:rPr>
            </w:pPr>
          </w:p>
        </w:tc>
        <w:tc>
          <w:tcPr>
            <w:tcW w:w="482" w:type="pct"/>
            <w:tcBorders>
              <w:top w:val="single" w:color="auto" w:sz="2" w:space="0"/>
              <w:left w:val="single" w:color="auto" w:sz="2" w:space="0"/>
              <w:bottom w:val="single" w:color="auto" w:sz="2" w:space="0"/>
              <w:right w:val="single" w:color="auto" w:sz="2" w:space="0"/>
            </w:tcBorders>
          </w:tcPr>
          <w:p w14:paraId="52531CE4">
            <w:pPr>
              <w:rPr>
                <w:rFonts w:ascii="Calibri" w:hAnsi="Calibri" w:eastAsia="宋体" w:cs="Times New Roman"/>
                <w:szCs w:val="21"/>
              </w:rPr>
            </w:pPr>
          </w:p>
        </w:tc>
        <w:tc>
          <w:tcPr>
            <w:tcW w:w="499" w:type="pct"/>
            <w:tcBorders>
              <w:top w:val="single" w:color="auto" w:sz="2" w:space="0"/>
              <w:left w:val="single" w:color="auto" w:sz="2" w:space="0"/>
              <w:bottom w:val="single" w:color="auto" w:sz="2" w:space="0"/>
              <w:right w:val="single" w:color="auto" w:sz="2" w:space="0"/>
            </w:tcBorders>
          </w:tcPr>
          <w:p w14:paraId="65F23938">
            <w:pPr>
              <w:rPr>
                <w:rFonts w:ascii="Calibri" w:hAnsi="Calibri" w:eastAsia="宋体" w:cs="Times New Roman"/>
                <w:szCs w:val="21"/>
              </w:rPr>
            </w:pPr>
          </w:p>
        </w:tc>
        <w:tc>
          <w:tcPr>
            <w:tcW w:w="469" w:type="pct"/>
            <w:tcBorders>
              <w:top w:val="single" w:color="auto" w:sz="2" w:space="0"/>
              <w:left w:val="single" w:color="auto" w:sz="2" w:space="0"/>
              <w:bottom w:val="single" w:color="auto" w:sz="2" w:space="0"/>
              <w:right w:val="single" w:color="auto" w:sz="2" w:space="0"/>
            </w:tcBorders>
          </w:tcPr>
          <w:p w14:paraId="5C490DDB">
            <w:pPr>
              <w:rPr>
                <w:rFonts w:ascii="Calibri" w:hAnsi="Calibri" w:eastAsia="宋体" w:cs="Times New Roman"/>
                <w:szCs w:val="21"/>
              </w:rPr>
            </w:pPr>
          </w:p>
        </w:tc>
      </w:tr>
    </w:tbl>
    <w:p w14:paraId="0611C38E">
      <w:pPr>
        <w:widowControl/>
        <w:spacing w:beforeAutospacing="1" w:afterAutospacing="1"/>
        <w:jc w:val="left"/>
        <w:rPr>
          <w:rFonts w:ascii="宋体" w:hAnsi="宋体" w:eastAsia="宋体" w:cs="宋体"/>
          <w:b/>
          <w:bCs/>
          <w:kern w:val="0"/>
          <w:szCs w:val="21"/>
        </w:rPr>
      </w:pPr>
      <w:r>
        <w:rPr>
          <w:rFonts w:hint="eastAsia" w:ascii="宋体" w:hAnsi="宋体" w:eastAsia="宋体" w:cs="宋体"/>
          <w:b/>
          <w:bCs/>
          <w:kern w:val="0"/>
          <w:szCs w:val="21"/>
        </w:rPr>
        <w:t>采购项目：                                    专家签名：                      日期：</w:t>
      </w:r>
    </w:p>
    <w:p w14:paraId="01C1541B">
      <w:pPr>
        <w:numPr>
          <w:ilvl w:val="0"/>
          <w:numId w:val="0"/>
        </w:numPr>
        <w:rPr>
          <w:rFonts w:hint="eastAsia" w:ascii="宋体" w:hAnsi="宋体" w:eastAsia="宋体" w:cs="宋体"/>
          <w:b/>
          <w:bCs/>
          <w:kern w:val="0"/>
          <w:szCs w:val="21"/>
        </w:rPr>
      </w:pPr>
      <w:r>
        <w:rPr>
          <w:rFonts w:hint="eastAsia" w:ascii="宋体" w:hAnsi="宋体" w:eastAsia="宋体" w:cs="宋体"/>
          <w:b/>
          <w:bCs/>
          <w:kern w:val="0"/>
          <w:szCs w:val="21"/>
        </w:rPr>
        <w:t>说明：1.符合性审查评价用○/×表示。    2.资格审查有任何一条不通过者则视为未通过。</w:t>
      </w:r>
    </w:p>
    <w:p w14:paraId="05C255B0">
      <w:pPr>
        <w:numPr>
          <w:ilvl w:val="0"/>
          <w:numId w:val="0"/>
        </w:numPr>
        <w:rPr>
          <w:rFonts w:hint="eastAsia" w:ascii="宋体" w:hAnsi="宋体" w:eastAsia="宋体" w:cs="宋体"/>
          <w:b/>
          <w:bCs/>
          <w:kern w:val="0"/>
          <w:szCs w:val="21"/>
        </w:rPr>
      </w:pPr>
    </w:p>
    <w:p w14:paraId="2C82EE98">
      <w:pPr>
        <w:rPr>
          <w:rFonts w:hint="eastAsia" w:ascii="宋体" w:hAnsi="宋体" w:eastAsia="宋体" w:cs="宋体"/>
          <w:b/>
          <w:bCs/>
          <w:kern w:val="0"/>
          <w:szCs w:val="21"/>
          <w:lang w:val="en-US" w:eastAsia="zh-CN"/>
        </w:rPr>
        <w:sectPr>
          <w:headerReference r:id="rId3" w:type="default"/>
          <w:footerReference r:id="rId4" w:type="default"/>
          <w:type w:val="continuous"/>
          <w:pgSz w:w="11906" w:h="16838"/>
          <w:pgMar w:top="1077" w:right="1077" w:bottom="1077" w:left="1077" w:header="851" w:footer="992" w:gutter="0"/>
          <w:cols w:space="425" w:num="1"/>
          <w:docGrid w:type="lines" w:linePitch="312" w:charSpace="0"/>
        </w:sectPr>
      </w:pPr>
    </w:p>
    <w:p w14:paraId="62883B62">
      <w:pPr>
        <w:widowControl/>
        <w:spacing w:line="360" w:lineRule="auto"/>
        <w:ind w:right="191" w:rightChars="91"/>
        <w:jc w:val="left"/>
        <w:rPr>
          <w:rFonts w:hint="eastAsia" w:ascii="宋体" w:hAnsi="宋体" w:eastAsia="宋体" w:cs="Times New Roman"/>
          <w:b/>
          <w:bCs/>
          <w:kern w:val="0"/>
          <w:szCs w:val="21"/>
        </w:rPr>
      </w:pPr>
      <w:r>
        <w:rPr>
          <w:rFonts w:hint="eastAsia" w:ascii="宋体" w:hAnsi="宋体" w:eastAsia="宋体" w:cs="Times New Roman"/>
          <w:b/>
          <w:bCs/>
          <w:kern w:val="0"/>
          <w:szCs w:val="21"/>
        </w:rPr>
        <w:t>附表2：</w:t>
      </w:r>
    </w:p>
    <w:p w14:paraId="639C7F7B">
      <w:pPr>
        <w:widowControl/>
        <w:spacing w:line="360" w:lineRule="auto"/>
        <w:ind w:right="191" w:rightChars="91"/>
        <w:jc w:val="center"/>
        <w:rPr>
          <w:rFonts w:hint="eastAsia" w:ascii="宋体" w:hAnsi="宋体" w:eastAsia="宋体" w:cs="Times New Roman"/>
          <w:b/>
          <w:bCs/>
          <w:kern w:val="0"/>
          <w:szCs w:val="21"/>
          <w:u w:val="single"/>
        </w:rPr>
      </w:pPr>
      <w:r>
        <w:rPr>
          <w:rFonts w:hint="eastAsia" w:ascii="宋体" w:hAnsi="宋体" w:eastAsia="宋体" w:cs="Times New Roman"/>
          <w:b/>
          <w:bCs/>
          <w:kern w:val="0"/>
          <w:szCs w:val="21"/>
          <w:u w:val="single"/>
        </w:rPr>
        <w:t>符合性审查表</w:t>
      </w:r>
    </w:p>
    <w:tbl>
      <w:tblPr>
        <w:tblStyle w:val="20"/>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1"/>
        <w:gridCol w:w="3528"/>
        <w:gridCol w:w="1060"/>
        <w:gridCol w:w="1402"/>
        <w:gridCol w:w="1027"/>
        <w:gridCol w:w="1292"/>
        <w:gridCol w:w="1140"/>
        <w:gridCol w:w="1292"/>
        <w:gridCol w:w="1066"/>
        <w:gridCol w:w="1103"/>
        <w:gridCol w:w="1317"/>
      </w:tblGrid>
      <w:tr w14:paraId="5B316E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973" w:hRule="atLeast"/>
        </w:trPr>
        <w:tc>
          <w:tcPr>
            <w:tcW w:w="222" w:type="pct"/>
            <w:tcBorders>
              <w:top w:val="single" w:color="auto" w:sz="12" w:space="0"/>
              <w:left w:val="single" w:color="auto" w:sz="12" w:space="0"/>
              <w:bottom w:val="single" w:color="auto" w:sz="6" w:space="0"/>
              <w:right w:val="single" w:color="auto" w:sz="6" w:space="0"/>
            </w:tcBorders>
            <w:shd w:val="clear" w:color="auto" w:fill="FFFFFF"/>
            <w:vAlign w:val="center"/>
          </w:tcPr>
          <w:p w14:paraId="61B6FB5B">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序号</w:t>
            </w:r>
          </w:p>
        </w:tc>
        <w:tc>
          <w:tcPr>
            <w:tcW w:w="1185" w:type="pct"/>
            <w:tcBorders>
              <w:top w:val="single" w:color="auto" w:sz="12" w:space="0"/>
              <w:left w:val="single" w:color="auto" w:sz="6" w:space="0"/>
              <w:bottom w:val="single" w:color="auto" w:sz="6" w:space="0"/>
              <w:right w:val="single" w:color="auto" w:sz="6" w:space="0"/>
            </w:tcBorders>
            <w:shd w:val="clear" w:color="auto" w:fill="FFFFFF"/>
            <w:vAlign w:val="center"/>
          </w:tcPr>
          <w:p w14:paraId="7858E6A6">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供应商</w:t>
            </w:r>
          </w:p>
        </w:tc>
        <w:tc>
          <w:tcPr>
            <w:tcW w:w="356" w:type="pct"/>
            <w:tcBorders>
              <w:top w:val="single" w:color="auto" w:sz="12" w:space="0"/>
              <w:left w:val="single" w:color="auto" w:sz="6" w:space="0"/>
              <w:bottom w:val="single" w:color="auto" w:sz="6" w:space="0"/>
              <w:right w:val="single" w:color="auto" w:sz="6" w:space="0"/>
            </w:tcBorders>
            <w:shd w:val="clear" w:color="auto" w:fill="FFFFFF"/>
            <w:vAlign w:val="center"/>
          </w:tcPr>
          <w:p w14:paraId="13D70AFF">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投标</w:t>
            </w:r>
          </w:p>
          <w:p w14:paraId="4455C809">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有效期符合要求</w:t>
            </w:r>
          </w:p>
        </w:tc>
        <w:tc>
          <w:tcPr>
            <w:tcW w:w="471" w:type="pct"/>
            <w:tcBorders>
              <w:top w:val="single" w:color="auto" w:sz="12" w:space="0"/>
              <w:left w:val="single" w:color="auto" w:sz="6" w:space="0"/>
              <w:bottom w:val="single" w:color="auto" w:sz="6" w:space="0"/>
              <w:right w:val="single" w:color="auto" w:sz="6" w:space="0"/>
            </w:tcBorders>
            <w:shd w:val="clear" w:color="auto" w:fill="FFFFFF"/>
            <w:vAlign w:val="center"/>
          </w:tcPr>
          <w:p w14:paraId="5B4957F1">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投标文件资料齐全、签署合格</w:t>
            </w:r>
          </w:p>
        </w:tc>
        <w:tc>
          <w:tcPr>
            <w:tcW w:w="345" w:type="pct"/>
            <w:tcBorders>
              <w:top w:val="single" w:color="auto" w:sz="12" w:space="0"/>
              <w:left w:val="single" w:color="auto" w:sz="6" w:space="0"/>
              <w:bottom w:val="single" w:color="auto" w:sz="6" w:space="0"/>
              <w:right w:val="single" w:color="auto" w:sz="6" w:space="0"/>
            </w:tcBorders>
            <w:shd w:val="clear" w:color="auto" w:fill="FFFFFF"/>
            <w:vAlign w:val="center"/>
          </w:tcPr>
          <w:p w14:paraId="0D7135B7">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投标价格是唯一固定价</w:t>
            </w:r>
          </w:p>
        </w:tc>
        <w:tc>
          <w:tcPr>
            <w:tcW w:w="434" w:type="pct"/>
            <w:tcBorders>
              <w:top w:val="single" w:color="auto" w:sz="12" w:space="0"/>
              <w:left w:val="single" w:color="auto" w:sz="6" w:space="0"/>
              <w:bottom w:val="single" w:color="auto" w:sz="6" w:space="0"/>
              <w:right w:val="single" w:color="auto" w:sz="6" w:space="0"/>
            </w:tcBorders>
            <w:shd w:val="clear" w:color="auto" w:fill="FFFFFF"/>
            <w:vAlign w:val="center"/>
          </w:tcPr>
          <w:p w14:paraId="67FF5109">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投标报价不得高于采购预算金额</w:t>
            </w:r>
          </w:p>
        </w:tc>
        <w:tc>
          <w:tcPr>
            <w:tcW w:w="383" w:type="pct"/>
            <w:tcBorders>
              <w:top w:val="single" w:color="auto" w:sz="12" w:space="0"/>
              <w:left w:val="single" w:color="auto" w:sz="6" w:space="0"/>
              <w:bottom w:val="single" w:color="auto" w:sz="6" w:space="0"/>
              <w:right w:val="single" w:color="auto" w:sz="6" w:space="0"/>
            </w:tcBorders>
            <w:shd w:val="clear" w:color="auto" w:fill="FFFFFF"/>
            <w:vAlign w:val="center"/>
          </w:tcPr>
          <w:p w14:paraId="6C2E0140">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投标报价无重大漏项或不合理</w:t>
            </w:r>
          </w:p>
        </w:tc>
        <w:tc>
          <w:tcPr>
            <w:tcW w:w="434" w:type="pct"/>
            <w:tcBorders>
              <w:top w:val="single" w:color="auto" w:sz="12" w:space="0"/>
              <w:left w:val="single" w:color="auto" w:sz="6" w:space="0"/>
              <w:bottom w:val="single" w:color="auto" w:sz="6" w:space="0"/>
              <w:right w:val="single" w:color="auto" w:sz="6" w:space="0"/>
            </w:tcBorders>
            <w:shd w:val="clear" w:color="auto" w:fill="FFFFFF"/>
            <w:vAlign w:val="center"/>
          </w:tcPr>
          <w:p w14:paraId="4DF03FE5">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主要服务内容和标准满足招标要求</w:t>
            </w:r>
          </w:p>
        </w:tc>
        <w:tc>
          <w:tcPr>
            <w:tcW w:w="358" w:type="pct"/>
            <w:tcBorders>
              <w:top w:val="single" w:color="auto" w:sz="12" w:space="0"/>
              <w:left w:val="single" w:color="auto" w:sz="6" w:space="0"/>
              <w:bottom w:val="single" w:color="auto" w:sz="6" w:space="0"/>
              <w:right w:val="single" w:color="auto" w:sz="6" w:space="0"/>
            </w:tcBorders>
            <w:shd w:val="clear" w:color="auto" w:fill="FFFFFF"/>
            <w:vAlign w:val="center"/>
          </w:tcPr>
          <w:p w14:paraId="6D696810">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商务无</w:t>
            </w:r>
          </w:p>
          <w:p w14:paraId="38D4E25E">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重大保留或偏差</w:t>
            </w:r>
          </w:p>
        </w:tc>
        <w:tc>
          <w:tcPr>
            <w:tcW w:w="370" w:type="pct"/>
            <w:tcBorders>
              <w:top w:val="single" w:color="auto" w:sz="12" w:space="0"/>
              <w:left w:val="single" w:color="auto" w:sz="6" w:space="0"/>
              <w:bottom w:val="single" w:color="auto" w:sz="6" w:space="0"/>
              <w:right w:val="single" w:color="auto" w:sz="6" w:space="0"/>
            </w:tcBorders>
            <w:shd w:val="clear" w:color="auto" w:fill="FFFFFF"/>
            <w:vAlign w:val="center"/>
          </w:tcPr>
          <w:p w14:paraId="43DDE76C">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实质性响应招标文件</w:t>
            </w:r>
          </w:p>
        </w:tc>
        <w:tc>
          <w:tcPr>
            <w:tcW w:w="441" w:type="pct"/>
            <w:tcBorders>
              <w:top w:val="single" w:color="auto" w:sz="12" w:space="0"/>
              <w:left w:val="single" w:color="auto" w:sz="6" w:space="0"/>
              <w:bottom w:val="single" w:color="auto" w:sz="6" w:space="0"/>
              <w:right w:val="single" w:color="auto" w:sz="12" w:space="0"/>
            </w:tcBorders>
            <w:shd w:val="clear" w:color="auto" w:fill="FFFFFF"/>
            <w:vAlign w:val="center"/>
          </w:tcPr>
          <w:p w14:paraId="0A3714F1">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是否通过进入下一阶段评议</w:t>
            </w:r>
          </w:p>
        </w:tc>
      </w:tr>
      <w:tr w14:paraId="3BA9DC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3" w:hRule="atLeast"/>
        </w:trPr>
        <w:tc>
          <w:tcPr>
            <w:tcW w:w="222" w:type="pct"/>
            <w:tcBorders>
              <w:top w:val="single" w:color="auto" w:sz="6" w:space="0"/>
              <w:left w:val="single" w:color="auto" w:sz="12" w:space="0"/>
              <w:bottom w:val="single" w:color="auto" w:sz="6" w:space="0"/>
              <w:right w:val="single" w:color="auto" w:sz="6" w:space="0"/>
            </w:tcBorders>
            <w:shd w:val="clear" w:color="auto" w:fill="FFFFFF"/>
            <w:vAlign w:val="center"/>
          </w:tcPr>
          <w:p w14:paraId="62F5BCC2">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1</w:t>
            </w:r>
          </w:p>
        </w:tc>
        <w:tc>
          <w:tcPr>
            <w:tcW w:w="1185" w:type="pct"/>
            <w:tcBorders>
              <w:top w:val="single" w:color="auto" w:sz="6" w:space="0"/>
              <w:left w:val="single" w:color="auto" w:sz="6" w:space="0"/>
              <w:bottom w:val="single" w:color="auto" w:sz="6" w:space="0"/>
              <w:right w:val="single" w:color="auto" w:sz="6" w:space="0"/>
            </w:tcBorders>
            <w:shd w:val="clear" w:color="auto" w:fill="FFFFFF"/>
          </w:tcPr>
          <w:p w14:paraId="764FD90B">
            <w:pPr>
              <w:widowControl/>
              <w:spacing w:line="360" w:lineRule="auto"/>
              <w:jc w:val="center"/>
              <w:rPr>
                <w:rFonts w:ascii="宋体" w:hAnsi="宋体" w:eastAsia="宋体" w:cs="Times New Roman"/>
                <w:kern w:val="0"/>
                <w:szCs w:val="21"/>
              </w:rPr>
            </w:pPr>
          </w:p>
        </w:tc>
        <w:tc>
          <w:tcPr>
            <w:tcW w:w="356" w:type="pct"/>
            <w:tcBorders>
              <w:top w:val="single" w:color="auto" w:sz="6" w:space="0"/>
              <w:left w:val="single" w:color="auto" w:sz="6" w:space="0"/>
              <w:bottom w:val="single" w:color="auto" w:sz="6" w:space="0"/>
              <w:right w:val="single" w:color="auto" w:sz="6" w:space="0"/>
            </w:tcBorders>
            <w:shd w:val="clear" w:color="auto" w:fill="FFFFFF"/>
          </w:tcPr>
          <w:p w14:paraId="1FD74A68">
            <w:pPr>
              <w:widowControl/>
              <w:spacing w:line="360" w:lineRule="auto"/>
              <w:jc w:val="left"/>
              <w:rPr>
                <w:rFonts w:ascii="宋体" w:hAnsi="宋体" w:eastAsia="宋体" w:cs="Times New Roman"/>
                <w:kern w:val="0"/>
                <w:szCs w:val="21"/>
              </w:rPr>
            </w:pPr>
          </w:p>
        </w:tc>
        <w:tc>
          <w:tcPr>
            <w:tcW w:w="471" w:type="pct"/>
            <w:tcBorders>
              <w:top w:val="single" w:color="auto" w:sz="6" w:space="0"/>
              <w:left w:val="single" w:color="auto" w:sz="6" w:space="0"/>
              <w:bottom w:val="single" w:color="auto" w:sz="6" w:space="0"/>
              <w:right w:val="single" w:color="auto" w:sz="6" w:space="0"/>
            </w:tcBorders>
            <w:shd w:val="clear" w:color="auto" w:fill="FFFFFF"/>
          </w:tcPr>
          <w:p w14:paraId="2CAD465D">
            <w:pPr>
              <w:widowControl/>
              <w:spacing w:line="360" w:lineRule="auto"/>
              <w:jc w:val="left"/>
              <w:rPr>
                <w:rFonts w:ascii="宋体" w:hAnsi="宋体" w:eastAsia="宋体" w:cs="Times New Roman"/>
                <w:kern w:val="0"/>
                <w:szCs w:val="21"/>
              </w:rPr>
            </w:pPr>
          </w:p>
        </w:tc>
        <w:tc>
          <w:tcPr>
            <w:tcW w:w="345" w:type="pct"/>
            <w:tcBorders>
              <w:top w:val="single" w:color="auto" w:sz="6" w:space="0"/>
              <w:left w:val="single" w:color="auto" w:sz="6" w:space="0"/>
              <w:bottom w:val="single" w:color="auto" w:sz="6" w:space="0"/>
              <w:right w:val="single" w:color="auto" w:sz="6" w:space="0"/>
            </w:tcBorders>
            <w:shd w:val="clear" w:color="auto" w:fill="FFFFFF"/>
          </w:tcPr>
          <w:p w14:paraId="4F34115A">
            <w:pPr>
              <w:widowControl/>
              <w:spacing w:line="360" w:lineRule="auto"/>
              <w:jc w:val="left"/>
              <w:rPr>
                <w:rFonts w:ascii="宋体" w:hAnsi="宋体" w:eastAsia="宋体" w:cs="Times New Roman"/>
                <w:kern w:val="0"/>
                <w:szCs w:val="21"/>
              </w:rPr>
            </w:pPr>
          </w:p>
        </w:tc>
        <w:tc>
          <w:tcPr>
            <w:tcW w:w="434" w:type="pct"/>
            <w:tcBorders>
              <w:top w:val="single" w:color="auto" w:sz="6" w:space="0"/>
              <w:left w:val="single" w:color="auto" w:sz="6" w:space="0"/>
              <w:bottom w:val="single" w:color="auto" w:sz="6" w:space="0"/>
              <w:right w:val="single" w:color="auto" w:sz="6" w:space="0"/>
            </w:tcBorders>
            <w:shd w:val="clear" w:color="auto" w:fill="FFFFFF"/>
          </w:tcPr>
          <w:p w14:paraId="01171E70">
            <w:pPr>
              <w:widowControl/>
              <w:spacing w:line="360" w:lineRule="auto"/>
              <w:jc w:val="left"/>
              <w:rPr>
                <w:rFonts w:ascii="宋体" w:hAnsi="宋体" w:eastAsia="宋体" w:cs="Times New Roman"/>
                <w:kern w:val="0"/>
                <w:szCs w:val="21"/>
              </w:rPr>
            </w:pPr>
          </w:p>
        </w:tc>
        <w:tc>
          <w:tcPr>
            <w:tcW w:w="383" w:type="pct"/>
            <w:tcBorders>
              <w:top w:val="single" w:color="auto" w:sz="6" w:space="0"/>
              <w:left w:val="single" w:color="auto" w:sz="6" w:space="0"/>
              <w:bottom w:val="single" w:color="auto" w:sz="6" w:space="0"/>
              <w:right w:val="single" w:color="auto" w:sz="6" w:space="0"/>
            </w:tcBorders>
            <w:shd w:val="clear" w:color="auto" w:fill="FFFFFF"/>
          </w:tcPr>
          <w:p w14:paraId="05608B7D">
            <w:pPr>
              <w:widowControl/>
              <w:spacing w:line="360" w:lineRule="auto"/>
              <w:jc w:val="left"/>
              <w:rPr>
                <w:rFonts w:ascii="宋体" w:hAnsi="宋体" w:eastAsia="宋体" w:cs="Times New Roman"/>
                <w:kern w:val="0"/>
                <w:szCs w:val="21"/>
              </w:rPr>
            </w:pPr>
          </w:p>
        </w:tc>
        <w:tc>
          <w:tcPr>
            <w:tcW w:w="434" w:type="pct"/>
            <w:tcBorders>
              <w:top w:val="single" w:color="auto" w:sz="6" w:space="0"/>
              <w:left w:val="single" w:color="auto" w:sz="6" w:space="0"/>
              <w:bottom w:val="single" w:color="auto" w:sz="6" w:space="0"/>
              <w:right w:val="single" w:color="auto" w:sz="6" w:space="0"/>
            </w:tcBorders>
            <w:shd w:val="clear" w:color="auto" w:fill="FFFFFF"/>
          </w:tcPr>
          <w:p w14:paraId="286B6F29">
            <w:pPr>
              <w:widowControl/>
              <w:spacing w:line="360" w:lineRule="auto"/>
              <w:jc w:val="left"/>
              <w:rPr>
                <w:rFonts w:ascii="宋体" w:hAnsi="宋体" w:eastAsia="宋体" w:cs="Times New Roman"/>
                <w:kern w:val="0"/>
                <w:szCs w:val="21"/>
              </w:rPr>
            </w:pPr>
          </w:p>
        </w:tc>
        <w:tc>
          <w:tcPr>
            <w:tcW w:w="358" w:type="pct"/>
            <w:tcBorders>
              <w:top w:val="single" w:color="auto" w:sz="6" w:space="0"/>
              <w:left w:val="single" w:color="auto" w:sz="6" w:space="0"/>
              <w:bottom w:val="single" w:color="auto" w:sz="6" w:space="0"/>
              <w:right w:val="single" w:color="auto" w:sz="6" w:space="0"/>
            </w:tcBorders>
            <w:shd w:val="clear" w:color="auto" w:fill="FFFFFF"/>
          </w:tcPr>
          <w:p w14:paraId="4A439191">
            <w:pPr>
              <w:widowControl/>
              <w:spacing w:line="360" w:lineRule="auto"/>
              <w:jc w:val="left"/>
              <w:rPr>
                <w:rFonts w:ascii="宋体" w:hAnsi="宋体" w:eastAsia="宋体" w:cs="Times New Roman"/>
                <w:kern w:val="0"/>
                <w:szCs w:val="21"/>
              </w:rPr>
            </w:pPr>
          </w:p>
        </w:tc>
        <w:tc>
          <w:tcPr>
            <w:tcW w:w="370" w:type="pct"/>
            <w:tcBorders>
              <w:top w:val="single" w:color="auto" w:sz="6" w:space="0"/>
              <w:left w:val="single" w:color="auto" w:sz="6" w:space="0"/>
              <w:bottom w:val="single" w:color="auto" w:sz="6" w:space="0"/>
              <w:right w:val="single" w:color="auto" w:sz="6" w:space="0"/>
            </w:tcBorders>
            <w:shd w:val="clear" w:color="auto" w:fill="FFFFFF"/>
          </w:tcPr>
          <w:p w14:paraId="38DCE2F2">
            <w:pPr>
              <w:widowControl/>
              <w:spacing w:line="360" w:lineRule="auto"/>
              <w:jc w:val="left"/>
              <w:rPr>
                <w:rFonts w:ascii="宋体" w:hAnsi="宋体" w:eastAsia="宋体" w:cs="Times New Roman"/>
                <w:kern w:val="0"/>
                <w:szCs w:val="21"/>
              </w:rPr>
            </w:pPr>
          </w:p>
        </w:tc>
        <w:tc>
          <w:tcPr>
            <w:tcW w:w="441" w:type="pct"/>
            <w:tcBorders>
              <w:top w:val="single" w:color="auto" w:sz="6" w:space="0"/>
              <w:left w:val="single" w:color="auto" w:sz="6" w:space="0"/>
              <w:bottom w:val="single" w:color="auto" w:sz="6" w:space="0"/>
              <w:right w:val="single" w:color="auto" w:sz="12" w:space="0"/>
            </w:tcBorders>
            <w:shd w:val="clear" w:color="auto" w:fill="FFFFFF"/>
          </w:tcPr>
          <w:p w14:paraId="7D195A7D">
            <w:pPr>
              <w:widowControl/>
              <w:spacing w:line="360" w:lineRule="auto"/>
              <w:jc w:val="left"/>
              <w:rPr>
                <w:rFonts w:ascii="宋体" w:hAnsi="宋体" w:eastAsia="宋体" w:cs="Times New Roman"/>
                <w:kern w:val="0"/>
                <w:szCs w:val="21"/>
              </w:rPr>
            </w:pPr>
          </w:p>
        </w:tc>
      </w:tr>
      <w:tr w14:paraId="04977E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3" w:hRule="atLeast"/>
        </w:trPr>
        <w:tc>
          <w:tcPr>
            <w:tcW w:w="222" w:type="pct"/>
            <w:tcBorders>
              <w:top w:val="single" w:color="auto" w:sz="6" w:space="0"/>
              <w:left w:val="single" w:color="auto" w:sz="12" w:space="0"/>
              <w:bottom w:val="single" w:color="auto" w:sz="6" w:space="0"/>
              <w:right w:val="single" w:color="auto" w:sz="6" w:space="0"/>
            </w:tcBorders>
            <w:shd w:val="clear" w:color="auto" w:fill="FFFFFF"/>
            <w:vAlign w:val="center"/>
          </w:tcPr>
          <w:p w14:paraId="734CC607">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2</w:t>
            </w:r>
          </w:p>
        </w:tc>
        <w:tc>
          <w:tcPr>
            <w:tcW w:w="1185" w:type="pct"/>
            <w:tcBorders>
              <w:top w:val="single" w:color="auto" w:sz="6" w:space="0"/>
              <w:left w:val="single" w:color="auto" w:sz="6" w:space="0"/>
              <w:bottom w:val="single" w:color="auto" w:sz="6" w:space="0"/>
              <w:right w:val="single" w:color="auto" w:sz="6" w:space="0"/>
            </w:tcBorders>
            <w:shd w:val="clear" w:color="auto" w:fill="FFFFFF"/>
          </w:tcPr>
          <w:p w14:paraId="12CC77F4">
            <w:pPr>
              <w:widowControl/>
              <w:spacing w:line="360" w:lineRule="auto"/>
              <w:jc w:val="center"/>
              <w:rPr>
                <w:rFonts w:ascii="宋体" w:hAnsi="宋体" w:eastAsia="宋体" w:cs="Times New Roman"/>
                <w:kern w:val="0"/>
                <w:szCs w:val="21"/>
              </w:rPr>
            </w:pPr>
          </w:p>
        </w:tc>
        <w:tc>
          <w:tcPr>
            <w:tcW w:w="356" w:type="pct"/>
            <w:tcBorders>
              <w:top w:val="single" w:color="auto" w:sz="6" w:space="0"/>
              <w:left w:val="single" w:color="auto" w:sz="6" w:space="0"/>
              <w:bottom w:val="single" w:color="auto" w:sz="6" w:space="0"/>
              <w:right w:val="single" w:color="auto" w:sz="6" w:space="0"/>
            </w:tcBorders>
            <w:shd w:val="clear" w:color="auto" w:fill="FFFFFF"/>
          </w:tcPr>
          <w:p w14:paraId="7DF6D061">
            <w:pPr>
              <w:widowControl/>
              <w:spacing w:line="360" w:lineRule="auto"/>
              <w:jc w:val="left"/>
              <w:rPr>
                <w:rFonts w:ascii="宋体" w:hAnsi="宋体" w:eastAsia="宋体" w:cs="Times New Roman"/>
                <w:kern w:val="0"/>
                <w:szCs w:val="21"/>
              </w:rPr>
            </w:pPr>
          </w:p>
        </w:tc>
        <w:tc>
          <w:tcPr>
            <w:tcW w:w="471" w:type="pct"/>
            <w:tcBorders>
              <w:top w:val="single" w:color="auto" w:sz="6" w:space="0"/>
              <w:left w:val="single" w:color="auto" w:sz="6" w:space="0"/>
              <w:bottom w:val="single" w:color="auto" w:sz="6" w:space="0"/>
              <w:right w:val="single" w:color="auto" w:sz="6" w:space="0"/>
            </w:tcBorders>
            <w:shd w:val="clear" w:color="auto" w:fill="FFFFFF"/>
          </w:tcPr>
          <w:p w14:paraId="2ABFD617">
            <w:pPr>
              <w:widowControl/>
              <w:spacing w:line="360" w:lineRule="auto"/>
              <w:jc w:val="left"/>
              <w:rPr>
                <w:rFonts w:ascii="宋体" w:hAnsi="宋体" w:eastAsia="宋体" w:cs="Times New Roman"/>
                <w:kern w:val="0"/>
                <w:szCs w:val="21"/>
              </w:rPr>
            </w:pPr>
          </w:p>
        </w:tc>
        <w:tc>
          <w:tcPr>
            <w:tcW w:w="345" w:type="pct"/>
            <w:tcBorders>
              <w:top w:val="single" w:color="auto" w:sz="6" w:space="0"/>
              <w:left w:val="single" w:color="auto" w:sz="6" w:space="0"/>
              <w:bottom w:val="single" w:color="auto" w:sz="6" w:space="0"/>
              <w:right w:val="single" w:color="auto" w:sz="6" w:space="0"/>
            </w:tcBorders>
            <w:shd w:val="clear" w:color="auto" w:fill="FFFFFF"/>
          </w:tcPr>
          <w:p w14:paraId="6D1E0545">
            <w:pPr>
              <w:widowControl/>
              <w:spacing w:line="360" w:lineRule="auto"/>
              <w:jc w:val="left"/>
              <w:rPr>
                <w:rFonts w:ascii="宋体" w:hAnsi="宋体" w:eastAsia="宋体" w:cs="Times New Roman"/>
                <w:kern w:val="0"/>
                <w:szCs w:val="21"/>
              </w:rPr>
            </w:pPr>
          </w:p>
        </w:tc>
        <w:tc>
          <w:tcPr>
            <w:tcW w:w="434" w:type="pct"/>
            <w:tcBorders>
              <w:top w:val="single" w:color="auto" w:sz="6" w:space="0"/>
              <w:left w:val="single" w:color="auto" w:sz="6" w:space="0"/>
              <w:bottom w:val="single" w:color="auto" w:sz="6" w:space="0"/>
              <w:right w:val="single" w:color="auto" w:sz="6" w:space="0"/>
            </w:tcBorders>
            <w:shd w:val="clear" w:color="auto" w:fill="FFFFFF"/>
          </w:tcPr>
          <w:p w14:paraId="6B7DE804">
            <w:pPr>
              <w:widowControl/>
              <w:spacing w:line="360" w:lineRule="auto"/>
              <w:jc w:val="left"/>
              <w:rPr>
                <w:rFonts w:ascii="宋体" w:hAnsi="宋体" w:eastAsia="宋体" w:cs="Times New Roman"/>
                <w:kern w:val="0"/>
                <w:szCs w:val="21"/>
              </w:rPr>
            </w:pPr>
          </w:p>
        </w:tc>
        <w:tc>
          <w:tcPr>
            <w:tcW w:w="383" w:type="pct"/>
            <w:tcBorders>
              <w:top w:val="single" w:color="auto" w:sz="6" w:space="0"/>
              <w:left w:val="single" w:color="auto" w:sz="6" w:space="0"/>
              <w:bottom w:val="single" w:color="auto" w:sz="6" w:space="0"/>
              <w:right w:val="single" w:color="auto" w:sz="6" w:space="0"/>
            </w:tcBorders>
            <w:shd w:val="clear" w:color="auto" w:fill="FFFFFF"/>
          </w:tcPr>
          <w:p w14:paraId="0735F860">
            <w:pPr>
              <w:widowControl/>
              <w:spacing w:line="360" w:lineRule="auto"/>
              <w:jc w:val="left"/>
              <w:rPr>
                <w:rFonts w:ascii="宋体" w:hAnsi="宋体" w:eastAsia="宋体" w:cs="Times New Roman"/>
                <w:kern w:val="0"/>
                <w:szCs w:val="21"/>
              </w:rPr>
            </w:pPr>
          </w:p>
        </w:tc>
        <w:tc>
          <w:tcPr>
            <w:tcW w:w="434" w:type="pct"/>
            <w:tcBorders>
              <w:top w:val="single" w:color="auto" w:sz="6" w:space="0"/>
              <w:left w:val="single" w:color="auto" w:sz="6" w:space="0"/>
              <w:bottom w:val="single" w:color="auto" w:sz="6" w:space="0"/>
              <w:right w:val="single" w:color="auto" w:sz="6" w:space="0"/>
            </w:tcBorders>
            <w:shd w:val="clear" w:color="auto" w:fill="FFFFFF"/>
          </w:tcPr>
          <w:p w14:paraId="109F7E83">
            <w:pPr>
              <w:widowControl/>
              <w:spacing w:line="360" w:lineRule="auto"/>
              <w:jc w:val="left"/>
              <w:rPr>
                <w:rFonts w:ascii="宋体" w:hAnsi="宋体" w:eastAsia="宋体" w:cs="Times New Roman"/>
                <w:kern w:val="0"/>
                <w:szCs w:val="21"/>
              </w:rPr>
            </w:pPr>
          </w:p>
        </w:tc>
        <w:tc>
          <w:tcPr>
            <w:tcW w:w="358" w:type="pct"/>
            <w:tcBorders>
              <w:top w:val="single" w:color="auto" w:sz="6" w:space="0"/>
              <w:left w:val="single" w:color="auto" w:sz="6" w:space="0"/>
              <w:bottom w:val="single" w:color="auto" w:sz="6" w:space="0"/>
              <w:right w:val="single" w:color="auto" w:sz="6" w:space="0"/>
            </w:tcBorders>
            <w:shd w:val="clear" w:color="auto" w:fill="FFFFFF"/>
          </w:tcPr>
          <w:p w14:paraId="2474E179">
            <w:pPr>
              <w:widowControl/>
              <w:spacing w:line="360" w:lineRule="auto"/>
              <w:jc w:val="left"/>
              <w:rPr>
                <w:rFonts w:ascii="宋体" w:hAnsi="宋体" w:eastAsia="宋体" w:cs="Times New Roman"/>
                <w:kern w:val="0"/>
                <w:szCs w:val="21"/>
              </w:rPr>
            </w:pPr>
          </w:p>
        </w:tc>
        <w:tc>
          <w:tcPr>
            <w:tcW w:w="370" w:type="pct"/>
            <w:tcBorders>
              <w:top w:val="single" w:color="auto" w:sz="6" w:space="0"/>
              <w:left w:val="single" w:color="auto" w:sz="6" w:space="0"/>
              <w:bottom w:val="single" w:color="auto" w:sz="6" w:space="0"/>
              <w:right w:val="single" w:color="auto" w:sz="6" w:space="0"/>
            </w:tcBorders>
            <w:shd w:val="clear" w:color="auto" w:fill="FFFFFF"/>
          </w:tcPr>
          <w:p w14:paraId="417066A9">
            <w:pPr>
              <w:widowControl/>
              <w:spacing w:line="360" w:lineRule="auto"/>
              <w:jc w:val="left"/>
              <w:rPr>
                <w:rFonts w:ascii="宋体" w:hAnsi="宋体" w:eastAsia="宋体" w:cs="Times New Roman"/>
                <w:kern w:val="0"/>
                <w:szCs w:val="21"/>
              </w:rPr>
            </w:pPr>
          </w:p>
        </w:tc>
        <w:tc>
          <w:tcPr>
            <w:tcW w:w="441" w:type="pct"/>
            <w:tcBorders>
              <w:top w:val="single" w:color="auto" w:sz="6" w:space="0"/>
              <w:left w:val="single" w:color="auto" w:sz="6" w:space="0"/>
              <w:bottom w:val="single" w:color="auto" w:sz="6" w:space="0"/>
              <w:right w:val="single" w:color="auto" w:sz="12" w:space="0"/>
            </w:tcBorders>
            <w:shd w:val="clear" w:color="auto" w:fill="FFFFFF"/>
          </w:tcPr>
          <w:p w14:paraId="77B9D0FE">
            <w:pPr>
              <w:widowControl/>
              <w:spacing w:line="360" w:lineRule="auto"/>
              <w:jc w:val="left"/>
              <w:rPr>
                <w:rFonts w:ascii="宋体" w:hAnsi="宋体" w:eastAsia="宋体" w:cs="Times New Roman"/>
                <w:kern w:val="0"/>
                <w:szCs w:val="21"/>
              </w:rPr>
            </w:pPr>
          </w:p>
        </w:tc>
      </w:tr>
      <w:tr w14:paraId="07290A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3" w:hRule="atLeast"/>
        </w:trPr>
        <w:tc>
          <w:tcPr>
            <w:tcW w:w="222" w:type="pct"/>
            <w:tcBorders>
              <w:top w:val="single" w:color="auto" w:sz="6" w:space="0"/>
              <w:left w:val="single" w:color="auto" w:sz="12" w:space="0"/>
              <w:bottom w:val="single" w:color="auto" w:sz="6" w:space="0"/>
              <w:right w:val="single" w:color="auto" w:sz="6" w:space="0"/>
            </w:tcBorders>
            <w:shd w:val="clear" w:color="auto" w:fill="FFFFFF"/>
            <w:vAlign w:val="center"/>
          </w:tcPr>
          <w:p w14:paraId="57B9316C">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3</w:t>
            </w:r>
          </w:p>
        </w:tc>
        <w:tc>
          <w:tcPr>
            <w:tcW w:w="1185" w:type="pct"/>
            <w:tcBorders>
              <w:top w:val="single" w:color="auto" w:sz="6" w:space="0"/>
              <w:left w:val="single" w:color="auto" w:sz="6" w:space="0"/>
              <w:bottom w:val="single" w:color="auto" w:sz="6" w:space="0"/>
              <w:right w:val="single" w:color="auto" w:sz="6" w:space="0"/>
            </w:tcBorders>
            <w:shd w:val="clear" w:color="auto" w:fill="FFFFFF"/>
          </w:tcPr>
          <w:p w14:paraId="3608338E">
            <w:pPr>
              <w:widowControl/>
              <w:spacing w:line="360" w:lineRule="auto"/>
              <w:jc w:val="center"/>
              <w:rPr>
                <w:rFonts w:ascii="宋体" w:hAnsi="宋体" w:eastAsia="宋体" w:cs="Times New Roman"/>
                <w:kern w:val="0"/>
                <w:szCs w:val="21"/>
              </w:rPr>
            </w:pPr>
          </w:p>
        </w:tc>
        <w:tc>
          <w:tcPr>
            <w:tcW w:w="356" w:type="pct"/>
            <w:tcBorders>
              <w:top w:val="single" w:color="auto" w:sz="6" w:space="0"/>
              <w:left w:val="single" w:color="auto" w:sz="6" w:space="0"/>
              <w:bottom w:val="single" w:color="auto" w:sz="6" w:space="0"/>
              <w:right w:val="single" w:color="auto" w:sz="6" w:space="0"/>
            </w:tcBorders>
            <w:shd w:val="clear" w:color="auto" w:fill="FFFFFF"/>
          </w:tcPr>
          <w:p w14:paraId="15C2016F">
            <w:pPr>
              <w:widowControl/>
              <w:spacing w:line="360" w:lineRule="auto"/>
              <w:jc w:val="left"/>
              <w:rPr>
                <w:rFonts w:ascii="宋体" w:hAnsi="宋体" w:eastAsia="宋体" w:cs="Times New Roman"/>
                <w:kern w:val="0"/>
                <w:szCs w:val="21"/>
              </w:rPr>
            </w:pPr>
          </w:p>
        </w:tc>
        <w:tc>
          <w:tcPr>
            <w:tcW w:w="471" w:type="pct"/>
            <w:tcBorders>
              <w:top w:val="single" w:color="auto" w:sz="6" w:space="0"/>
              <w:left w:val="single" w:color="auto" w:sz="6" w:space="0"/>
              <w:bottom w:val="single" w:color="auto" w:sz="6" w:space="0"/>
              <w:right w:val="single" w:color="auto" w:sz="6" w:space="0"/>
            </w:tcBorders>
            <w:shd w:val="clear" w:color="auto" w:fill="FFFFFF"/>
          </w:tcPr>
          <w:p w14:paraId="5F616648">
            <w:pPr>
              <w:widowControl/>
              <w:spacing w:line="360" w:lineRule="auto"/>
              <w:jc w:val="left"/>
              <w:rPr>
                <w:rFonts w:ascii="宋体" w:hAnsi="宋体" w:eastAsia="宋体" w:cs="Times New Roman"/>
                <w:kern w:val="0"/>
                <w:szCs w:val="21"/>
              </w:rPr>
            </w:pPr>
          </w:p>
        </w:tc>
        <w:tc>
          <w:tcPr>
            <w:tcW w:w="345" w:type="pct"/>
            <w:tcBorders>
              <w:top w:val="single" w:color="auto" w:sz="6" w:space="0"/>
              <w:left w:val="single" w:color="auto" w:sz="6" w:space="0"/>
              <w:bottom w:val="single" w:color="auto" w:sz="6" w:space="0"/>
              <w:right w:val="single" w:color="auto" w:sz="6" w:space="0"/>
            </w:tcBorders>
            <w:shd w:val="clear" w:color="auto" w:fill="FFFFFF"/>
          </w:tcPr>
          <w:p w14:paraId="5EA90A68">
            <w:pPr>
              <w:widowControl/>
              <w:spacing w:line="360" w:lineRule="auto"/>
              <w:jc w:val="left"/>
              <w:rPr>
                <w:rFonts w:ascii="宋体" w:hAnsi="宋体" w:eastAsia="宋体" w:cs="Times New Roman"/>
                <w:kern w:val="0"/>
                <w:szCs w:val="21"/>
              </w:rPr>
            </w:pPr>
          </w:p>
        </w:tc>
        <w:tc>
          <w:tcPr>
            <w:tcW w:w="434" w:type="pct"/>
            <w:tcBorders>
              <w:top w:val="single" w:color="auto" w:sz="6" w:space="0"/>
              <w:left w:val="single" w:color="auto" w:sz="6" w:space="0"/>
              <w:bottom w:val="single" w:color="auto" w:sz="6" w:space="0"/>
              <w:right w:val="single" w:color="auto" w:sz="6" w:space="0"/>
            </w:tcBorders>
            <w:shd w:val="clear" w:color="auto" w:fill="FFFFFF"/>
          </w:tcPr>
          <w:p w14:paraId="226F159D">
            <w:pPr>
              <w:widowControl/>
              <w:spacing w:line="360" w:lineRule="auto"/>
              <w:jc w:val="left"/>
              <w:rPr>
                <w:rFonts w:ascii="宋体" w:hAnsi="宋体" w:eastAsia="宋体" w:cs="Times New Roman"/>
                <w:kern w:val="0"/>
                <w:szCs w:val="21"/>
              </w:rPr>
            </w:pPr>
          </w:p>
        </w:tc>
        <w:tc>
          <w:tcPr>
            <w:tcW w:w="383" w:type="pct"/>
            <w:tcBorders>
              <w:top w:val="single" w:color="auto" w:sz="6" w:space="0"/>
              <w:left w:val="single" w:color="auto" w:sz="6" w:space="0"/>
              <w:bottom w:val="single" w:color="auto" w:sz="6" w:space="0"/>
              <w:right w:val="single" w:color="auto" w:sz="6" w:space="0"/>
            </w:tcBorders>
            <w:shd w:val="clear" w:color="auto" w:fill="FFFFFF"/>
          </w:tcPr>
          <w:p w14:paraId="2D632DD6">
            <w:pPr>
              <w:widowControl/>
              <w:spacing w:line="360" w:lineRule="auto"/>
              <w:jc w:val="left"/>
              <w:rPr>
                <w:rFonts w:ascii="宋体" w:hAnsi="宋体" w:eastAsia="宋体" w:cs="Times New Roman"/>
                <w:kern w:val="0"/>
                <w:szCs w:val="21"/>
              </w:rPr>
            </w:pPr>
          </w:p>
        </w:tc>
        <w:tc>
          <w:tcPr>
            <w:tcW w:w="434" w:type="pct"/>
            <w:tcBorders>
              <w:top w:val="single" w:color="auto" w:sz="6" w:space="0"/>
              <w:left w:val="single" w:color="auto" w:sz="6" w:space="0"/>
              <w:bottom w:val="single" w:color="auto" w:sz="6" w:space="0"/>
              <w:right w:val="single" w:color="auto" w:sz="6" w:space="0"/>
            </w:tcBorders>
            <w:shd w:val="clear" w:color="auto" w:fill="FFFFFF"/>
          </w:tcPr>
          <w:p w14:paraId="540826EA">
            <w:pPr>
              <w:widowControl/>
              <w:spacing w:line="360" w:lineRule="auto"/>
              <w:jc w:val="left"/>
              <w:rPr>
                <w:rFonts w:ascii="宋体" w:hAnsi="宋体" w:eastAsia="宋体" w:cs="Times New Roman"/>
                <w:kern w:val="0"/>
                <w:szCs w:val="21"/>
              </w:rPr>
            </w:pPr>
          </w:p>
        </w:tc>
        <w:tc>
          <w:tcPr>
            <w:tcW w:w="358" w:type="pct"/>
            <w:tcBorders>
              <w:top w:val="single" w:color="auto" w:sz="6" w:space="0"/>
              <w:left w:val="single" w:color="auto" w:sz="6" w:space="0"/>
              <w:bottom w:val="single" w:color="auto" w:sz="6" w:space="0"/>
              <w:right w:val="single" w:color="auto" w:sz="6" w:space="0"/>
            </w:tcBorders>
            <w:shd w:val="clear" w:color="auto" w:fill="FFFFFF"/>
          </w:tcPr>
          <w:p w14:paraId="1079ED46">
            <w:pPr>
              <w:widowControl/>
              <w:spacing w:line="360" w:lineRule="auto"/>
              <w:jc w:val="left"/>
              <w:rPr>
                <w:rFonts w:ascii="宋体" w:hAnsi="宋体" w:eastAsia="宋体" w:cs="Times New Roman"/>
                <w:kern w:val="0"/>
                <w:szCs w:val="21"/>
              </w:rPr>
            </w:pPr>
          </w:p>
        </w:tc>
        <w:tc>
          <w:tcPr>
            <w:tcW w:w="370" w:type="pct"/>
            <w:tcBorders>
              <w:top w:val="single" w:color="auto" w:sz="6" w:space="0"/>
              <w:left w:val="single" w:color="auto" w:sz="6" w:space="0"/>
              <w:bottom w:val="single" w:color="auto" w:sz="6" w:space="0"/>
              <w:right w:val="single" w:color="auto" w:sz="6" w:space="0"/>
            </w:tcBorders>
            <w:shd w:val="clear" w:color="auto" w:fill="FFFFFF"/>
          </w:tcPr>
          <w:p w14:paraId="1234F315">
            <w:pPr>
              <w:widowControl/>
              <w:spacing w:line="360" w:lineRule="auto"/>
              <w:jc w:val="left"/>
              <w:rPr>
                <w:rFonts w:ascii="宋体" w:hAnsi="宋体" w:eastAsia="宋体" w:cs="Times New Roman"/>
                <w:kern w:val="0"/>
                <w:szCs w:val="21"/>
              </w:rPr>
            </w:pPr>
          </w:p>
        </w:tc>
        <w:tc>
          <w:tcPr>
            <w:tcW w:w="441" w:type="pct"/>
            <w:tcBorders>
              <w:top w:val="single" w:color="auto" w:sz="6" w:space="0"/>
              <w:left w:val="single" w:color="auto" w:sz="6" w:space="0"/>
              <w:bottom w:val="single" w:color="auto" w:sz="6" w:space="0"/>
              <w:right w:val="single" w:color="auto" w:sz="12" w:space="0"/>
            </w:tcBorders>
            <w:shd w:val="clear" w:color="auto" w:fill="FFFFFF"/>
          </w:tcPr>
          <w:p w14:paraId="34079572">
            <w:pPr>
              <w:widowControl/>
              <w:spacing w:line="360" w:lineRule="auto"/>
              <w:jc w:val="left"/>
              <w:rPr>
                <w:rFonts w:ascii="宋体" w:hAnsi="宋体" w:eastAsia="宋体" w:cs="Times New Roman"/>
                <w:kern w:val="0"/>
                <w:szCs w:val="21"/>
              </w:rPr>
            </w:pPr>
          </w:p>
        </w:tc>
      </w:tr>
      <w:tr w14:paraId="214172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3" w:hRule="atLeast"/>
        </w:trPr>
        <w:tc>
          <w:tcPr>
            <w:tcW w:w="222" w:type="pct"/>
            <w:tcBorders>
              <w:top w:val="single" w:color="auto" w:sz="6" w:space="0"/>
              <w:left w:val="single" w:color="auto" w:sz="12" w:space="0"/>
              <w:bottom w:val="single" w:color="auto" w:sz="6" w:space="0"/>
              <w:right w:val="single" w:color="auto" w:sz="6" w:space="0"/>
            </w:tcBorders>
            <w:shd w:val="clear" w:color="auto" w:fill="FFFFFF"/>
            <w:vAlign w:val="center"/>
          </w:tcPr>
          <w:p w14:paraId="0D3A611F">
            <w:pPr>
              <w:widowControl/>
              <w:spacing w:line="360" w:lineRule="auto"/>
              <w:jc w:val="center"/>
              <w:rPr>
                <w:rFonts w:ascii="宋体" w:hAnsi="宋体" w:eastAsia="宋体" w:cs="Times New Roman"/>
                <w:kern w:val="0"/>
                <w:szCs w:val="21"/>
              </w:rPr>
            </w:pPr>
            <w:r>
              <w:rPr>
                <w:rFonts w:hint="eastAsia" w:ascii="宋体" w:hAnsi="宋体" w:eastAsia="宋体" w:cs="Times New Roman"/>
                <w:kern w:val="0"/>
                <w:szCs w:val="21"/>
              </w:rPr>
              <w:t>4</w:t>
            </w:r>
          </w:p>
        </w:tc>
        <w:tc>
          <w:tcPr>
            <w:tcW w:w="1185" w:type="pct"/>
            <w:tcBorders>
              <w:top w:val="single" w:color="auto" w:sz="6" w:space="0"/>
              <w:left w:val="single" w:color="auto" w:sz="6" w:space="0"/>
              <w:bottom w:val="single" w:color="auto" w:sz="6" w:space="0"/>
              <w:right w:val="single" w:color="auto" w:sz="6" w:space="0"/>
            </w:tcBorders>
            <w:shd w:val="clear" w:color="auto" w:fill="FFFFFF"/>
          </w:tcPr>
          <w:p w14:paraId="62D9B21F">
            <w:pPr>
              <w:widowControl/>
              <w:spacing w:line="360" w:lineRule="auto"/>
              <w:jc w:val="center"/>
              <w:rPr>
                <w:rFonts w:ascii="宋体" w:hAnsi="宋体" w:eastAsia="宋体" w:cs="Times New Roman"/>
                <w:kern w:val="0"/>
                <w:szCs w:val="21"/>
              </w:rPr>
            </w:pPr>
          </w:p>
        </w:tc>
        <w:tc>
          <w:tcPr>
            <w:tcW w:w="356" w:type="pct"/>
            <w:tcBorders>
              <w:top w:val="single" w:color="auto" w:sz="6" w:space="0"/>
              <w:left w:val="single" w:color="auto" w:sz="6" w:space="0"/>
              <w:bottom w:val="single" w:color="auto" w:sz="6" w:space="0"/>
              <w:right w:val="single" w:color="auto" w:sz="6" w:space="0"/>
            </w:tcBorders>
            <w:shd w:val="clear" w:color="auto" w:fill="FFFFFF"/>
          </w:tcPr>
          <w:p w14:paraId="384213F9">
            <w:pPr>
              <w:widowControl/>
              <w:spacing w:line="360" w:lineRule="auto"/>
              <w:jc w:val="left"/>
              <w:rPr>
                <w:rFonts w:ascii="宋体" w:hAnsi="宋体" w:eastAsia="宋体" w:cs="Times New Roman"/>
                <w:kern w:val="0"/>
                <w:szCs w:val="21"/>
              </w:rPr>
            </w:pPr>
          </w:p>
        </w:tc>
        <w:tc>
          <w:tcPr>
            <w:tcW w:w="471" w:type="pct"/>
            <w:tcBorders>
              <w:top w:val="single" w:color="auto" w:sz="6" w:space="0"/>
              <w:left w:val="single" w:color="auto" w:sz="6" w:space="0"/>
              <w:bottom w:val="single" w:color="auto" w:sz="6" w:space="0"/>
              <w:right w:val="single" w:color="auto" w:sz="6" w:space="0"/>
            </w:tcBorders>
            <w:shd w:val="clear" w:color="auto" w:fill="FFFFFF"/>
          </w:tcPr>
          <w:p w14:paraId="1D2D7383">
            <w:pPr>
              <w:widowControl/>
              <w:spacing w:line="360" w:lineRule="auto"/>
              <w:jc w:val="left"/>
              <w:rPr>
                <w:rFonts w:ascii="宋体" w:hAnsi="宋体" w:eastAsia="宋体" w:cs="Times New Roman"/>
                <w:kern w:val="0"/>
                <w:szCs w:val="21"/>
              </w:rPr>
            </w:pPr>
          </w:p>
        </w:tc>
        <w:tc>
          <w:tcPr>
            <w:tcW w:w="345" w:type="pct"/>
            <w:tcBorders>
              <w:top w:val="single" w:color="auto" w:sz="6" w:space="0"/>
              <w:left w:val="single" w:color="auto" w:sz="6" w:space="0"/>
              <w:bottom w:val="single" w:color="auto" w:sz="6" w:space="0"/>
              <w:right w:val="single" w:color="auto" w:sz="6" w:space="0"/>
            </w:tcBorders>
            <w:shd w:val="clear" w:color="auto" w:fill="FFFFFF"/>
          </w:tcPr>
          <w:p w14:paraId="45E7C2C4">
            <w:pPr>
              <w:widowControl/>
              <w:spacing w:line="360" w:lineRule="auto"/>
              <w:jc w:val="left"/>
              <w:rPr>
                <w:rFonts w:ascii="宋体" w:hAnsi="宋体" w:eastAsia="宋体" w:cs="Times New Roman"/>
                <w:kern w:val="0"/>
                <w:szCs w:val="21"/>
              </w:rPr>
            </w:pPr>
          </w:p>
        </w:tc>
        <w:tc>
          <w:tcPr>
            <w:tcW w:w="434" w:type="pct"/>
            <w:tcBorders>
              <w:top w:val="single" w:color="auto" w:sz="6" w:space="0"/>
              <w:left w:val="single" w:color="auto" w:sz="6" w:space="0"/>
              <w:bottom w:val="single" w:color="auto" w:sz="6" w:space="0"/>
              <w:right w:val="single" w:color="auto" w:sz="6" w:space="0"/>
            </w:tcBorders>
            <w:shd w:val="clear" w:color="auto" w:fill="FFFFFF"/>
          </w:tcPr>
          <w:p w14:paraId="7723F4C0">
            <w:pPr>
              <w:widowControl/>
              <w:spacing w:line="360" w:lineRule="auto"/>
              <w:jc w:val="left"/>
              <w:rPr>
                <w:rFonts w:ascii="宋体" w:hAnsi="宋体" w:eastAsia="宋体" w:cs="Times New Roman"/>
                <w:kern w:val="0"/>
                <w:szCs w:val="21"/>
              </w:rPr>
            </w:pPr>
          </w:p>
        </w:tc>
        <w:tc>
          <w:tcPr>
            <w:tcW w:w="383" w:type="pct"/>
            <w:tcBorders>
              <w:top w:val="single" w:color="auto" w:sz="6" w:space="0"/>
              <w:left w:val="single" w:color="auto" w:sz="6" w:space="0"/>
              <w:bottom w:val="single" w:color="auto" w:sz="6" w:space="0"/>
              <w:right w:val="single" w:color="auto" w:sz="6" w:space="0"/>
            </w:tcBorders>
            <w:shd w:val="clear" w:color="auto" w:fill="FFFFFF"/>
          </w:tcPr>
          <w:p w14:paraId="6CB46B3F">
            <w:pPr>
              <w:widowControl/>
              <w:spacing w:line="360" w:lineRule="auto"/>
              <w:jc w:val="left"/>
              <w:rPr>
                <w:rFonts w:ascii="宋体" w:hAnsi="宋体" w:eastAsia="宋体" w:cs="Times New Roman"/>
                <w:kern w:val="0"/>
                <w:szCs w:val="21"/>
              </w:rPr>
            </w:pPr>
          </w:p>
        </w:tc>
        <w:tc>
          <w:tcPr>
            <w:tcW w:w="434" w:type="pct"/>
            <w:tcBorders>
              <w:top w:val="single" w:color="auto" w:sz="6" w:space="0"/>
              <w:left w:val="single" w:color="auto" w:sz="6" w:space="0"/>
              <w:bottom w:val="single" w:color="auto" w:sz="6" w:space="0"/>
              <w:right w:val="single" w:color="auto" w:sz="6" w:space="0"/>
            </w:tcBorders>
            <w:shd w:val="clear" w:color="auto" w:fill="FFFFFF"/>
          </w:tcPr>
          <w:p w14:paraId="6292AF26">
            <w:pPr>
              <w:widowControl/>
              <w:spacing w:line="360" w:lineRule="auto"/>
              <w:jc w:val="left"/>
              <w:rPr>
                <w:rFonts w:ascii="宋体" w:hAnsi="宋体" w:eastAsia="宋体" w:cs="Times New Roman"/>
                <w:kern w:val="0"/>
                <w:szCs w:val="21"/>
              </w:rPr>
            </w:pPr>
          </w:p>
        </w:tc>
        <w:tc>
          <w:tcPr>
            <w:tcW w:w="358" w:type="pct"/>
            <w:tcBorders>
              <w:top w:val="single" w:color="auto" w:sz="6" w:space="0"/>
              <w:left w:val="single" w:color="auto" w:sz="6" w:space="0"/>
              <w:bottom w:val="single" w:color="auto" w:sz="6" w:space="0"/>
              <w:right w:val="single" w:color="auto" w:sz="6" w:space="0"/>
            </w:tcBorders>
            <w:shd w:val="clear" w:color="auto" w:fill="FFFFFF"/>
          </w:tcPr>
          <w:p w14:paraId="026137E4">
            <w:pPr>
              <w:widowControl/>
              <w:spacing w:line="360" w:lineRule="auto"/>
              <w:jc w:val="left"/>
              <w:rPr>
                <w:rFonts w:ascii="宋体" w:hAnsi="宋体" w:eastAsia="宋体" w:cs="Times New Roman"/>
                <w:kern w:val="0"/>
                <w:szCs w:val="21"/>
              </w:rPr>
            </w:pPr>
          </w:p>
        </w:tc>
        <w:tc>
          <w:tcPr>
            <w:tcW w:w="370" w:type="pct"/>
            <w:tcBorders>
              <w:top w:val="single" w:color="auto" w:sz="6" w:space="0"/>
              <w:left w:val="single" w:color="auto" w:sz="6" w:space="0"/>
              <w:bottom w:val="single" w:color="auto" w:sz="6" w:space="0"/>
              <w:right w:val="single" w:color="auto" w:sz="6" w:space="0"/>
            </w:tcBorders>
            <w:shd w:val="clear" w:color="auto" w:fill="FFFFFF"/>
          </w:tcPr>
          <w:p w14:paraId="1D155866">
            <w:pPr>
              <w:widowControl/>
              <w:spacing w:line="360" w:lineRule="auto"/>
              <w:jc w:val="left"/>
              <w:rPr>
                <w:rFonts w:ascii="宋体" w:hAnsi="宋体" w:eastAsia="宋体" w:cs="Times New Roman"/>
                <w:kern w:val="0"/>
                <w:szCs w:val="21"/>
              </w:rPr>
            </w:pPr>
          </w:p>
        </w:tc>
        <w:tc>
          <w:tcPr>
            <w:tcW w:w="441" w:type="pct"/>
            <w:tcBorders>
              <w:top w:val="single" w:color="auto" w:sz="6" w:space="0"/>
              <w:left w:val="single" w:color="auto" w:sz="6" w:space="0"/>
              <w:bottom w:val="single" w:color="auto" w:sz="6" w:space="0"/>
              <w:right w:val="single" w:color="auto" w:sz="12" w:space="0"/>
            </w:tcBorders>
            <w:shd w:val="clear" w:color="auto" w:fill="FFFFFF"/>
          </w:tcPr>
          <w:p w14:paraId="36468634">
            <w:pPr>
              <w:widowControl/>
              <w:spacing w:line="360" w:lineRule="auto"/>
              <w:jc w:val="left"/>
              <w:rPr>
                <w:rFonts w:ascii="宋体" w:hAnsi="宋体" w:eastAsia="宋体" w:cs="Times New Roman"/>
                <w:kern w:val="0"/>
                <w:szCs w:val="21"/>
              </w:rPr>
            </w:pPr>
          </w:p>
        </w:tc>
      </w:tr>
      <w:tr w14:paraId="7BF33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3" w:hRule="atLeast"/>
        </w:trPr>
        <w:tc>
          <w:tcPr>
            <w:tcW w:w="5000" w:type="pct"/>
            <w:gridSpan w:val="11"/>
            <w:tcBorders>
              <w:top w:val="single" w:color="auto" w:sz="6" w:space="0"/>
              <w:left w:val="single" w:color="auto" w:sz="12" w:space="0"/>
              <w:bottom w:val="single" w:color="auto" w:sz="12" w:space="0"/>
              <w:right w:val="single" w:color="auto" w:sz="12" w:space="0"/>
            </w:tcBorders>
            <w:shd w:val="clear" w:color="auto" w:fill="FFFFFF"/>
            <w:vAlign w:val="center"/>
          </w:tcPr>
          <w:p w14:paraId="6080F20B">
            <w:pPr>
              <w:widowControl/>
              <w:spacing w:line="360" w:lineRule="auto"/>
              <w:jc w:val="left"/>
              <w:rPr>
                <w:rFonts w:ascii="宋体" w:hAnsi="宋体" w:eastAsia="宋体" w:cs="Times New Roman"/>
                <w:kern w:val="0"/>
                <w:szCs w:val="21"/>
              </w:rPr>
            </w:pPr>
            <w:r>
              <w:rPr>
                <w:rFonts w:hint="eastAsia" w:ascii="宋体" w:hAnsi="宋体" w:eastAsia="宋体" w:cs="Times New Roman"/>
                <w:kern w:val="0"/>
                <w:szCs w:val="21"/>
              </w:rPr>
              <w:t>注：打“×”的请说明原因：</w:t>
            </w:r>
          </w:p>
        </w:tc>
      </w:tr>
    </w:tbl>
    <w:p w14:paraId="43210242">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kern w:val="0"/>
          <w:szCs w:val="21"/>
        </w:rPr>
        <w:t xml:space="preserve"> 备注：1、每一项目符合的打“○”，不符合的打“×”；出现一个“×”的结论为不通过。</w:t>
      </w:r>
    </w:p>
    <w:p w14:paraId="08D54158">
      <w:pPr>
        <w:widowControl/>
        <w:ind w:firstLine="630"/>
        <w:jc w:val="left"/>
        <w:rPr>
          <w:rFonts w:hint="eastAsia" w:ascii="宋体" w:hAnsi="宋体" w:eastAsia="宋体" w:cs="Times New Roman"/>
          <w:kern w:val="0"/>
          <w:szCs w:val="21"/>
        </w:rPr>
      </w:pPr>
      <w:r>
        <w:rPr>
          <w:rFonts w:hint="eastAsia" w:ascii="宋体" w:hAnsi="宋体" w:eastAsia="宋体" w:cs="Times New Roman"/>
          <w:kern w:val="0"/>
          <w:szCs w:val="21"/>
        </w:rPr>
        <w:t>2、表中全部条件满足为通过, 同意进入下一阶段评议。</w:t>
      </w:r>
    </w:p>
    <w:p w14:paraId="706E9666">
      <w:pPr>
        <w:widowControl/>
        <w:ind w:firstLine="630"/>
        <w:jc w:val="left"/>
        <w:rPr>
          <w:rFonts w:hint="eastAsia" w:ascii="宋体" w:hAnsi="宋体" w:eastAsia="宋体" w:cs="Times New Roman"/>
          <w:kern w:val="0"/>
          <w:szCs w:val="21"/>
        </w:rPr>
      </w:pPr>
      <w:r>
        <w:rPr>
          <w:rFonts w:hint="eastAsia" w:ascii="宋体" w:hAnsi="宋体" w:eastAsia="宋体" w:cs="Times New Roman"/>
          <w:kern w:val="0"/>
          <w:szCs w:val="21"/>
        </w:rPr>
        <w:t>3、是否通过进入下一阶段评议一栏中应写 “通过”或“不通过”。</w:t>
      </w:r>
    </w:p>
    <w:p w14:paraId="64283698">
      <w:pPr>
        <w:rPr>
          <w:rFonts w:hint="eastAsia" w:ascii="宋体" w:hAnsi="宋体" w:eastAsia="宋体" w:cs="Times New Roman"/>
          <w:kern w:val="0"/>
          <w:szCs w:val="21"/>
        </w:rPr>
      </w:pPr>
      <w:r>
        <w:rPr>
          <w:rFonts w:hint="eastAsia" w:ascii="宋体" w:hAnsi="宋体" w:eastAsia="宋体" w:cs="Times New Roman"/>
          <w:kern w:val="0"/>
          <w:szCs w:val="21"/>
        </w:rPr>
        <w:t>评委签名：                                                                                              日    期：</w:t>
      </w:r>
    </w:p>
    <w:p w14:paraId="43D046E1">
      <w:pPr>
        <w:rPr>
          <w:rFonts w:hint="eastAsia" w:ascii="宋体" w:hAnsi="宋体" w:eastAsia="宋体" w:cs="Times New Roman"/>
          <w:kern w:val="0"/>
          <w:szCs w:val="21"/>
        </w:rPr>
      </w:pPr>
    </w:p>
    <w:p w14:paraId="75B3976D">
      <w:pPr>
        <w:rPr>
          <w:rFonts w:hint="eastAsia" w:ascii="宋体" w:hAnsi="宋体" w:eastAsia="宋体" w:cs="Times New Roman"/>
          <w:kern w:val="0"/>
          <w:szCs w:val="21"/>
        </w:rPr>
      </w:pPr>
    </w:p>
    <w:p w14:paraId="6C21C8DE">
      <w:pPr>
        <w:rPr>
          <w:rFonts w:hint="eastAsia" w:ascii="宋体" w:hAnsi="宋体" w:eastAsia="宋体" w:cs="Times New Roman"/>
          <w:kern w:val="0"/>
          <w:szCs w:val="21"/>
        </w:rPr>
        <w:sectPr>
          <w:pgSz w:w="16838" w:h="11906" w:orient="landscape"/>
          <w:pgMar w:top="1077" w:right="1077" w:bottom="1077" w:left="1077" w:header="851" w:footer="992" w:gutter="0"/>
          <w:cols w:space="425" w:num="1"/>
          <w:docGrid w:type="lines" w:linePitch="312" w:charSpace="0"/>
        </w:sectPr>
      </w:pPr>
    </w:p>
    <w:p w14:paraId="21281EFE">
      <w:pPr>
        <w:keepNext/>
        <w:adjustRightInd w:val="0"/>
        <w:snapToGrid w:val="0"/>
        <w:spacing w:line="360" w:lineRule="auto"/>
        <w:jc w:val="center"/>
        <w:outlineLvl w:val="1"/>
        <w:rPr>
          <w:rFonts w:hint="eastAsia" w:ascii="宋体" w:hAnsi="宋体" w:eastAsia="宋体" w:cs="Arial"/>
          <w:b/>
          <w:kern w:val="0"/>
          <w:szCs w:val="21"/>
        </w:rPr>
      </w:pPr>
      <w:r>
        <w:rPr>
          <w:rFonts w:hint="eastAsia" w:ascii="宋体" w:hAnsi="宋体" w:eastAsia="宋体" w:cs="Arial"/>
          <w:b/>
          <w:kern w:val="0"/>
          <w:sz w:val="32"/>
          <w:szCs w:val="32"/>
          <w:lang w:val="en-US" w:eastAsia="zh-CN"/>
        </w:rPr>
        <w:t>投标文件格式</w:t>
      </w:r>
    </w:p>
    <w:p w14:paraId="477587B7">
      <w:pPr>
        <w:keepNext/>
        <w:adjustRightInd w:val="0"/>
        <w:snapToGrid w:val="0"/>
        <w:jc w:val="center"/>
        <w:outlineLvl w:val="1"/>
        <w:rPr>
          <w:rFonts w:hint="eastAsia" w:ascii="宋体" w:hAnsi="宋体" w:eastAsia="宋体" w:cs="Arial"/>
          <w:b/>
          <w:kern w:val="0"/>
          <w:szCs w:val="21"/>
        </w:rPr>
      </w:pPr>
    </w:p>
    <w:p w14:paraId="27337A34">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rPr>
        <w:t>1</w:t>
      </w:r>
      <w:r>
        <w:rPr>
          <w:rFonts w:hint="eastAsia" w:ascii="宋体" w:hAnsi="宋体" w:eastAsia="宋体" w:cs="Arial"/>
          <w:b/>
          <w:kern w:val="0"/>
          <w:szCs w:val="21"/>
          <w:lang w:val="en-US" w:eastAsia="zh-CN"/>
        </w:rPr>
        <w:t>.</w:t>
      </w:r>
      <w:r>
        <w:rPr>
          <w:rFonts w:hint="eastAsia" w:ascii="宋体" w:hAnsi="宋体" w:eastAsia="宋体" w:cs="Arial"/>
          <w:b/>
          <w:kern w:val="0"/>
          <w:szCs w:val="21"/>
        </w:rPr>
        <w:t>投标函</w:t>
      </w:r>
    </w:p>
    <w:p w14:paraId="7C6857C7">
      <w:pPr>
        <w:widowControl/>
        <w:adjustRightInd w:val="0"/>
        <w:snapToGrid w:val="0"/>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34BF79E">
      <w:pPr>
        <w:widowControl/>
        <w:autoSpaceDE w:val="0"/>
        <w:autoSpaceDN w:val="0"/>
        <w:adjustRightInd w:val="0"/>
        <w:ind w:right="246"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我方确认收到贵方项目名称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采购货物及相关服务的招标文件（项目编号：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w:t>
      </w:r>
      <w:r>
        <w:rPr>
          <w:rFonts w:hint="eastAsia" w:ascii="宋体" w:hAnsi="宋体" w:eastAsia="宋体" w:cs="Times New Roman"/>
          <w:kern w:val="0"/>
          <w:szCs w:val="21"/>
          <w:u w:val="single"/>
        </w:rPr>
        <w:t>(供应商名称、地址)</w:t>
      </w:r>
      <w:r>
        <w:rPr>
          <w:rFonts w:hint="eastAsia" w:ascii="宋体" w:hAnsi="宋体" w:eastAsia="宋体" w:cs="Times New Roman"/>
          <w:kern w:val="0"/>
          <w:szCs w:val="21"/>
        </w:rPr>
        <w:t>作为供应商已正式授权</w:t>
      </w:r>
      <w:r>
        <w:rPr>
          <w:rFonts w:hint="eastAsia" w:ascii="宋体" w:hAnsi="宋体" w:eastAsia="宋体" w:cs="Times New Roman"/>
          <w:kern w:val="0"/>
          <w:szCs w:val="21"/>
          <w:u w:val="single"/>
        </w:rPr>
        <w:t xml:space="preserve"> (被供应商授权代表全名、职务)</w:t>
      </w:r>
      <w:r>
        <w:rPr>
          <w:rFonts w:hint="eastAsia" w:ascii="宋体" w:hAnsi="宋体" w:eastAsia="宋体" w:cs="Times New Roman"/>
          <w:kern w:val="0"/>
          <w:szCs w:val="21"/>
        </w:rPr>
        <w:t>为我方签名代表，签名代表在此声明并同意：</w:t>
      </w:r>
    </w:p>
    <w:p w14:paraId="6060D655">
      <w:pPr>
        <w:widowControl/>
        <w:numPr>
          <w:ilvl w:val="0"/>
          <w:numId w:val="3"/>
        </w:numPr>
        <w:ind w:left="624" w:hanging="624"/>
        <w:jc w:val="left"/>
        <w:rPr>
          <w:rFonts w:hint="eastAsia" w:ascii="宋体" w:hAnsi="宋体" w:eastAsia="宋体" w:cs="Times New Roman"/>
          <w:kern w:val="0"/>
          <w:szCs w:val="21"/>
        </w:rPr>
      </w:pPr>
      <w:r>
        <w:rPr>
          <w:rFonts w:hint="eastAsia" w:ascii="宋体" w:hAnsi="宋体" w:eastAsia="宋体" w:cs="Times New Roman"/>
          <w:kern w:val="0"/>
          <w:szCs w:val="21"/>
        </w:rPr>
        <w:t>同意并接受招标文件的各项要求，遵守招标文件中的各项规定，按招标文件的要求提供报价。</w:t>
      </w:r>
    </w:p>
    <w:p w14:paraId="1ED1E209">
      <w:pPr>
        <w:widowControl/>
        <w:numPr>
          <w:ilvl w:val="0"/>
          <w:numId w:val="3"/>
        </w:numPr>
        <w:ind w:left="624" w:hanging="624"/>
        <w:jc w:val="left"/>
        <w:rPr>
          <w:rFonts w:hint="eastAsia" w:ascii="宋体" w:hAnsi="宋体" w:eastAsia="宋体" w:cs="Times New Roman"/>
          <w:kern w:val="0"/>
          <w:szCs w:val="21"/>
        </w:rPr>
      </w:pPr>
      <w:r>
        <w:rPr>
          <w:rFonts w:hint="eastAsia" w:ascii="宋体" w:hAnsi="宋体" w:eastAsia="宋体" w:cs="Times New Roman"/>
          <w:kern w:val="0"/>
          <w:szCs w:val="21"/>
        </w:rPr>
        <w:t>投标有效期为递交投标文件之日起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天，如中标，有效期将延至合同终止日为止。</w:t>
      </w:r>
    </w:p>
    <w:p w14:paraId="17241661">
      <w:pPr>
        <w:widowControl/>
        <w:numPr>
          <w:ilvl w:val="0"/>
          <w:numId w:val="3"/>
        </w:numPr>
        <w:ind w:left="624" w:hanging="624"/>
        <w:jc w:val="left"/>
        <w:rPr>
          <w:rFonts w:hint="eastAsia" w:ascii="宋体" w:hAnsi="宋体" w:eastAsia="宋体" w:cs="Times New Roman"/>
          <w:kern w:val="0"/>
          <w:szCs w:val="21"/>
        </w:rPr>
      </w:pPr>
      <w:r>
        <w:rPr>
          <w:rFonts w:hint="eastAsia" w:ascii="宋体" w:hAnsi="宋体" w:eastAsia="宋体" w:cs="Times New Roman"/>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3A1B9D83">
      <w:pPr>
        <w:widowControl/>
        <w:numPr>
          <w:ilvl w:val="0"/>
          <w:numId w:val="3"/>
        </w:numPr>
        <w:ind w:left="624" w:hanging="624"/>
        <w:jc w:val="left"/>
        <w:rPr>
          <w:rFonts w:hint="eastAsia" w:ascii="宋体" w:hAnsi="宋体" w:eastAsia="宋体" w:cs="Times New Roman"/>
          <w:kern w:val="0"/>
          <w:szCs w:val="21"/>
        </w:rPr>
      </w:pPr>
      <w:r>
        <w:rPr>
          <w:rFonts w:hint="eastAsia" w:ascii="宋体" w:hAnsi="宋体" w:eastAsia="宋体" w:cs="Times New Roman"/>
          <w:kern w:val="0"/>
          <w:szCs w:val="21"/>
        </w:rPr>
        <w:t>我方已毫无保留地向贵方提供一切所需的证明材料。</w:t>
      </w:r>
    </w:p>
    <w:p w14:paraId="00209684">
      <w:pPr>
        <w:widowControl/>
        <w:numPr>
          <w:ilvl w:val="0"/>
          <w:numId w:val="3"/>
        </w:numPr>
        <w:ind w:left="624" w:hanging="624"/>
        <w:jc w:val="left"/>
        <w:rPr>
          <w:rFonts w:hint="eastAsia" w:ascii="宋体" w:hAnsi="宋体" w:eastAsia="宋体" w:cs="Times New Roman"/>
          <w:kern w:val="0"/>
          <w:szCs w:val="21"/>
        </w:rPr>
      </w:pPr>
      <w:r>
        <w:rPr>
          <w:rFonts w:hint="eastAsia" w:ascii="宋体" w:hAnsi="宋体" w:eastAsia="宋体" w:cs="Times New Roman"/>
          <w:kern w:val="0"/>
          <w:szCs w:val="21"/>
        </w:rPr>
        <w:t>我方承诺在本次投标文件中提供的一切文件，无论是原件还是复印件均为真实和准确的，绝无任何虚假、伪造和夸大的成份，否则，愿承担相应的后果和法律责任。</w:t>
      </w:r>
    </w:p>
    <w:p w14:paraId="3490468A">
      <w:pPr>
        <w:widowControl/>
        <w:numPr>
          <w:ilvl w:val="0"/>
          <w:numId w:val="3"/>
        </w:numPr>
        <w:ind w:left="624" w:hanging="624"/>
        <w:jc w:val="left"/>
        <w:rPr>
          <w:rFonts w:hint="eastAsia" w:ascii="宋体" w:hAnsi="宋体" w:eastAsia="宋体" w:cs="Times New Roman"/>
          <w:kern w:val="0"/>
          <w:szCs w:val="21"/>
        </w:rPr>
      </w:pPr>
      <w:r>
        <w:rPr>
          <w:rFonts w:hint="eastAsia" w:ascii="宋体" w:hAnsi="宋体" w:eastAsia="宋体" w:cs="Times New Roman"/>
          <w:kern w:val="0"/>
          <w:szCs w:val="21"/>
        </w:rPr>
        <w:t>我方完全服从和尊重评委会所作的评定结果，同时清楚理解到报价最低并非意味着必定获得中标资格。</w:t>
      </w:r>
    </w:p>
    <w:p w14:paraId="27DFA085">
      <w:pPr>
        <w:widowControl/>
        <w:numPr>
          <w:ilvl w:val="0"/>
          <w:numId w:val="3"/>
        </w:numPr>
        <w:ind w:left="624" w:hanging="624"/>
        <w:jc w:val="left"/>
        <w:rPr>
          <w:rFonts w:hint="eastAsia" w:ascii="宋体" w:hAnsi="宋体" w:eastAsia="宋体" w:cs="Times New Roman"/>
          <w:kern w:val="0"/>
          <w:szCs w:val="21"/>
        </w:rPr>
      </w:pPr>
      <w:r>
        <w:rPr>
          <w:rFonts w:hint="eastAsia" w:ascii="宋体" w:hAnsi="宋体" w:eastAsia="宋体" w:cs="Times New Roman"/>
          <w:kern w:val="0"/>
          <w:szCs w:val="21"/>
        </w:rPr>
        <w:t>我方未对招标文件全部要求作出实质性响应，则完全同意并接受按无效投标处理</w:t>
      </w:r>
    </w:p>
    <w:p w14:paraId="76F1672A">
      <w:pPr>
        <w:widowControl/>
        <w:numPr>
          <w:ilvl w:val="0"/>
          <w:numId w:val="3"/>
        </w:numPr>
        <w:ind w:left="624" w:hanging="624"/>
        <w:jc w:val="left"/>
        <w:rPr>
          <w:rFonts w:hint="eastAsia" w:ascii="宋体" w:hAnsi="宋体" w:eastAsia="宋体" w:cs="Times New Roman"/>
          <w:kern w:val="0"/>
          <w:szCs w:val="21"/>
        </w:rPr>
      </w:pPr>
      <w:r>
        <w:rPr>
          <w:rFonts w:hint="eastAsia" w:ascii="宋体" w:hAnsi="宋体" w:eastAsia="宋体" w:cs="Times New Roman"/>
          <w:kern w:val="0"/>
          <w:szCs w:val="21"/>
        </w:rPr>
        <w:t>我方同意按招标文件规定向    缴纳采购服务费。</w:t>
      </w:r>
    </w:p>
    <w:p w14:paraId="181AC5A6">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供应商：</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57C887E4">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地址：</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10465739">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传真：</w:t>
      </w:r>
      <w:r>
        <w:rPr>
          <w:rFonts w:hint="eastAsia" w:ascii="宋体" w:hAnsi="宋体" w:eastAsia="宋体" w:cs="Times New Roman"/>
          <w:kern w:val="0"/>
          <w:szCs w:val="21"/>
          <w:u w:val="single"/>
        </w:rPr>
        <w:t xml:space="preserve">                               </w:t>
      </w:r>
    </w:p>
    <w:p w14:paraId="3B31D94A">
      <w:pPr>
        <w:widowControl/>
        <w:autoSpaceDE w:val="0"/>
        <w:autoSpaceDN w:val="0"/>
        <w:adjustRightInd w:val="0"/>
        <w:ind w:right="33"/>
        <w:jc w:val="left"/>
        <w:rPr>
          <w:rFonts w:hint="eastAsia" w:ascii="宋体" w:hAnsi="宋体" w:eastAsia="宋体" w:cs="Times New Roman"/>
          <w:kern w:val="0"/>
          <w:szCs w:val="21"/>
        </w:rPr>
      </w:pPr>
      <w:r>
        <w:rPr>
          <w:rFonts w:hint="eastAsia" w:ascii="宋体" w:hAnsi="宋体" w:eastAsia="宋体" w:cs="Times New Roman"/>
          <w:kern w:val="0"/>
          <w:szCs w:val="21"/>
        </w:rPr>
        <w:t>电话：</w:t>
      </w:r>
      <w:r>
        <w:rPr>
          <w:rFonts w:hint="eastAsia" w:ascii="宋体" w:hAnsi="宋体" w:eastAsia="宋体" w:cs="Times New Roman"/>
          <w:kern w:val="0"/>
          <w:szCs w:val="21"/>
          <w:u w:val="single"/>
        </w:rPr>
        <w:t xml:space="preserve">                                </w:t>
      </w:r>
    </w:p>
    <w:p w14:paraId="632482FA">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电子邮件：</w:t>
      </w:r>
      <w:r>
        <w:rPr>
          <w:rFonts w:hint="eastAsia" w:ascii="宋体" w:hAnsi="宋体" w:eastAsia="宋体" w:cs="Times New Roman"/>
          <w:kern w:val="0"/>
          <w:szCs w:val="21"/>
          <w:u w:val="single"/>
        </w:rPr>
        <w:t xml:space="preserve">                           </w:t>
      </w:r>
    </w:p>
    <w:p w14:paraId="61D298D0">
      <w:pPr>
        <w:widowControl/>
        <w:ind w:right="420" w:firstLine="5145" w:firstLineChars="24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4D265CE">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51989B5C">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749265DB">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2CD4BE7D">
      <w:pPr>
        <w:widowControl/>
        <w:spacing w:beforeAutospacing="1" w:afterAutospacing="1"/>
        <w:jc w:val="left"/>
        <w:rPr>
          <w:rFonts w:ascii="宋体" w:hAnsi="宋体" w:eastAsia="宋体" w:cs="宋体"/>
          <w:kern w:val="0"/>
          <w:szCs w:val="21"/>
        </w:rPr>
        <w:sectPr>
          <w:pgSz w:w="11906" w:h="16838"/>
          <w:pgMar w:top="1094" w:right="1140" w:bottom="1077" w:left="1162" w:header="850" w:footer="567" w:gutter="0"/>
          <w:cols w:space="0" w:num="1"/>
          <w:titlePg/>
          <w:rtlGutter w:val="0"/>
          <w:docGrid w:type="lines" w:linePitch="462" w:charSpace="0"/>
        </w:sectPr>
      </w:pPr>
    </w:p>
    <w:p w14:paraId="07DFD038">
      <w:pPr>
        <w:keepNext/>
        <w:adjustRightInd w:val="0"/>
        <w:snapToGrid w:val="0"/>
        <w:spacing w:line="360" w:lineRule="auto"/>
        <w:jc w:val="center"/>
        <w:outlineLvl w:val="1"/>
        <w:rPr>
          <w:rFonts w:ascii="宋体" w:hAnsi="宋体" w:eastAsia="宋体" w:cs="Arial"/>
          <w:b/>
          <w:kern w:val="0"/>
          <w:szCs w:val="21"/>
        </w:rPr>
      </w:pPr>
      <w:bookmarkStart w:id="0" w:name="_Toc292801997"/>
      <w:bookmarkEnd w:id="0"/>
      <w:bookmarkStart w:id="1" w:name="_Toc269222886"/>
      <w:bookmarkEnd w:id="1"/>
      <w:bookmarkStart w:id="2" w:name="_Toc373575515"/>
      <w:r>
        <w:rPr>
          <w:rFonts w:hint="eastAsia" w:ascii="宋体" w:hAnsi="宋体" w:eastAsia="宋体" w:cs="Arial"/>
          <w:b/>
          <w:kern w:val="0"/>
          <w:szCs w:val="21"/>
        </w:rPr>
        <w:t>2</w:t>
      </w:r>
      <w:r>
        <w:rPr>
          <w:rFonts w:hint="eastAsia" w:ascii="宋体" w:hAnsi="宋体" w:eastAsia="宋体" w:cs="Arial"/>
          <w:b/>
          <w:kern w:val="0"/>
          <w:szCs w:val="21"/>
          <w:lang w:val="en-US" w:eastAsia="zh-CN"/>
        </w:rPr>
        <w:t>.</w:t>
      </w:r>
      <w:r>
        <w:rPr>
          <w:rFonts w:hint="eastAsia" w:ascii="宋体" w:hAnsi="宋体" w:eastAsia="宋体" w:cs="Arial"/>
          <w:b/>
          <w:kern w:val="0"/>
          <w:szCs w:val="21"/>
        </w:rPr>
        <w:t>法定代表人证明书</w:t>
      </w:r>
      <w:bookmarkEnd w:id="2"/>
    </w:p>
    <w:p w14:paraId="7C48857C">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B60202B">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同志，现任我单位</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职务，为法定代表人，特此证明。</w:t>
      </w:r>
    </w:p>
    <w:p w14:paraId="2DBD5378">
      <w:pPr>
        <w:widowControl/>
        <w:spacing w:line="36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bCs/>
          <w:kern w:val="0"/>
          <w:szCs w:val="21"/>
        </w:rPr>
        <w:t>本证明书自签发之日起生效，有效期与本公司投标文件中标注的投标有效期相同。</w:t>
      </w:r>
      <w:r>
        <w:rPr>
          <w:rFonts w:hint="eastAsia" w:ascii="宋体" w:hAnsi="宋体" w:eastAsia="宋体" w:cs="Times New Roman"/>
          <w:kern w:val="0"/>
          <w:szCs w:val="21"/>
        </w:rPr>
        <w:t xml:space="preserve">   </w:t>
      </w:r>
    </w:p>
    <w:p w14:paraId="72A44597">
      <w:pPr>
        <w:widowControl/>
        <w:spacing w:line="360" w:lineRule="auto"/>
        <w:ind w:firstLine="210" w:firstLineChars="100"/>
        <w:jc w:val="left"/>
        <w:rPr>
          <w:rFonts w:hint="eastAsia" w:ascii="宋体" w:hAnsi="宋体" w:eastAsia="宋体" w:cs="Times New Roman"/>
          <w:kern w:val="0"/>
          <w:szCs w:val="21"/>
        </w:rPr>
      </w:pPr>
      <w:r>
        <w:rPr>
          <w:rFonts w:hint="eastAsia" w:ascii="宋体" w:hAnsi="宋体" w:eastAsia="宋体" w:cs="Times New Roman"/>
          <w:kern w:val="0"/>
          <w:szCs w:val="21"/>
        </w:rPr>
        <w:t>附：</w:t>
      </w:r>
    </w:p>
    <w:p w14:paraId="09D9659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营业执照（注册号）：</w:t>
      </w:r>
    </w:p>
    <w:p w14:paraId="24AFB1FF">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经济性质：</w:t>
      </w:r>
    </w:p>
    <w:p w14:paraId="5F7357C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主营（产）：</w:t>
      </w:r>
    </w:p>
    <w:p w14:paraId="600B0BF0">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兼营（产）：</w:t>
      </w:r>
    </w:p>
    <w:p w14:paraId="05318F9D">
      <w:pPr>
        <w:widowControl/>
        <w:spacing w:line="360" w:lineRule="auto"/>
        <w:jc w:val="left"/>
        <w:rPr>
          <w:rFonts w:hint="eastAsia" w:ascii="宋体" w:hAnsi="宋体" w:eastAsia="宋体" w:cs="Times New Roman"/>
          <w:b/>
          <w:kern w:val="0"/>
          <w:szCs w:val="21"/>
        </w:rPr>
      </w:pPr>
      <w:r>
        <w:rPr>
          <w:rFonts w:ascii="Times New Roman" w:hAnsi="Times New Roman" w:eastAsia="宋体" w:cs="Times New Roman"/>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kern w:val="0"/>
          <w:szCs w:val="21"/>
        </w:rPr>
        <w:t xml:space="preserve"> </w:t>
      </w:r>
    </w:p>
    <w:p w14:paraId="63BC4AC0">
      <w:pPr>
        <w:widowControl/>
        <w:spacing w:line="360" w:lineRule="auto"/>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 </w:t>
      </w:r>
      <w:r>
        <w:rPr>
          <w:rFonts w:hint="eastAsia" w:ascii="宋体" w:hAnsi="宋体" w:eastAsia="宋体" w:cs="Times New Roman"/>
          <w:kern w:val="0"/>
          <w:szCs w:val="21"/>
        </w:rPr>
        <w:t xml:space="preserve"> </w:t>
      </w:r>
    </w:p>
    <w:p w14:paraId="40D88D7F">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176E0A8">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D29AAC">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供应商名称（盖公章）：</w:t>
      </w:r>
    </w:p>
    <w:p w14:paraId="21732A8A">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签发日期：</w:t>
      </w:r>
    </w:p>
    <w:p w14:paraId="0A737FE4">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地址：</w:t>
      </w:r>
    </w:p>
    <w:p w14:paraId="3BCC108D">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 xml:space="preserve">                                                            </w:t>
      </w:r>
    </w:p>
    <w:p w14:paraId="147999EA">
      <w:pPr>
        <w:widowControl/>
        <w:spacing w:line="480" w:lineRule="auto"/>
        <w:jc w:val="left"/>
        <w:rPr>
          <w:rFonts w:hint="eastAsia" w:ascii="宋体" w:hAnsi="宋体" w:eastAsia="宋体" w:cs="Times New Roman"/>
          <w:kern w:val="0"/>
          <w:szCs w:val="21"/>
        </w:rPr>
      </w:pPr>
      <w:bookmarkStart w:id="3" w:name="_Toc269222887"/>
      <w:bookmarkEnd w:id="3"/>
      <w:bookmarkStart w:id="4" w:name="_Toc292801998"/>
      <w:bookmarkEnd w:id="4"/>
      <w:r>
        <w:rPr>
          <w:rFonts w:hint="eastAsia" w:ascii="宋体" w:hAnsi="宋体" w:eastAsia="宋体" w:cs="Times New Roman"/>
          <w:kern w:val="0"/>
          <w:szCs w:val="21"/>
        </w:rPr>
        <w:t xml:space="preserve">                                               </w:t>
      </w:r>
      <w:bookmarkStart w:id="5" w:name="_Toc32644"/>
      <w:bookmarkEnd w:id="5"/>
      <w:bookmarkStart w:id="6" w:name="_Toc269222888"/>
      <w:bookmarkEnd w:id="6"/>
      <w:bookmarkStart w:id="7" w:name="_Toc292801999"/>
      <w:bookmarkEnd w:id="7"/>
    </w:p>
    <w:p w14:paraId="72AAEA7F">
      <w:pPr>
        <w:keepNext/>
        <w:adjustRightInd w:val="0"/>
        <w:snapToGrid w:val="0"/>
        <w:spacing w:line="360" w:lineRule="auto"/>
        <w:jc w:val="center"/>
        <w:outlineLvl w:val="1"/>
        <w:rPr>
          <w:rFonts w:hint="eastAsia" w:ascii="宋体" w:hAnsi="宋体" w:eastAsia="宋体" w:cs="Times New Roman"/>
          <w:b/>
          <w:kern w:val="0"/>
          <w:szCs w:val="21"/>
        </w:rPr>
      </w:pPr>
      <w:r>
        <w:rPr>
          <w:rFonts w:hint="eastAsia" w:ascii="宋体" w:hAnsi="宋体" w:eastAsia="宋体" w:cs="Arial"/>
          <w:b/>
          <w:kern w:val="0"/>
          <w:szCs w:val="21"/>
          <w:lang w:val="en-US" w:eastAsia="zh-CN"/>
        </w:rPr>
        <w:t>3.</w:t>
      </w:r>
      <w:r>
        <w:rPr>
          <w:rFonts w:hint="eastAsia" w:ascii="宋体" w:hAnsi="宋体" w:eastAsia="宋体" w:cs="Arial"/>
          <w:b/>
          <w:kern w:val="0"/>
          <w:szCs w:val="21"/>
        </w:rPr>
        <w:t>法定代表人授权委托书</w:t>
      </w:r>
      <w:r>
        <w:rPr>
          <w:rFonts w:hint="eastAsia" w:ascii="宋体" w:hAnsi="宋体" w:eastAsia="宋体" w:cs="Times New Roman"/>
          <w:b/>
          <w:kern w:val="0"/>
          <w:szCs w:val="21"/>
        </w:rPr>
        <w:t xml:space="preserve"> </w:t>
      </w:r>
    </w:p>
    <w:p w14:paraId="59710747">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2EB1FB9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本授权委托书声明：注册于</w:t>
      </w:r>
      <w:r>
        <w:rPr>
          <w:rFonts w:hint="eastAsia" w:ascii="宋体" w:hAnsi="宋体" w:eastAsia="宋体" w:cs="Times New Roman"/>
          <w:kern w:val="0"/>
          <w:szCs w:val="21"/>
          <w:u w:val="single"/>
        </w:rPr>
        <w:t xml:space="preserve"> （供应商地址） </w:t>
      </w:r>
      <w:r>
        <w:rPr>
          <w:rFonts w:hint="eastAsia" w:ascii="宋体" w:hAnsi="宋体" w:eastAsia="宋体" w:cs="Times New Roman"/>
          <w:kern w:val="0"/>
          <w:szCs w:val="21"/>
        </w:rPr>
        <w:t>的</w:t>
      </w:r>
      <w:r>
        <w:rPr>
          <w:rFonts w:hint="eastAsia" w:ascii="宋体" w:hAnsi="宋体" w:eastAsia="宋体" w:cs="Times New Roman"/>
          <w:kern w:val="0"/>
          <w:szCs w:val="21"/>
          <w:u w:val="single"/>
        </w:rPr>
        <w:t xml:space="preserve"> （供应商名称） </w:t>
      </w:r>
      <w:r>
        <w:rPr>
          <w:rFonts w:hint="eastAsia" w:ascii="宋体" w:hAnsi="宋体" w:eastAsia="宋体" w:cs="Times New Roman"/>
          <w:kern w:val="0"/>
          <w:szCs w:val="21"/>
        </w:rPr>
        <w:t>在下面签名的</w:t>
      </w:r>
      <w:r>
        <w:rPr>
          <w:rFonts w:hint="eastAsia" w:ascii="宋体" w:hAnsi="宋体" w:eastAsia="宋体" w:cs="Times New Roman"/>
          <w:kern w:val="0"/>
          <w:szCs w:val="21"/>
          <w:u w:val="single"/>
        </w:rPr>
        <w:t>（法定代表人姓名、职务）</w:t>
      </w:r>
      <w:r>
        <w:rPr>
          <w:rFonts w:hint="eastAsia" w:ascii="宋体" w:hAnsi="宋体" w:eastAsia="宋体" w:cs="Times New Roman"/>
          <w:kern w:val="0"/>
          <w:szCs w:val="21"/>
        </w:rPr>
        <w:t>在此授权</w:t>
      </w:r>
      <w:r>
        <w:rPr>
          <w:rFonts w:hint="eastAsia" w:ascii="宋体" w:hAnsi="宋体" w:eastAsia="宋体" w:cs="Times New Roman"/>
          <w:kern w:val="0"/>
          <w:szCs w:val="21"/>
          <w:u w:val="single"/>
        </w:rPr>
        <w:t>（被授权人姓名、职务）</w:t>
      </w:r>
      <w:r>
        <w:rPr>
          <w:rFonts w:hint="eastAsia" w:ascii="宋体" w:hAnsi="宋体" w:eastAsia="宋体" w:cs="Times New Roman"/>
          <w:kern w:val="0"/>
          <w:szCs w:val="21"/>
        </w:rPr>
        <w:t>作为我公司的合法代理人，就</w:t>
      </w:r>
      <w:r>
        <w:rPr>
          <w:rFonts w:hint="eastAsia" w:ascii="宋体" w:hAnsi="宋体" w:eastAsia="宋体" w:cs="Times New Roman"/>
          <w:kern w:val="0"/>
          <w:szCs w:val="21"/>
          <w:u w:val="single"/>
        </w:rPr>
        <w:t>（项目名称、项目编号）</w:t>
      </w:r>
      <w:r>
        <w:rPr>
          <w:rFonts w:hint="eastAsia" w:ascii="宋体" w:hAnsi="宋体" w:eastAsia="宋体" w:cs="Times New Roman"/>
          <w:kern w:val="0"/>
          <w:szCs w:val="21"/>
        </w:rPr>
        <w:t>的招投标活动，采购合同的签订、执行、完成和售后服务，作为供应商代表以我方的名义处理一切与之有关的事务。</w:t>
      </w:r>
    </w:p>
    <w:p w14:paraId="1B96EFDE">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被授权人（供应商授权代表）无转委托权限。</w:t>
      </w:r>
    </w:p>
    <w:p w14:paraId="1C60AF8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 xml:space="preserve">本授权书自法定代表人签字之日起生效，有效期与本公司投标文件中标注的投标有效期相同。 </w:t>
      </w:r>
    </w:p>
    <w:p w14:paraId="796A288E">
      <w:pPr>
        <w:widowControl/>
        <w:spacing w:line="480" w:lineRule="auto"/>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60ECEF4B">
      <w:pPr>
        <w:widowControl/>
        <w:spacing w:line="480" w:lineRule="auto"/>
        <w:ind w:firstLine="647" w:firstLineChars="307"/>
        <w:jc w:val="left"/>
        <w:rPr>
          <w:rFonts w:hint="eastAsia" w:ascii="宋体" w:hAnsi="宋体" w:eastAsia="宋体" w:cs="Times New Roman"/>
          <w:kern w:val="0"/>
          <w:szCs w:val="21"/>
        </w:rPr>
      </w:pPr>
      <w:r>
        <w:rPr>
          <w:rFonts w:hint="eastAsia" w:ascii="宋体" w:hAnsi="宋体" w:eastAsia="宋体" w:cs="Times New Roman"/>
          <w:b/>
          <w:bCs/>
          <w:kern w:val="0"/>
          <w:szCs w:val="21"/>
        </w:rPr>
        <w:t>随附《法定代表人证明》</w:t>
      </w:r>
    </w:p>
    <w:p w14:paraId="6BA042F8">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供应商名称（单位盖公章）：</w:t>
      </w:r>
    </w:p>
    <w:p w14:paraId="2474A13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地 址：</w:t>
      </w:r>
    </w:p>
    <w:p w14:paraId="1CBF3A0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法定代表人（签字或盖章）：                             签字日期：  年   月  日</w:t>
      </w:r>
      <w:r>
        <w:rPr>
          <w:rFonts w:ascii="Times New Roman" w:hAnsi="Times New Roman" w:eastAsia="宋体" w:cs="Times New Roman"/>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14:paraId="4836E473">
      <w:pPr>
        <w:keepNext/>
        <w:adjustRightInd w:val="0"/>
        <w:snapToGrid w:val="0"/>
        <w:jc w:val="center"/>
        <w:outlineLvl w:val="1"/>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529FB10">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lang w:val="en-US" w:eastAsia="zh-CN"/>
        </w:rPr>
        <w:t>4.</w:t>
      </w:r>
      <w:r>
        <w:rPr>
          <w:rFonts w:hint="eastAsia" w:ascii="宋体" w:hAnsi="宋体" w:eastAsia="宋体" w:cs="Arial"/>
          <w:b/>
          <w:kern w:val="0"/>
          <w:szCs w:val="21"/>
        </w:rPr>
        <w:t>关于资格的声明函</w:t>
      </w:r>
    </w:p>
    <w:p w14:paraId="769562FD">
      <w:pPr>
        <w:widowControl/>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致：中山市东升医院  </w:t>
      </w:r>
    </w:p>
    <w:p w14:paraId="736DE54D">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关于贵方采购项目名称: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，投标邀请，本公司（企业）愿意参加投标，并声明：   </w:t>
      </w:r>
    </w:p>
    <w:p w14:paraId="3C01D615">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1.我方为本次投标所提交的所有证明其合格和资格的文件是真实的和正确的，并愿为其真实性和正确性承担法律责任；</w:t>
      </w:r>
    </w:p>
    <w:p w14:paraId="5587335A">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2.我方是依法注册的法人，在法律上、财务上和运作上完全独立于</w:t>
      </w:r>
      <w:r>
        <w:rPr>
          <w:rFonts w:hint="eastAsia" w:ascii="宋体" w:hAnsi="宋体" w:eastAsia="宋体" w:cs="Times New Roman"/>
          <w:kern w:val="0"/>
          <w:szCs w:val="21"/>
          <w:u w:val="single"/>
        </w:rPr>
        <w:t xml:space="preserve">（采购人名称） </w:t>
      </w:r>
      <w:r>
        <w:rPr>
          <w:rFonts w:hint="eastAsia" w:ascii="宋体" w:hAnsi="宋体" w:eastAsia="宋体" w:cs="Times New Roman"/>
          <w:kern w:val="0"/>
          <w:szCs w:val="21"/>
        </w:rPr>
        <w:t>及</w:t>
      </w:r>
      <w:r>
        <w:rPr>
          <w:rFonts w:hint="eastAsia" w:ascii="宋体" w:hAnsi="宋体" w:eastAsia="宋体" w:cs="Times New Roman"/>
          <w:kern w:val="0"/>
          <w:szCs w:val="21"/>
          <w:u w:val="single"/>
        </w:rPr>
        <w:t>中山市东升医院  （    ）</w:t>
      </w:r>
      <w:r>
        <w:rPr>
          <w:rFonts w:hint="eastAsia" w:ascii="宋体" w:hAnsi="宋体" w:eastAsia="宋体" w:cs="Times New Roman"/>
          <w:kern w:val="0"/>
          <w:szCs w:val="21"/>
        </w:rPr>
        <w:t>；</w:t>
      </w:r>
    </w:p>
    <w:p w14:paraId="7F756318">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3.我方承诺：</w:t>
      </w:r>
      <w:r>
        <w:rPr>
          <w:rFonts w:hint="eastAsia" w:ascii="宋体" w:hAnsi="宋体" w:eastAsia="宋体" w:cs="Times New Roman"/>
          <w:bCs/>
          <w:kern w:val="0"/>
          <w:szCs w:val="21"/>
        </w:rPr>
        <w:t>单位负责人为同一人或者存在直接控股、管理关系的不同供应商，不得参加同一合同项下的采购活动。</w:t>
      </w:r>
    </w:p>
    <w:p w14:paraId="7DF13C54">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4.我方承诺：为</w:t>
      </w:r>
      <w:r>
        <w:rPr>
          <w:rFonts w:hint="eastAsia" w:ascii="宋体" w:hAnsi="宋体" w:eastAsia="宋体" w:cs="Times New Roman"/>
          <w:bCs/>
          <w:kern w:val="0"/>
          <w:szCs w:val="21"/>
        </w:rPr>
        <w:t>采购项目提供整体设计、规范编制或者项目管理、监理、检测等服务的供应商，不得再参加该采购项目的其他采购活动。</w:t>
      </w:r>
    </w:p>
    <w:p w14:paraId="19D1C307">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5.我方承诺：具备履行合同所必需的设备和专业技术能力。</w:t>
      </w:r>
    </w:p>
    <w:p w14:paraId="0E9DBCDB">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6.我方承诺：在参加采购活动前三年内，在经营活动及参与采购活动中没有重大违法记录及涉嫌违规行为，并没有因而被有关部门警告或处分的记录。</w:t>
      </w:r>
    </w:p>
    <w:p w14:paraId="3BEA0C8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以上内容如有虚假或与事实不符的，采购人可将我方做无效投标处理，我方愿意承担相应的法律责任。</w:t>
      </w:r>
    </w:p>
    <w:p w14:paraId="15A8973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5E4B6E04">
      <w:pPr>
        <w:jc w:val="left"/>
        <w:rPr>
          <w:rFonts w:hint="eastAsia" w:ascii="宋体" w:hAnsi="宋体" w:eastAsia="宋体" w:cs="Times New Roman"/>
          <w:szCs w:val="21"/>
        </w:rPr>
      </w:pPr>
    </w:p>
    <w:p w14:paraId="2F0E508E">
      <w:pPr>
        <w:jc w:val="left"/>
        <w:rPr>
          <w:rFonts w:hint="eastAsia" w:ascii="宋体" w:hAnsi="宋体" w:eastAsia="宋体" w:cs="Times New Roman"/>
          <w:szCs w:val="21"/>
        </w:rPr>
      </w:pPr>
    </w:p>
    <w:p w14:paraId="0438154E">
      <w:pPr>
        <w:jc w:val="left"/>
        <w:rPr>
          <w:rFonts w:hint="eastAsia" w:ascii="宋体" w:hAnsi="宋体" w:eastAsia="宋体" w:cs="Times New Roman"/>
          <w:szCs w:val="21"/>
        </w:rPr>
      </w:pPr>
      <w:r>
        <w:rPr>
          <w:rFonts w:hint="eastAsia" w:ascii="宋体" w:hAnsi="宋体" w:eastAsia="宋体" w:cs="Times New Roman"/>
          <w:szCs w:val="21"/>
        </w:rPr>
        <w:t xml:space="preserve"> </w:t>
      </w:r>
    </w:p>
    <w:p w14:paraId="55299923">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4512C6CF">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61751B03">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317E8C17">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77D013CF">
      <w:pPr>
        <w:widowControl/>
        <w:spacing w:before="60" w:line="360" w:lineRule="auto"/>
        <w:ind w:right="720"/>
        <w:jc w:val="center"/>
        <w:rPr>
          <w:rFonts w:ascii="宋体" w:hAnsi="宋体" w:eastAsia="宋体" w:cs="Times New Roman"/>
          <w:b/>
          <w:kern w:val="0"/>
          <w:szCs w:val="21"/>
        </w:rPr>
      </w:pPr>
      <w:bookmarkStart w:id="8" w:name="_Toc269222889"/>
      <w:bookmarkEnd w:id="8"/>
      <w:bookmarkStart w:id="9" w:name="_Toc373575518"/>
      <w:bookmarkEnd w:id="9"/>
      <w:bookmarkStart w:id="10" w:name="_Toc292802000"/>
      <w:r>
        <w:rPr>
          <w:rFonts w:hint="eastAsia" w:ascii="宋体" w:hAnsi="宋体" w:eastAsia="宋体" w:cs="Times New Roman"/>
          <w:b/>
          <w:kern w:val="0"/>
          <w:szCs w:val="21"/>
          <w:lang w:val="en-US" w:eastAsia="zh-CN"/>
        </w:rPr>
        <w:t>5.</w:t>
      </w:r>
      <w:r>
        <w:rPr>
          <w:rFonts w:hint="eastAsia" w:ascii="宋体" w:hAnsi="宋体" w:eastAsia="宋体" w:cs="Times New Roman"/>
          <w:b/>
          <w:kern w:val="0"/>
          <w:szCs w:val="21"/>
          <w:lang w:eastAsia="zh-CN"/>
        </w:rPr>
        <w:t>招标</w:t>
      </w:r>
      <w:r>
        <w:rPr>
          <w:rFonts w:hint="eastAsia" w:ascii="宋体" w:hAnsi="宋体" w:eastAsia="宋体" w:cs="Times New Roman"/>
          <w:b/>
          <w:kern w:val="0"/>
          <w:szCs w:val="21"/>
        </w:rPr>
        <w:t>承诺</w:t>
      </w:r>
      <w:bookmarkEnd w:id="10"/>
      <w:r>
        <w:rPr>
          <w:rFonts w:hint="eastAsia" w:ascii="宋体" w:hAnsi="宋体" w:eastAsia="宋体" w:cs="Times New Roman"/>
          <w:b/>
          <w:kern w:val="0"/>
          <w:szCs w:val="21"/>
        </w:rPr>
        <w:t>书</w:t>
      </w:r>
    </w:p>
    <w:p w14:paraId="63FEB947">
      <w:pPr>
        <w:widowControl/>
        <w:spacing w:line="360" w:lineRule="auto"/>
        <w:ind w:left="6281" w:leftChars="2991" w:firstLine="210" w:firstLineChars="100"/>
        <w:jc w:val="left"/>
        <w:outlineLvl w:val="0"/>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26BDACA8">
      <w:pPr>
        <w:widowControl/>
        <w:jc w:val="left"/>
        <w:rPr>
          <w:rFonts w:hint="eastAsia" w:ascii="宋体" w:hAnsi="宋体" w:eastAsia="宋体" w:cs="Times New Roman"/>
          <w:b/>
          <w:bCs/>
          <w:kern w:val="0"/>
          <w:szCs w:val="21"/>
        </w:rPr>
      </w:pPr>
      <w:r>
        <w:rPr>
          <w:rFonts w:hint="eastAsia" w:ascii="宋体" w:hAnsi="宋体" w:eastAsia="宋体" w:cs="Times New Roman"/>
          <w:b/>
          <w:bCs/>
          <w:kern w:val="0"/>
          <w:szCs w:val="21"/>
        </w:rPr>
        <w:t>致：采购人</w:t>
      </w:r>
    </w:p>
    <w:p w14:paraId="3361D7B7">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本供应商已详细阅读了</w:t>
      </w:r>
      <w:r>
        <w:rPr>
          <w:rFonts w:hint="eastAsia" w:ascii="宋体" w:hAnsi="宋体" w:eastAsia="宋体" w:cs="Times New Roman"/>
          <w:kern w:val="0"/>
          <w:szCs w:val="21"/>
          <w:u w:val="single"/>
        </w:rPr>
        <w:t xml:space="preserve">  （项目名称）  </w:t>
      </w:r>
      <w:r>
        <w:rPr>
          <w:rFonts w:hint="eastAsia" w:ascii="宋体" w:hAnsi="宋体" w:eastAsia="宋体" w:cs="Times New Roman"/>
          <w:kern w:val="0"/>
          <w:szCs w:val="21"/>
        </w:rPr>
        <w:t>招标文件，自愿参加上述项目投标，现就有关事项向采购人郑重承诺如下：</w:t>
      </w:r>
    </w:p>
    <w:p w14:paraId="6EB758A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6BEB260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2.遵守中华人民共和国、广东省、</w:t>
      </w:r>
      <w:r>
        <w:rPr>
          <w:rFonts w:hint="eastAsia" w:ascii="宋体" w:hAnsi="宋体" w:eastAsia="宋体" w:cs="Times New Roman"/>
          <w:kern w:val="0"/>
          <w:szCs w:val="21"/>
          <w:u w:val="single"/>
        </w:rPr>
        <w:t xml:space="preserve">  中山  </w:t>
      </w:r>
      <w:r>
        <w:rPr>
          <w:rFonts w:hint="eastAsia" w:ascii="宋体" w:hAnsi="宋体" w:eastAsia="宋体" w:cs="Times New Roman"/>
          <w:kern w:val="0"/>
          <w:szCs w:val="21"/>
        </w:rPr>
        <w:t>市有关政府采购、招标投标的法律法规规定，自觉维护市场经济秩序。否则，同意被废除投标资格并接受处罚。</w:t>
      </w:r>
    </w:p>
    <w:p w14:paraId="30FB733E">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3.保证投标文件内容无任何虚假。若评标过程中查出有虚假，同意作无效投标文件处理并被没收投标担保，若中标之后查出有虚假，同意废除中标资格并被没收投标担保。</w:t>
      </w:r>
    </w:p>
    <w:p w14:paraId="610148B5">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4.保证投标文件不存在低于成本的恶意报价行为。</w:t>
      </w:r>
    </w:p>
    <w:p w14:paraId="0283BF2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5.保证按照采购合同约定完成采购合同范围内的全部内容，履行保修责任。否则，同意接受采购人对供应商违约处理。</w:t>
      </w:r>
    </w:p>
    <w:p w14:paraId="3F22E4E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6.保证中标之后不转包，若分包将征得采购人同意并遵守相关法律法规。</w:t>
      </w:r>
    </w:p>
    <w:p w14:paraId="38AA2343">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7.保证中标之后密切配合采购人开展工作，接受采购人的监督管理。</w:t>
      </w:r>
    </w:p>
    <w:p w14:paraId="61366D9C">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8.保证按招标文件及采购合同约定的原则处理采购调整事宜，不发生签署采购合同之后恶意索赔的行为。</w:t>
      </w:r>
    </w:p>
    <w:p w14:paraId="475CAA0C">
      <w:pPr>
        <w:autoSpaceDE w:val="0"/>
        <w:autoSpaceDN w:val="0"/>
        <w:adjustRightInd w:val="0"/>
        <w:ind w:firstLine="420" w:firstLineChars="20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本供应商在规定的投标有效期限内，将受招标文件的约束并履行投标文件的承诺。</w:t>
      </w:r>
    </w:p>
    <w:p w14:paraId="4A1D3729">
      <w:pPr>
        <w:widowControl/>
        <w:autoSpaceDE w:val="0"/>
        <w:autoSpaceDN w:val="0"/>
        <w:adjustRightInd w:val="0"/>
        <w:ind w:left="51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EDE996B">
      <w:pPr>
        <w:widowControl/>
        <w:ind w:firstLine="420"/>
        <w:jc w:val="left"/>
        <w:rPr>
          <w:rFonts w:hint="eastAsia" w:ascii="宋体" w:hAnsi="宋体" w:eastAsia="宋体" w:cs="Times New Roman"/>
          <w:kern w:val="0"/>
          <w:szCs w:val="21"/>
        </w:rPr>
      </w:pPr>
      <w:r>
        <w:rPr>
          <w:rFonts w:hint="eastAsia" w:ascii="宋体" w:hAnsi="宋体" w:eastAsia="宋体" w:cs="Times New Roman"/>
          <w:kern w:val="0"/>
          <w:szCs w:val="21"/>
        </w:rPr>
        <w:t>特此承诺！</w:t>
      </w:r>
    </w:p>
    <w:p w14:paraId="01EBC4D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8AA0104">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6CBDB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74F2A9F">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37E4CCB1">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179BD3D9">
      <w:pPr>
        <w:widowControl/>
        <w:spacing w:before="60"/>
        <w:ind w:right="720"/>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日期：    年     月     日</w:t>
      </w:r>
    </w:p>
    <w:p w14:paraId="044A3E29">
      <w:pPr>
        <w:rPr>
          <w:rFonts w:hint="eastAsia" w:ascii="宋体" w:hAnsi="宋体" w:eastAsia="宋体" w:cs="Times New Roman"/>
          <w:b/>
          <w:kern w:val="0"/>
          <w:szCs w:val="21"/>
        </w:rPr>
      </w:pPr>
      <w:bookmarkStart w:id="11" w:name="_Toc23994_WPSOffice_Level1"/>
      <w:bookmarkEnd w:id="11"/>
      <w:bookmarkStart w:id="12" w:name="_Toc269222890"/>
      <w:bookmarkEnd w:id="12"/>
      <w:bookmarkStart w:id="13" w:name="_Toc292802001"/>
      <w:bookmarkEnd w:id="13"/>
      <w:bookmarkStart w:id="14" w:name="_Toc373575519"/>
      <w:bookmarkEnd w:id="14"/>
    </w:p>
    <w:p w14:paraId="5A570CF3">
      <w:pPr>
        <w:keepNext/>
        <w:adjustRightInd w:val="0"/>
        <w:snapToGrid w:val="0"/>
        <w:spacing w:line="360" w:lineRule="auto"/>
        <w:jc w:val="center"/>
        <w:outlineLvl w:val="1"/>
        <w:rPr>
          <w:rFonts w:hint="eastAsia" w:ascii="宋体" w:hAnsi="宋体" w:eastAsia="宋体" w:cs="Arial"/>
          <w:b/>
          <w:kern w:val="0"/>
          <w:szCs w:val="21"/>
        </w:rPr>
      </w:pPr>
      <w:bookmarkStart w:id="15" w:name="_Toc269222892"/>
      <w:bookmarkEnd w:id="15"/>
      <w:bookmarkStart w:id="16" w:name="_Toc292802003"/>
      <w:bookmarkEnd w:id="16"/>
      <w:bookmarkStart w:id="17" w:name="_Toc373575521"/>
      <w:r>
        <w:rPr>
          <w:rFonts w:hint="eastAsia" w:ascii="宋体" w:hAnsi="宋体" w:eastAsia="宋体" w:cs="Arial"/>
          <w:b/>
          <w:kern w:val="0"/>
          <w:szCs w:val="21"/>
          <w:lang w:val="en-US" w:eastAsia="zh-CN"/>
        </w:rPr>
        <w:t>6.</w:t>
      </w:r>
      <w:r>
        <w:rPr>
          <w:rFonts w:hint="eastAsia" w:ascii="宋体" w:hAnsi="宋体" w:eastAsia="宋体" w:cs="Arial"/>
          <w:b/>
          <w:kern w:val="0"/>
          <w:szCs w:val="21"/>
        </w:rPr>
        <w:t>供应商情况介绍表</w:t>
      </w:r>
      <w:bookmarkEnd w:id="17"/>
    </w:p>
    <w:tbl>
      <w:tblPr>
        <w:tblStyle w:val="20"/>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1712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F0E0EA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429AF75">
            <w:pPr>
              <w:widowControl/>
              <w:spacing w:line="360" w:lineRule="auto"/>
              <w:ind w:left="-132" w:leftChars="-64" w:right="-105" w:rightChars="-50" w:hanging="2"/>
              <w:jc w:val="center"/>
              <w:rPr>
                <w:rFonts w:ascii="宋体" w:hAnsi="宋体" w:eastAsia="宋体" w:cs="Times New Roman"/>
                <w:kern w:val="0"/>
                <w:szCs w:val="21"/>
              </w:rPr>
            </w:pPr>
          </w:p>
        </w:tc>
      </w:tr>
      <w:tr w14:paraId="3439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D2116A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77D7546">
            <w:pPr>
              <w:widowControl/>
              <w:spacing w:line="360" w:lineRule="auto"/>
              <w:ind w:left="-132" w:leftChars="-64" w:right="-105" w:rightChars="-50" w:hanging="2"/>
              <w:jc w:val="center"/>
              <w:rPr>
                <w:rFonts w:ascii="宋体" w:hAnsi="宋体" w:eastAsia="宋体" w:cs="Times New Roman"/>
                <w:kern w:val="0"/>
                <w:szCs w:val="21"/>
              </w:rPr>
            </w:pPr>
          </w:p>
        </w:tc>
      </w:tr>
      <w:tr w14:paraId="4CC4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C3CF68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50E6A0AF">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448F93C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7F3DE">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6C0176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4828596C">
            <w:pPr>
              <w:widowControl/>
              <w:spacing w:line="360" w:lineRule="auto"/>
              <w:ind w:left="-132" w:leftChars="-64" w:right="-105" w:rightChars="-50" w:hanging="2"/>
              <w:jc w:val="center"/>
              <w:rPr>
                <w:rFonts w:ascii="宋体" w:hAnsi="宋体" w:eastAsia="宋体" w:cs="Times New Roman"/>
                <w:kern w:val="0"/>
                <w:szCs w:val="21"/>
              </w:rPr>
            </w:pPr>
          </w:p>
        </w:tc>
      </w:tr>
      <w:tr w14:paraId="76F0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CECB79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4CC9F4A1">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849FCD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1A1991A8">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149E76A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118818">
            <w:pPr>
              <w:widowControl/>
              <w:spacing w:line="360" w:lineRule="auto"/>
              <w:ind w:left="-132" w:leftChars="-64" w:right="-105" w:rightChars="-50" w:hanging="2"/>
              <w:jc w:val="center"/>
              <w:rPr>
                <w:rFonts w:ascii="宋体" w:hAnsi="宋体" w:eastAsia="宋体" w:cs="Times New Roman"/>
                <w:kern w:val="0"/>
                <w:szCs w:val="21"/>
              </w:rPr>
            </w:pPr>
          </w:p>
        </w:tc>
      </w:tr>
      <w:tr w14:paraId="01FB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DFE2FF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06256EB6">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AD306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40EA5">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0BE479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372918">
            <w:pPr>
              <w:widowControl/>
              <w:spacing w:line="360" w:lineRule="auto"/>
              <w:ind w:left="-132" w:leftChars="-64" w:right="-105" w:rightChars="-50" w:hanging="2"/>
              <w:jc w:val="center"/>
              <w:rPr>
                <w:rFonts w:ascii="宋体" w:hAnsi="宋体" w:eastAsia="宋体" w:cs="Times New Roman"/>
                <w:kern w:val="0"/>
                <w:szCs w:val="21"/>
              </w:rPr>
            </w:pPr>
          </w:p>
        </w:tc>
      </w:tr>
      <w:tr w14:paraId="6AD1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283E445">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2B89F28">
            <w:pPr>
              <w:widowControl/>
              <w:spacing w:line="360" w:lineRule="auto"/>
              <w:ind w:left="-132" w:leftChars="-64" w:right="-105" w:rightChars="-50" w:hanging="2"/>
              <w:jc w:val="center"/>
              <w:rPr>
                <w:rFonts w:ascii="宋体" w:hAnsi="宋体" w:eastAsia="宋体" w:cs="Times New Roman"/>
                <w:kern w:val="0"/>
                <w:szCs w:val="21"/>
              </w:rPr>
            </w:pPr>
          </w:p>
        </w:tc>
      </w:tr>
      <w:tr w14:paraId="2C18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78B2106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166FDF9C">
            <w:pPr>
              <w:widowControl/>
              <w:spacing w:line="360" w:lineRule="auto"/>
              <w:ind w:left="-132" w:leftChars="-64" w:right="-105" w:rightChars="-50" w:hanging="2"/>
              <w:jc w:val="center"/>
              <w:rPr>
                <w:rFonts w:ascii="宋体" w:hAnsi="宋体" w:eastAsia="宋体" w:cs="Times New Roman"/>
                <w:kern w:val="0"/>
                <w:szCs w:val="21"/>
              </w:rPr>
            </w:pPr>
          </w:p>
        </w:tc>
      </w:tr>
      <w:tr w14:paraId="2049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5536A40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44EA26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0B86ABEB">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1257EF5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2C8E6109">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5974A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9BBA4B0">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67EA1E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7B934305">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C9F243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1CEA6FD">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266C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B7DF624">
            <w:pPr>
              <w:widowControl/>
              <w:jc w:val="left"/>
              <w:rPr>
                <w:rFonts w:ascii="宋体" w:hAnsi="宋体" w:eastAsia="宋体" w:cs="Times New Roman"/>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2FC7019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3F1E76C7">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0CF44DCC">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97AED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固定资产原值           万元</w:t>
            </w:r>
          </w:p>
        </w:tc>
      </w:tr>
      <w:tr w14:paraId="0F8A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A9FF6E2">
            <w:pPr>
              <w:widowControl/>
              <w:jc w:val="left"/>
              <w:rPr>
                <w:rFonts w:ascii="宋体" w:hAnsi="宋体" w:eastAsia="宋体" w:cs="Times New Roman"/>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1F7993D6">
            <w:pPr>
              <w:widowControl/>
              <w:jc w:val="left"/>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0C65FCE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F15CC56">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A44AE4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固定资产净值           万元</w:t>
            </w:r>
          </w:p>
        </w:tc>
      </w:tr>
      <w:tr w14:paraId="61B3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04DC7B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597BBC0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6C976EE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主营收入</w:t>
            </w:r>
          </w:p>
          <w:p w14:paraId="6B36FC0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338C73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收入总额</w:t>
            </w:r>
          </w:p>
          <w:p w14:paraId="1EA0F0E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0B7DB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利润总额</w:t>
            </w:r>
          </w:p>
          <w:p w14:paraId="03440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7C63F70D">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净利润</w:t>
            </w:r>
          </w:p>
          <w:p w14:paraId="2D9FC1FE">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283EFE08">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资产负债率</w:t>
            </w:r>
          </w:p>
        </w:tc>
      </w:tr>
      <w:tr w14:paraId="6239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5C82D81">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0DDEA15D">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45EA633D">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41EE1B04">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CA3CCE0">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3F68A71D">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16161FE3">
            <w:pPr>
              <w:widowControl/>
              <w:spacing w:line="360" w:lineRule="auto"/>
              <w:ind w:left="-132" w:leftChars="-64" w:right="-105" w:rightChars="-50" w:hanging="2"/>
              <w:jc w:val="center"/>
              <w:rPr>
                <w:rFonts w:ascii="宋体" w:hAnsi="宋体" w:eastAsia="宋体" w:cs="Times New Roman"/>
                <w:kern w:val="0"/>
                <w:szCs w:val="21"/>
              </w:rPr>
            </w:pPr>
          </w:p>
        </w:tc>
      </w:tr>
      <w:tr w14:paraId="5434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DAC56AD">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2BC9233F">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02704D2">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4C2B53F">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B9AACFA">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5BCF8AB">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340E0460">
            <w:pPr>
              <w:widowControl/>
              <w:spacing w:line="360" w:lineRule="auto"/>
              <w:ind w:left="-132" w:leftChars="-64" w:right="-105" w:rightChars="-50" w:hanging="2"/>
              <w:jc w:val="center"/>
              <w:rPr>
                <w:rFonts w:ascii="宋体" w:hAnsi="宋体" w:eastAsia="宋体" w:cs="Times New Roman"/>
                <w:kern w:val="0"/>
                <w:szCs w:val="21"/>
              </w:rPr>
            </w:pPr>
          </w:p>
        </w:tc>
      </w:tr>
      <w:tr w14:paraId="6EED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27BB00F">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03FA1DB">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6B8CDC39">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047A667C">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7B9E16B7">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7E3CB0E3">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0E22D5A4">
            <w:pPr>
              <w:widowControl/>
              <w:spacing w:line="360" w:lineRule="auto"/>
              <w:ind w:left="-132" w:leftChars="-64" w:right="-105" w:rightChars="-50" w:hanging="2"/>
              <w:jc w:val="center"/>
              <w:rPr>
                <w:rFonts w:ascii="宋体" w:hAnsi="宋体" w:eastAsia="宋体" w:cs="Times New Roman"/>
                <w:kern w:val="0"/>
                <w:szCs w:val="21"/>
              </w:rPr>
            </w:pPr>
          </w:p>
        </w:tc>
      </w:tr>
    </w:tbl>
    <w:p w14:paraId="69BC617C">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bCs/>
          <w:kern w:val="0"/>
          <w:szCs w:val="21"/>
        </w:rPr>
        <w:t>注：1、</w:t>
      </w:r>
      <w:r>
        <w:rPr>
          <w:rFonts w:hint="eastAsia" w:ascii="宋体" w:hAnsi="宋体" w:eastAsia="宋体" w:cs="Times New Roman"/>
          <w:kern w:val="0"/>
          <w:szCs w:val="21"/>
        </w:rPr>
        <w:t>如供应商此表数据有虚假，一经查实，自行承担相关责任。</w:t>
      </w:r>
    </w:p>
    <w:p w14:paraId="1669D48C">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7E4160AE">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A7918F9">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7CE43B1F">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5731F21F">
      <w:pPr>
        <w:widowControl/>
        <w:spacing w:line="360" w:lineRule="auto"/>
        <w:jc w:val="left"/>
        <w:rPr>
          <w:rFonts w:ascii="宋体" w:hAnsi="宋体" w:eastAsia="宋体" w:cs="Times New Roman"/>
          <w:b/>
          <w:kern w:val="0"/>
          <w:szCs w:val="21"/>
        </w:rPr>
      </w:pPr>
      <w:bookmarkStart w:id="18" w:name="_Toc292802005"/>
      <w:bookmarkEnd w:id="18"/>
      <w:bookmarkStart w:id="19" w:name="_Toc373575523"/>
      <w:bookmarkEnd w:id="19"/>
    </w:p>
    <w:p w14:paraId="37277A49">
      <w:pPr>
        <w:widowControl/>
        <w:spacing w:line="360" w:lineRule="auto"/>
        <w:jc w:val="center"/>
        <w:rPr>
          <w:rFonts w:hint="eastAsia" w:ascii="宋体" w:hAnsi="宋体" w:eastAsia="宋体" w:cs="Times New Roman"/>
          <w:b/>
          <w:kern w:val="0"/>
          <w:szCs w:val="21"/>
        </w:rPr>
      </w:pPr>
      <w:r>
        <w:rPr>
          <w:rFonts w:hint="eastAsia" w:ascii="宋体" w:hAnsi="宋体" w:eastAsia="宋体" w:cs="Times New Roman"/>
          <w:b/>
          <w:kern w:val="0"/>
          <w:szCs w:val="21"/>
          <w:lang w:val="en-US" w:eastAsia="zh-CN"/>
        </w:rPr>
        <w:t>7.</w:t>
      </w:r>
      <w:r>
        <w:rPr>
          <w:rFonts w:hint="eastAsia" w:ascii="宋体" w:hAnsi="宋体" w:eastAsia="宋体" w:cs="宋体"/>
          <w:b/>
          <w:bCs/>
          <w:sz w:val="21"/>
          <w:szCs w:val="21"/>
          <w:lang w:val="en-US" w:eastAsia="zh-CN"/>
        </w:rPr>
        <w:t>项目实施方案（包含售后服务方案）</w:t>
      </w:r>
    </w:p>
    <w:p w14:paraId="660A9F0A">
      <w:pPr>
        <w:widowControl/>
        <w:spacing w:before="100" w:beforeAutospacing="1" w:after="100" w:afterAutospacing="1" w:line="360" w:lineRule="auto"/>
        <w:ind w:left="295" w:leftChars="104" w:hanging="77" w:hangingChars="37"/>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654DD2C0">
      <w:pPr>
        <w:widowControl/>
        <w:spacing w:before="100" w:beforeAutospacing="1" w:after="100" w:afterAutospacing="1" w:line="360" w:lineRule="auto"/>
        <w:ind w:left="7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tbl>
      <w:tblPr>
        <w:tblStyle w:val="20"/>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744D6B2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7A93F710">
            <w:pPr>
              <w:widowControl/>
              <w:spacing w:line="360" w:lineRule="auto"/>
              <w:jc w:val="center"/>
              <w:rPr>
                <w:rFonts w:ascii="宋体" w:hAnsi="宋体" w:eastAsia="宋体" w:cs="Times New Roman"/>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6F7E794E">
            <w:pPr>
              <w:widowControl/>
              <w:spacing w:line="360" w:lineRule="auto"/>
              <w:jc w:val="left"/>
              <w:rPr>
                <w:rFonts w:ascii="宋体" w:hAnsi="宋体" w:eastAsia="宋体" w:cs="Times New Roman"/>
                <w:b/>
                <w:bCs/>
                <w:kern w:val="0"/>
                <w:szCs w:val="21"/>
              </w:rPr>
            </w:pPr>
          </w:p>
          <w:p w14:paraId="160678D0">
            <w:pPr>
              <w:widowControl/>
              <w:spacing w:line="360" w:lineRule="auto"/>
              <w:ind w:firstLine="705" w:firstLineChars="336"/>
              <w:jc w:val="left"/>
              <w:rPr>
                <w:rFonts w:ascii="宋体" w:hAnsi="宋体" w:eastAsia="宋体" w:cs="Times New Roman"/>
                <w:kern w:val="0"/>
                <w:szCs w:val="21"/>
              </w:rPr>
            </w:pPr>
            <w:r>
              <w:rPr>
                <w:rFonts w:hint="eastAsia" w:ascii="宋体" w:hAnsi="宋体" w:eastAsia="宋体" w:cs="Times New Roman"/>
                <w:kern w:val="0"/>
                <w:szCs w:val="21"/>
              </w:rPr>
              <w:t>供应商应按照招标文件要求和“用户需求书”中相关服务的内容，提供的相关服务作出详细的描述。</w:t>
            </w:r>
          </w:p>
          <w:p w14:paraId="73604CBD">
            <w:pPr>
              <w:rPr>
                <w:rFonts w:ascii="宋体" w:hAnsi="宋体" w:eastAsia="宋体" w:cs="Times New Roman"/>
                <w:szCs w:val="21"/>
              </w:rPr>
            </w:pPr>
          </w:p>
          <w:p w14:paraId="3385FD49">
            <w:pPr>
              <w:rPr>
                <w:rFonts w:ascii="宋体" w:hAnsi="宋体" w:eastAsia="宋体" w:cs="Times New Roman"/>
                <w:szCs w:val="21"/>
              </w:rPr>
            </w:pPr>
          </w:p>
          <w:p w14:paraId="1802EA67">
            <w:pPr>
              <w:tabs>
                <w:tab w:val="left" w:pos="2505"/>
              </w:tabs>
              <w:rPr>
                <w:rFonts w:ascii="宋体" w:hAnsi="宋体" w:eastAsia="宋体" w:cs="Times New Roman"/>
                <w:szCs w:val="21"/>
              </w:rPr>
            </w:pPr>
          </w:p>
        </w:tc>
      </w:tr>
    </w:tbl>
    <w:p w14:paraId="58112B3F">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66FD1E90">
      <w:pPr>
        <w:widowControl/>
        <w:spacing w:line="360" w:lineRule="auto"/>
        <w:ind w:left="235" w:leftChars="112" w:firstLine="601"/>
        <w:jc w:val="left"/>
        <w:rPr>
          <w:rFonts w:hint="eastAsia" w:ascii="宋体" w:hAnsi="宋体" w:eastAsia="宋体" w:cs="Times New Roman"/>
          <w:b/>
          <w:bCs/>
          <w:kern w:val="0"/>
          <w:szCs w:val="21"/>
        </w:rPr>
      </w:pPr>
      <w:r>
        <w:rPr>
          <w:rFonts w:hint="eastAsia" w:ascii="宋体" w:hAnsi="宋体" w:eastAsia="宋体" w:cs="Times New Roman"/>
          <w:b/>
          <w:kern w:val="0"/>
          <w:szCs w:val="21"/>
        </w:rPr>
        <w:t>注：供应商应尽可能提供详细说明，以便评委会对供应商方案有详细了解。如因提供内容不详导致供应商方案被否决，责任由供应商自负。</w:t>
      </w:r>
    </w:p>
    <w:p w14:paraId="1A8C94AA">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533FA05">
      <w:pPr>
        <w:spacing w:line="360" w:lineRule="auto"/>
        <w:jc w:val="left"/>
        <w:rPr>
          <w:rFonts w:hint="eastAsia" w:ascii="宋体" w:hAnsi="宋体" w:eastAsia="宋体" w:cs="Times New Roman"/>
          <w:szCs w:val="21"/>
        </w:rPr>
      </w:pPr>
      <w:r>
        <w:rPr>
          <w:rFonts w:hint="eastAsia" w:ascii="宋体" w:hAnsi="宋体" w:eastAsia="宋体" w:cs="Times New Roman"/>
          <w:szCs w:val="21"/>
        </w:rPr>
        <w:t>供应商名称（盖章）：</w:t>
      </w:r>
    </w:p>
    <w:p w14:paraId="76CBC488">
      <w:pPr>
        <w:spacing w:line="360" w:lineRule="auto"/>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7D33C24">
      <w:pPr>
        <w:rPr>
          <w:rFonts w:hint="eastAsia" w:ascii="宋体" w:hAnsi="宋体" w:eastAsia="宋体" w:cs="Times New Roman"/>
          <w:kern w:val="0"/>
          <w:szCs w:val="21"/>
        </w:rPr>
      </w:pPr>
      <w:r>
        <w:rPr>
          <w:rFonts w:hint="eastAsia" w:ascii="宋体" w:hAnsi="宋体" w:eastAsia="宋体" w:cs="Times New Roman"/>
          <w:kern w:val="0"/>
          <w:szCs w:val="21"/>
        </w:rPr>
        <w:t>日期：    年     月     日</w:t>
      </w:r>
    </w:p>
    <w:p w14:paraId="3FFD4654">
      <w:pPr>
        <w:keepNext w:val="0"/>
        <w:keepLines w:val="0"/>
        <w:pageBreakBefore w:val="0"/>
        <w:kinsoku/>
        <w:wordWrap/>
        <w:overflowPunct/>
        <w:topLinePunct w:val="0"/>
        <w:bidi w:val="0"/>
        <w:snapToGrid/>
        <w:spacing w:line="480" w:lineRule="exact"/>
        <w:jc w:val="left"/>
        <w:rPr>
          <w:rFonts w:hint="eastAsia" w:ascii="宋体" w:hAnsi="宋体" w:eastAsia="宋体" w:cs="宋体"/>
          <w:sz w:val="24"/>
          <w:szCs w:val="24"/>
          <w:lang w:val="en-US" w:eastAsia="zh-CN"/>
        </w:rPr>
      </w:pPr>
    </w:p>
    <w:p w14:paraId="24331E04"/>
    <w:p w14:paraId="424A694E">
      <w:pPr>
        <w:spacing w:line="560" w:lineRule="exact"/>
        <w:jc w:val="left"/>
        <w:rPr>
          <w:rFonts w:ascii="仿宋" w:hAnsi="仿宋" w:eastAsia="仿宋"/>
          <w:iCs/>
          <w:sz w:val="32"/>
          <w:szCs w:val="32"/>
          <w:u w:val="single"/>
        </w:rPr>
      </w:pPr>
    </w:p>
    <w:p w14:paraId="33E37F28">
      <w:pPr>
        <w:spacing w:line="560" w:lineRule="exact"/>
        <w:jc w:val="left"/>
        <w:rPr>
          <w:rFonts w:ascii="仿宋" w:hAnsi="仿宋" w:eastAsia="仿宋"/>
          <w:iCs/>
          <w:sz w:val="32"/>
          <w:szCs w:val="32"/>
          <w:u w:val="single"/>
        </w:rPr>
      </w:pPr>
    </w:p>
    <w:sectPr>
      <w:headerReference r:id="rId5" w:type="default"/>
      <w:type w:val="continuous"/>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14BDEFC0-E372-47E9-87EA-DDBD1763D950}"/>
  </w:font>
  <w:font w:name="黑体">
    <w:panose1 w:val="02010609060101010101"/>
    <w:charset w:val="86"/>
    <w:family w:val="auto"/>
    <w:pitch w:val="default"/>
    <w:sig w:usb0="800002BF" w:usb1="38CF7CFA" w:usb2="00000016" w:usb3="00000000" w:csb0="00040001" w:csb1="00000000"/>
    <w:embedRegular r:id="rId2" w:fontKey="{27370043-F2F9-4387-A098-9FD9A9F17F2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4A255397-B9DC-437A-9012-A238FCFA45AF}"/>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embedRegular r:id="rId4" w:fontKey="{DFD44296-18BC-48E6-B4FD-8B146B38E500}"/>
  </w:font>
  <w:font w:name="等线 Light">
    <w:altName w:val="宋体"/>
    <w:panose1 w:val="02010600030101010101"/>
    <w:charset w:val="86"/>
    <w:family w:val="auto"/>
    <w:pitch w:val="default"/>
    <w:sig w:usb0="00000000" w:usb1="00000000"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embedRegular r:id="rId5" w:fontKey="{7496BCBE-11BD-476E-BDD5-50FB8D4C8C59}"/>
  </w:font>
  <w:font w:name="仿宋">
    <w:panose1 w:val="02010609060101010101"/>
    <w:charset w:val="86"/>
    <w:family w:val="modern"/>
    <w:pitch w:val="default"/>
    <w:sig w:usb0="800002BF" w:usb1="38CF7CFA" w:usb2="00000016" w:usb3="00000000" w:csb0="00040001" w:csb1="00000000"/>
    <w:embedRegular r:id="rId6" w:fontKey="{D8F49E47-74FA-45FD-BE75-9B5AF0119668}"/>
  </w:font>
  <w:font w:name="Helvetica Neue">
    <w:altName w:val="Corbel"/>
    <w:panose1 w:val="00000000000000000000"/>
    <w:charset w:val="00"/>
    <w:family w:val="auto"/>
    <w:pitch w:val="default"/>
    <w:sig w:usb0="00000000" w:usb1="00000000" w:usb2="00000010" w:usb3="00000000" w:csb0="00000001" w:csb1="00000000"/>
  </w:font>
  <w:font w:name="Corbel">
    <w:panose1 w:val="020B0503020204020204"/>
    <w:charset w:val="00"/>
    <w:family w:val="auto"/>
    <w:pitch w:val="default"/>
    <w:sig w:usb0="A00002EF" w:usb1="4000A44B" w:usb2="00000000" w:usb3="00000000" w:csb0="2000019F" w:csb1="00000000"/>
  </w:font>
  <w:font w:name="华文新魏">
    <w:panose1 w:val="02010800040101010101"/>
    <w:charset w:val="86"/>
    <w:family w:val="auto"/>
    <w:pitch w:val="default"/>
    <w:sig w:usb0="00000001" w:usb1="080F0000" w:usb2="0000000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0109758"/>
    </w:sdtPr>
    <w:sdtContent>
      <w:p w14:paraId="21FD39E8">
        <w:pPr>
          <w:pStyle w:val="15"/>
          <w:jc w:val="center"/>
        </w:pPr>
        <w:r>
          <w:fldChar w:fldCharType="begin"/>
        </w:r>
        <w:r>
          <w:instrText xml:space="preserve">PAGE   \* MERGEFORMAT</w:instrText>
        </w:r>
        <w:r>
          <w:fldChar w:fldCharType="separate"/>
        </w:r>
        <w:r>
          <w:rPr>
            <w:lang w:val="zh-CN"/>
          </w:rPr>
          <w:t>1</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5B741">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6F9A7">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79E35"/>
    <w:multiLevelType w:val="singleLevel"/>
    <w:tmpl w:val="99F79E35"/>
    <w:lvl w:ilvl="0" w:tentative="0">
      <w:start w:val="1"/>
      <w:numFmt w:val="decimal"/>
      <w:lvlText w:val="%1."/>
      <w:lvlJc w:val="left"/>
      <w:pPr>
        <w:tabs>
          <w:tab w:val="left" w:pos="312"/>
        </w:tabs>
      </w:pPr>
    </w:lvl>
  </w:abstractNum>
  <w:abstractNum w:abstractNumId="1">
    <w:nsid w:val="EDA5B547"/>
    <w:multiLevelType w:val="singleLevel"/>
    <w:tmpl w:val="EDA5B547"/>
    <w:lvl w:ilvl="0" w:tentative="0">
      <w:start w:val="1"/>
      <w:numFmt w:val="chineseCounting"/>
      <w:suff w:val="nothing"/>
      <w:lvlText w:val="%1、"/>
      <w:lvlJc w:val="left"/>
      <w:pPr>
        <w:ind w:left="0" w:firstLine="420"/>
      </w:pPr>
      <w:rPr>
        <w:rFonts w:hint="eastAsia"/>
      </w:rPr>
    </w:lvl>
  </w:abstractNum>
  <w:abstractNum w:abstractNumId="2">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mZjIzNDE1OTQ0ZWRhZjdmNzU1YzIzMzAyNTYwY2MifQ=="/>
  </w:docVars>
  <w:rsids>
    <w:rsidRoot w:val="008F294C"/>
    <w:rsid w:val="00017EC7"/>
    <w:rsid w:val="00022116"/>
    <w:rsid w:val="0003109B"/>
    <w:rsid w:val="00033C45"/>
    <w:rsid w:val="000406FD"/>
    <w:rsid w:val="000467C7"/>
    <w:rsid w:val="0005284C"/>
    <w:rsid w:val="00054A11"/>
    <w:rsid w:val="000762D5"/>
    <w:rsid w:val="000935C6"/>
    <w:rsid w:val="000A7AFC"/>
    <w:rsid w:val="000A7CEE"/>
    <w:rsid w:val="000B2854"/>
    <w:rsid w:val="000C429D"/>
    <w:rsid w:val="000E6FC2"/>
    <w:rsid w:val="001003C8"/>
    <w:rsid w:val="0011378F"/>
    <w:rsid w:val="001250A0"/>
    <w:rsid w:val="001260A5"/>
    <w:rsid w:val="00136FE4"/>
    <w:rsid w:val="001405C1"/>
    <w:rsid w:val="0016016F"/>
    <w:rsid w:val="001834EA"/>
    <w:rsid w:val="001B233B"/>
    <w:rsid w:val="001F72EA"/>
    <w:rsid w:val="002001EF"/>
    <w:rsid w:val="002033DB"/>
    <w:rsid w:val="00212F08"/>
    <w:rsid w:val="002169C6"/>
    <w:rsid w:val="002175D5"/>
    <w:rsid w:val="0022176A"/>
    <w:rsid w:val="002252D9"/>
    <w:rsid w:val="00225A3F"/>
    <w:rsid w:val="00245536"/>
    <w:rsid w:val="0025311A"/>
    <w:rsid w:val="00254F64"/>
    <w:rsid w:val="00255E05"/>
    <w:rsid w:val="00276DCD"/>
    <w:rsid w:val="002C181E"/>
    <w:rsid w:val="002C3634"/>
    <w:rsid w:val="002E4D1F"/>
    <w:rsid w:val="00314F7E"/>
    <w:rsid w:val="00317C9C"/>
    <w:rsid w:val="0032514A"/>
    <w:rsid w:val="003265C0"/>
    <w:rsid w:val="003437B1"/>
    <w:rsid w:val="00344C2F"/>
    <w:rsid w:val="0034702D"/>
    <w:rsid w:val="0035465B"/>
    <w:rsid w:val="00362B69"/>
    <w:rsid w:val="00385822"/>
    <w:rsid w:val="00385995"/>
    <w:rsid w:val="003928D9"/>
    <w:rsid w:val="003C3816"/>
    <w:rsid w:val="003E413B"/>
    <w:rsid w:val="003E5751"/>
    <w:rsid w:val="003F1CC5"/>
    <w:rsid w:val="003F3C5A"/>
    <w:rsid w:val="003F60A1"/>
    <w:rsid w:val="00412469"/>
    <w:rsid w:val="00424A97"/>
    <w:rsid w:val="004462FE"/>
    <w:rsid w:val="004678AA"/>
    <w:rsid w:val="00475E63"/>
    <w:rsid w:val="004765E2"/>
    <w:rsid w:val="0048273F"/>
    <w:rsid w:val="00482D8C"/>
    <w:rsid w:val="00482FEE"/>
    <w:rsid w:val="00495EBA"/>
    <w:rsid w:val="004D68A6"/>
    <w:rsid w:val="004E0223"/>
    <w:rsid w:val="004F0BA3"/>
    <w:rsid w:val="004F44DB"/>
    <w:rsid w:val="005054ED"/>
    <w:rsid w:val="0050637C"/>
    <w:rsid w:val="00513686"/>
    <w:rsid w:val="00535489"/>
    <w:rsid w:val="00564C6D"/>
    <w:rsid w:val="00570910"/>
    <w:rsid w:val="00572F3B"/>
    <w:rsid w:val="00597A7C"/>
    <w:rsid w:val="005A55DD"/>
    <w:rsid w:val="005A5926"/>
    <w:rsid w:val="005B0F4E"/>
    <w:rsid w:val="005C0A42"/>
    <w:rsid w:val="005C43B4"/>
    <w:rsid w:val="005C71D6"/>
    <w:rsid w:val="005D3467"/>
    <w:rsid w:val="005E5648"/>
    <w:rsid w:val="005F4DB6"/>
    <w:rsid w:val="00600E35"/>
    <w:rsid w:val="0060634A"/>
    <w:rsid w:val="00653B6E"/>
    <w:rsid w:val="00663784"/>
    <w:rsid w:val="006725E6"/>
    <w:rsid w:val="00695974"/>
    <w:rsid w:val="006A7115"/>
    <w:rsid w:val="006A77EB"/>
    <w:rsid w:val="006A78FE"/>
    <w:rsid w:val="006B6A96"/>
    <w:rsid w:val="006C488F"/>
    <w:rsid w:val="006E1806"/>
    <w:rsid w:val="006E4B91"/>
    <w:rsid w:val="006F1648"/>
    <w:rsid w:val="006F40F4"/>
    <w:rsid w:val="00710B61"/>
    <w:rsid w:val="00721ECA"/>
    <w:rsid w:val="007263B4"/>
    <w:rsid w:val="00745DA6"/>
    <w:rsid w:val="00747877"/>
    <w:rsid w:val="00757E0E"/>
    <w:rsid w:val="007879F5"/>
    <w:rsid w:val="00795440"/>
    <w:rsid w:val="007A5ACA"/>
    <w:rsid w:val="007C68B1"/>
    <w:rsid w:val="00801555"/>
    <w:rsid w:val="0080439A"/>
    <w:rsid w:val="00805922"/>
    <w:rsid w:val="0081176D"/>
    <w:rsid w:val="00811888"/>
    <w:rsid w:val="00822CBA"/>
    <w:rsid w:val="0083635E"/>
    <w:rsid w:val="00841D3F"/>
    <w:rsid w:val="00860E4A"/>
    <w:rsid w:val="00876135"/>
    <w:rsid w:val="0089687D"/>
    <w:rsid w:val="0089739C"/>
    <w:rsid w:val="008C41B2"/>
    <w:rsid w:val="008D3B15"/>
    <w:rsid w:val="008E05A1"/>
    <w:rsid w:val="008F294C"/>
    <w:rsid w:val="009004DB"/>
    <w:rsid w:val="00901872"/>
    <w:rsid w:val="00925546"/>
    <w:rsid w:val="009331C8"/>
    <w:rsid w:val="00937842"/>
    <w:rsid w:val="00957968"/>
    <w:rsid w:val="00965317"/>
    <w:rsid w:val="00970F35"/>
    <w:rsid w:val="009778C7"/>
    <w:rsid w:val="00984983"/>
    <w:rsid w:val="0099750E"/>
    <w:rsid w:val="009B15EB"/>
    <w:rsid w:val="009B166A"/>
    <w:rsid w:val="009D6B77"/>
    <w:rsid w:val="009E5390"/>
    <w:rsid w:val="00A01D02"/>
    <w:rsid w:val="00A153A7"/>
    <w:rsid w:val="00A36E4A"/>
    <w:rsid w:val="00A52B45"/>
    <w:rsid w:val="00A64B7B"/>
    <w:rsid w:val="00A71F81"/>
    <w:rsid w:val="00A753EB"/>
    <w:rsid w:val="00A93230"/>
    <w:rsid w:val="00AA1722"/>
    <w:rsid w:val="00AC0453"/>
    <w:rsid w:val="00AE6905"/>
    <w:rsid w:val="00AF17C0"/>
    <w:rsid w:val="00B12180"/>
    <w:rsid w:val="00B270BA"/>
    <w:rsid w:val="00B705A2"/>
    <w:rsid w:val="00B968B6"/>
    <w:rsid w:val="00BB0129"/>
    <w:rsid w:val="00BC1838"/>
    <w:rsid w:val="00BC25E7"/>
    <w:rsid w:val="00BC4524"/>
    <w:rsid w:val="00BD789C"/>
    <w:rsid w:val="00BE1A28"/>
    <w:rsid w:val="00BE4E22"/>
    <w:rsid w:val="00C00265"/>
    <w:rsid w:val="00C014DB"/>
    <w:rsid w:val="00C119F8"/>
    <w:rsid w:val="00C157E9"/>
    <w:rsid w:val="00C15EE4"/>
    <w:rsid w:val="00C23F62"/>
    <w:rsid w:val="00C31CEC"/>
    <w:rsid w:val="00C519F4"/>
    <w:rsid w:val="00C55A1E"/>
    <w:rsid w:val="00C567FB"/>
    <w:rsid w:val="00C62E68"/>
    <w:rsid w:val="00C64291"/>
    <w:rsid w:val="00C716DF"/>
    <w:rsid w:val="00CC4798"/>
    <w:rsid w:val="00CD0F7A"/>
    <w:rsid w:val="00CD344F"/>
    <w:rsid w:val="00CE01F6"/>
    <w:rsid w:val="00CE04E7"/>
    <w:rsid w:val="00CF384C"/>
    <w:rsid w:val="00D179DF"/>
    <w:rsid w:val="00D3200B"/>
    <w:rsid w:val="00D33AD0"/>
    <w:rsid w:val="00D50F38"/>
    <w:rsid w:val="00D65806"/>
    <w:rsid w:val="00D72B9F"/>
    <w:rsid w:val="00D91AC4"/>
    <w:rsid w:val="00DA5F0B"/>
    <w:rsid w:val="00DB43FE"/>
    <w:rsid w:val="00DE7CA7"/>
    <w:rsid w:val="00E03022"/>
    <w:rsid w:val="00E17256"/>
    <w:rsid w:val="00E20E56"/>
    <w:rsid w:val="00E27266"/>
    <w:rsid w:val="00E417D0"/>
    <w:rsid w:val="00E54530"/>
    <w:rsid w:val="00E60FE3"/>
    <w:rsid w:val="00E7636B"/>
    <w:rsid w:val="00E918EE"/>
    <w:rsid w:val="00EA7FBC"/>
    <w:rsid w:val="00EB2819"/>
    <w:rsid w:val="00EB355B"/>
    <w:rsid w:val="00EB4367"/>
    <w:rsid w:val="00EB66B3"/>
    <w:rsid w:val="00EC1164"/>
    <w:rsid w:val="00EC1C8C"/>
    <w:rsid w:val="00EC20AE"/>
    <w:rsid w:val="00EC4572"/>
    <w:rsid w:val="00EC7E25"/>
    <w:rsid w:val="00ED02BE"/>
    <w:rsid w:val="00ED3155"/>
    <w:rsid w:val="00ED540F"/>
    <w:rsid w:val="00EE483C"/>
    <w:rsid w:val="00EF1E9F"/>
    <w:rsid w:val="00EF3B66"/>
    <w:rsid w:val="00F02E01"/>
    <w:rsid w:val="00F12096"/>
    <w:rsid w:val="00F15F4A"/>
    <w:rsid w:val="00F56E88"/>
    <w:rsid w:val="00F6286B"/>
    <w:rsid w:val="00F660BD"/>
    <w:rsid w:val="00F80A98"/>
    <w:rsid w:val="00F84D79"/>
    <w:rsid w:val="00F910E4"/>
    <w:rsid w:val="00FB0B26"/>
    <w:rsid w:val="00FB2B4E"/>
    <w:rsid w:val="00FB5470"/>
    <w:rsid w:val="00FB54B7"/>
    <w:rsid w:val="00FC6132"/>
    <w:rsid w:val="00FD5A4F"/>
    <w:rsid w:val="00FE2A62"/>
    <w:rsid w:val="00FF6D04"/>
    <w:rsid w:val="01DC75CA"/>
    <w:rsid w:val="023752FB"/>
    <w:rsid w:val="04D70E27"/>
    <w:rsid w:val="065E32B1"/>
    <w:rsid w:val="0855058A"/>
    <w:rsid w:val="09C70449"/>
    <w:rsid w:val="0A517FD6"/>
    <w:rsid w:val="0C3A3AB1"/>
    <w:rsid w:val="0C4F444B"/>
    <w:rsid w:val="0CC7352F"/>
    <w:rsid w:val="0D963232"/>
    <w:rsid w:val="0E3176E6"/>
    <w:rsid w:val="11F0239B"/>
    <w:rsid w:val="11FC55B2"/>
    <w:rsid w:val="13D01963"/>
    <w:rsid w:val="14B77649"/>
    <w:rsid w:val="16513DF6"/>
    <w:rsid w:val="17954B1C"/>
    <w:rsid w:val="17A20BF0"/>
    <w:rsid w:val="1A9536D7"/>
    <w:rsid w:val="1CA61F02"/>
    <w:rsid w:val="1DD97567"/>
    <w:rsid w:val="1E5847BE"/>
    <w:rsid w:val="1F231FEA"/>
    <w:rsid w:val="1F5A0D07"/>
    <w:rsid w:val="20345DF1"/>
    <w:rsid w:val="24CF5440"/>
    <w:rsid w:val="254F1D14"/>
    <w:rsid w:val="263B71BF"/>
    <w:rsid w:val="282B4564"/>
    <w:rsid w:val="28D23530"/>
    <w:rsid w:val="2A574CBB"/>
    <w:rsid w:val="2C535FF3"/>
    <w:rsid w:val="2D371F46"/>
    <w:rsid w:val="2E8B4C27"/>
    <w:rsid w:val="2F245B02"/>
    <w:rsid w:val="30110809"/>
    <w:rsid w:val="30C568D8"/>
    <w:rsid w:val="322E1D48"/>
    <w:rsid w:val="325E7967"/>
    <w:rsid w:val="33925D96"/>
    <w:rsid w:val="33F24E9C"/>
    <w:rsid w:val="34CA5108"/>
    <w:rsid w:val="3AE77C86"/>
    <w:rsid w:val="3B81526A"/>
    <w:rsid w:val="3C660101"/>
    <w:rsid w:val="3CAE221A"/>
    <w:rsid w:val="3DE75F30"/>
    <w:rsid w:val="3E0E3836"/>
    <w:rsid w:val="3ED174AB"/>
    <w:rsid w:val="3F233F01"/>
    <w:rsid w:val="43067263"/>
    <w:rsid w:val="462F44E6"/>
    <w:rsid w:val="47B82AC3"/>
    <w:rsid w:val="47E559F9"/>
    <w:rsid w:val="48176D11"/>
    <w:rsid w:val="4876179A"/>
    <w:rsid w:val="4A37714A"/>
    <w:rsid w:val="4B510D09"/>
    <w:rsid w:val="4BCC28F2"/>
    <w:rsid w:val="4BE83164"/>
    <w:rsid w:val="4C8853A9"/>
    <w:rsid w:val="4CBF0755"/>
    <w:rsid w:val="4F583EE0"/>
    <w:rsid w:val="51FA2841"/>
    <w:rsid w:val="5447385A"/>
    <w:rsid w:val="54911B66"/>
    <w:rsid w:val="565F74E2"/>
    <w:rsid w:val="56944BFE"/>
    <w:rsid w:val="56BD2275"/>
    <w:rsid w:val="5C0D29CF"/>
    <w:rsid w:val="5E9C0833"/>
    <w:rsid w:val="605D5492"/>
    <w:rsid w:val="61A54544"/>
    <w:rsid w:val="62B80AC5"/>
    <w:rsid w:val="632779F9"/>
    <w:rsid w:val="65FB49E1"/>
    <w:rsid w:val="66E225B5"/>
    <w:rsid w:val="688A2F04"/>
    <w:rsid w:val="68AB69D7"/>
    <w:rsid w:val="6A936056"/>
    <w:rsid w:val="6ED92188"/>
    <w:rsid w:val="6F251B17"/>
    <w:rsid w:val="71363562"/>
    <w:rsid w:val="71CB5E83"/>
    <w:rsid w:val="7211341B"/>
    <w:rsid w:val="728F3D2C"/>
    <w:rsid w:val="735508D4"/>
    <w:rsid w:val="74394FB6"/>
    <w:rsid w:val="75B443BF"/>
    <w:rsid w:val="77854F30"/>
    <w:rsid w:val="77897439"/>
    <w:rsid w:val="78414C61"/>
    <w:rsid w:val="7881788A"/>
    <w:rsid w:val="78833F93"/>
    <w:rsid w:val="7AA50374"/>
    <w:rsid w:val="7B9D48A5"/>
    <w:rsid w:val="7BE01E7B"/>
    <w:rsid w:val="7CB76357"/>
    <w:rsid w:val="7D4D630D"/>
    <w:rsid w:val="7DC71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qFormat/>
    <w:uiPriority w:val="0"/>
    <w:pPr>
      <w:keepNext/>
      <w:outlineLvl w:val="2"/>
    </w:pPr>
    <w:rPr>
      <w:rFonts w:ascii="楷体_GB2312" w:hAnsi="宋体" w:eastAsia="黑体"/>
      <w:b/>
      <w:bCs/>
      <w:sz w:val="32"/>
    </w:rPr>
  </w:style>
  <w:style w:type="paragraph" w:styleId="5">
    <w:name w:val="heading 4"/>
    <w:basedOn w:val="1"/>
    <w:next w:val="1"/>
    <w:link w:val="37"/>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0"/>
    <w:semiHidden/>
    <w:unhideWhenUsed/>
    <w:qFormat/>
    <w:uiPriority w:val="9"/>
    <w:pPr>
      <w:keepNext/>
      <w:keepLines/>
      <w:spacing w:before="280" w:after="290" w:line="376" w:lineRule="auto"/>
      <w:outlineLvl w:val="4"/>
    </w:pPr>
    <w:rPr>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unhideWhenUsed/>
    <w:qFormat/>
    <w:uiPriority w:val="99"/>
    <w:pPr>
      <w:autoSpaceDE w:val="0"/>
      <w:autoSpaceDN w:val="0"/>
      <w:adjustRightInd w:val="0"/>
      <w:ind w:firstLine="420"/>
      <w:textAlignment w:val="baseline"/>
    </w:pPr>
    <w:rPr>
      <w:rFonts w:ascii="宋体" w:hAnsi="宋体" w:eastAsia="宋体" w:cs="宋体"/>
      <w:kern w:val="0"/>
      <w:szCs w:val="21"/>
    </w:rPr>
  </w:style>
  <w:style w:type="paragraph" w:styleId="8">
    <w:name w:val="annotation text"/>
    <w:basedOn w:val="1"/>
    <w:link w:val="32"/>
    <w:unhideWhenUsed/>
    <w:qFormat/>
    <w:uiPriority w:val="99"/>
    <w:pPr>
      <w:jc w:val="left"/>
    </w:pPr>
  </w:style>
  <w:style w:type="paragraph" w:styleId="9">
    <w:name w:val="Body Text"/>
    <w:basedOn w:val="1"/>
    <w:next w:val="10"/>
    <w:link w:val="38"/>
    <w:unhideWhenUsed/>
    <w:qFormat/>
    <w:uiPriority w:val="0"/>
    <w:pPr>
      <w:spacing w:after="120"/>
    </w:pPr>
  </w:style>
  <w:style w:type="paragraph" w:styleId="10">
    <w:name w:val="toc 5"/>
    <w:basedOn w:val="1"/>
    <w:next w:val="1"/>
    <w:qFormat/>
    <w:uiPriority w:val="0"/>
    <w:pPr>
      <w:widowControl/>
      <w:ind w:left="1680" w:leftChars="800"/>
    </w:pPr>
    <w:rPr>
      <w:rFonts w:ascii="Times New Roman"/>
    </w:rPr>
  </w:style>
  <w:style w:type="paragraph" w:styleId="11">
    <w:name w:val="Body Text Indent"/>
    <w:basedOn w:val="1"/>
    <w:next w:val="12"/>
    <w:unhideWhenUsed/>
    <w:qFormat/>
    <w:uiPriority w:val="99"/>
    <w:pPr>
      <w:spacing w:after="120"/>
      <w:ind w:left="420" w:leftChars="200"/>
    </w:pPr>
  </w:style>
  <w:style w:type="paragraph" w:styleId="12">
    <w:name w:val="envelope return"/>
    <w:basedOn w:val="1"/>
    <w:qFormat/>
    <w:uiPriority w:val="99"/>
    <w:pPr>
      <w:snapToGrid w:val="0"/>
    </w:pPr>
    <w:rPr>
      <w:rFonts w:ascii="Arial" w:hAnsi="Arial"/>
    </w:rPr>
  </w:style>
  <w:style w:type="paragraph" w:styleId="13">
    <w:name w:val="Plain Text"/>
    <w:basedOn w:val="1"/>
    <w:qFormat/>
    <w:uiPriority w:val="0"/>
    <w:rPr>
      <w:rFonts w:ascii="宋体" w:hAnsi="Courier New" w:cs="Courier New"/>
      <w:szCs w:val="21"/>
    </w:rPr>
  </w:style>
  <w:style w:type="paragraph" w:styleId="14">
    <w:name w:val="Balloon Text"/>
    <w:basedOn w:val="1"/>
    <w:link w:val="29"/>
    <w:semiHidden/>
    <w:unhideWhenUsed/>
    <w:qFormat/>
    <w:uiPriority w:val="99"/>
    <w:rPr>
      <w:sz w:val="18"/>
      <w:szCs w:val="18"/>
    </w:rPr>
  </w:style>
  <w:style w:type="paragraph" w:styleId="15">
    <w:name w:val="footer"/>
    <w:basedOn w:val="1"/>
    <w:link w:val="28"/>
    <w:unhideWhenUsed/>
    <w:qFormat/>
    <w:uiPriority w:val="99"/>
    <w:pPr>
      <w:tabs>
        <w:tab w:val="center" w:pos="4153"/>
        <w:tab w:val="right" w:pos="8306"/>
      </w:tabs>
      <w:snapToGrid w:val="0"/>
      <w:jc w:val="left"/>
    </w:pPr>
    <w:rPr>
      <w:sz w:val="18"/>
      <w:szCs w:val="18"/>
    </w:rPr>
  </w:style>
  <w:style w:type="paragraph" w:styleId="1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8">
    <w:name w:val="annotation subject"/>
    <w:basedOn w:val="8"/>
    <w:next w:val="8"/>
    <w:link w:val="33"/>
    <w:semiHidden/>
    <w:unhideWhenUsed/>
    <w:qFormat/>
    <w:uiPriority w:val="99"/>
    <w:rPr>
      <w:b/>
      <w:bCs/>
    </w:rPr>
  </w:style>
  <w:style w:type="paragraph" w:styleId="19">
    <w:name w:val="Body Text First Indent 2"/>
    <w:basedOn w:val="11"/>
    <w:unhideWhenUsed/>
    <w:qFormat/>
    <w:uiPriority w:val="99"/>
    <w:pPr>
      <w:ind w:firstLine="420" w:firstLineChars="200"/>
    </w:pPr>
  </w:style>
  <w:style w:type="table" w:styleId="21">
    <w:name w:val="Table Grid"/>
    <w:basedOn w:val="2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22"/>
    <w:rPr>
      <w:b/>
      <w:bCs/>
    </w:rPr>
  </w:style>
  <w:style w:type="character" w:styleId="24">
    <w:name w:val="FollowedHyperlink"/>
    <w:basedOn w:val="22"/>
    <w:semiHidden/>
    <w:unhideWhenUsed/>
    <w:qFormat/>
    <w:uiPriority w:val="99"/>
    <w:rPr>
      <w:color w:val="954F72" w:themeColor="followedHyperlink"/>
      <w:u w:val="single"/>
      <w14:textFill>
        <w14:solidFill>
          <w14:schemeClr w14:val="folHlink"/>
        </w14:solidFill>
      </w14:textFill>
    </w:rPr>
  </w:style>
  <w:style w:type="character" w:styleId="25">
    <w:name w:val="Hyperlink"/>
    <w:basedOn w:val="22"/>
    <w:unhideWhenUsed/>
    <w:qFormat/>
    <w:uiPriority w:val="99"/>
    <w:rPr>
      <w:color w:val="0563C1" w:themeColor="hyperlink"/>
      <w:u w:val="single"/>
      <w14:textFill>
        <w14:solidFill>
          <w14:schemeClr w14:val="hlink"/>
        </w14:solidFill>
      </w14:textFill>
    </w:rPr>
  </w:style>
  <w:style w:type="character" w:styleId="26">
    <w:name w:val="annotation reference"/>
    <w:basedOn w:val="22"/>
    <w:semiHidden/>
    <w:unhideWhenUsed/>
    <w:qFormat/>
    <w:uiPriority w:val="99"/>
    <w:rPr>
      <w:sz w:val="21"/>
      <w:szCs w:val="21"/>
    </w:rPr>
  </w:style>
  <w:style w:type="character" w:customStyle="1" w:styleId="27">
    <w:name w:val="页眉 Char"/>
    <w:basedOn w:val="22"/>
    <w:link w:val="16"/>
    <w:qFormat/>
    <w:uiPriority w:val="99"/>
    <w:rPr>
      <w:sz w:val="18"/>
      <w:szCs w:val="18"/>
    </w:rPr>
  </w:style>
  <w:style w:type="character" w:customStyle="1" w:styleId="28">
    <w:name w:val="页脚 Char"/>
    <w:basedOn w:val="22"/>
    <w:link w:val="15"/>
    <w:qFormat/>
    <w:uiPriority w:val="99"/>
    <w:rPr>
      <w:sz w:val="18"/>
      <w:szCs w:val="18"/>
    </w:rPr>
  </w:style>
  <w:style w:type="character" w:customStyle="1" w:styleId="29">
    <w:name w:val="批注框文本 Char"/>
    <w:basedOn w:val="22"/>
    <w:link w:val="14"/>
    <w:semiHidden/>
    <w:qFormat/>
    <w:uiPriority w:val="99"/>
    <w:rPr>
      <w:sz w:val="18"/>
      <w:szCs w:val="18"/>
    </w:rPr>
  </w:style>
  <w:style w:type="paragraph" w:styleId="30">
    <w:name w:val="List Paragraph"/>
    <w:basedOn w:val="1"/>
    <w:qFormat/>
    <w:uiPriority w:val="34"/>
    <w:pPr>
      <w:ind w:firstLine="420" w:firstLineChars="200"/>
    </w:pPr>
    <w:rPr>
      <w:rFonts w:eastAsia="黑体"/>
      <w:bCs/>
      <w:sz w:val="30"/>
      <w:szCs w:val="30"/>
    </w:rPr>
  </w:style>
  <w:style w:type="paragraph" w:customStyle="1" w:styleId="31">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32">
    <w:name w:val="批注文字 Char"/>
    <w:basedOn w:val="22"/>
    <w:link w:val="8"/>
    <w:qFormat/>
    <w:uiPriority w:val="99"/>
    <w:rPr>
      <w:rFonts w:asciiTheme="minorHAnsi" w:hAnsiTheme="minorHAnsi" w:eastAsiaTheme="minorEastAsia" w:cstheme="minorBidi"/>
      <w:kern w:val="2"/>
      <w:sz w:val="21"/>
      <w:szCs w:val="24"/>
    </w:rPr>
  </w:style>
  <w:style w:type="character" w:customStyle="1" w:styleId="33">
    <w:name w:val="批注主题 Char"/>
    <w:basedOn w:val="32"/>
    <w:link w:val="18"/>
    <w:semiHidden/>
    <w:qFormat/>
    <w:uiPriority w:val="99"/>
    <w:rPr>
      <w:rFonts w:asciiTheme="minorHAnsi" w:hAnsiTheme="minorHAnsi" w:eastAsiaTheme="minorEastAsia" w:cstheme="minorBidi"/>
      <w:b/>
      <w:bCs/>
      <w:kern w:val="2"/>
      <w:sz w:val="21"/>
      <w:szCs w:val="24"/>
    </w:rPr>
  </w:style>
  <w:style w:type="character" w:customStyle="1" w:styleId="34">
    <w:name w:val="标题 1 Char"/>
    <w:basedOn w:val="22"/>
    <w:link w:val="2"/>
    <w:qFormat/>
    <w:uiPriority w:val="9"/>
    <w:rPr>
      <w:rFonts w:asciiTheme="minorHAnsi" w:hAnsiTheme="minorHAnsi" w:eastAsiaTheme="minorEastAsia" w:cstheme="minorBidi"/>
      <w:b/>
      <w:bCs/>
      <w:kern w:val="44"/>
      <w:sz w:val="44"/>
      <w:szCs w:val="44"/>
    </w:rPr>
  </w:style>
  <w:style w:type="character" w:customStyle="1" w:styleId="35">
    <w:name w:val="未处理的提及1"/>
    <w:basedOn w:val="22"/>
    <w:semiHidden/>
    <w:unhideWhenUsed/>
    <w:qFormat/>
    <w:uiPriority w:val="99"/>
    <w:rPr>
      <w:color w:val="605E5C"/>
      <w:shd w:val="clear" w:color="auto" w:fill="E1DFDD"/>
    </w:rPr>
  </w:style>
  <w:style w:type="character" w:customStyle="1" w:styleId="36">
    <w:name w:val="标题 2 Char"/>
    <w:basedOn w:val="22"/>
    <w:link w:val="3"/>
    <w:semiHidden/>
    <w:qFormat/>
    <w:uiPriority w:val="9"/>
    <w:rPr>
      <w:rFonts w:asciiTheme="majorHAnsi" w:hAnsiTheme="majorHAnsi" w:eastAsiaTheme="majorEastAsia" w:cstheme="majorBidi"/>
      <w:b/>
      <w:bCs/>
      <w:kern w:val="2"/>
      <w:sz w:val="32"/>
      <w:szCs w:val="32"/>
    </w:rPr>
  </w:style>
  <w:style w:type="character" w:customStyle="1" w:styleId="37">
    <w:name w:val="标题 4 Char"/>
    <w:basedOn w:val="22"/>
    <w:link w:val="5"/>
    <w:semiHidden/>
    <w:qFormat/>
    <w:uiPriority w:val="9"/>
    <w:rPr>
      <w:rFonts w:asciiTheme="majorHAnsi" w:hAnsiTheme="majorHAnsi" w:eastAsiaTheme="majorEastAsia" w:cstheme="majorBidi"/>
      <w:b/>
      <w:bCs/>
      <w:kern w:val="2"/>
      <w:sz w:val="28"/>
      <w:szCs w:val="28"/>
    </w:rPr>
  </w:style>
  <w:style w:type="character" w:customStyle="1" w:styleId="38">
    <w:name w:val="正文文本 Char"/>
    <w:basedOn w:val="22"/>
    <w:link w:val="9"/>
    <w:qFormat/>
    <w:uiPriority w:val="0"/>
    <w:rPr>
      <w:rFonts w:asciiTheme="minorHAnsi" w:hAnsiTheme="minorHAnsi" w:eastAsiaTheme="minorEastAsia" w:cstheme="minorBidi"/>
      <w:kern w:val="2"/>
      <w:sz w:val="21"/>
      <w:szCs w:val="24"/>
    </w:rPr>
  </w:style>
  <w:style w:type="paragraph" w:customStyle="1" w:styleId="39">
    <w:name w:val="Table Paragraph"/>
    <w:basedOn w:val="1"/>
    <w:unhideWhenUsed/>
    <w:qFormat/>
    <w:uiPriority w:val="1"/>
    <w:pPr>
      <w:autoSpaceDE w:val="0"/>
      <w:autoSpaceDN w:val="0"/>
      <w:adjustRightInd w:val="0"/>
      <w:jc w:val="left"/>
    </w:pPr>
    <w:rPr>
      <w:rFonts w:ascii="宋体" w:hAnsi="Times New Roman" w:eastAsia="宋体" w:cs="宋体"/>
      <w:kern w:val="0"/>
      <w:sz w:val="24"/>
    </w:rPr>
  </w:style>
  <w:style w:type="character" w:customStyle="1" w:styleId="40">
    <w:name w:val="标题 5 Char"/>
    <w:basedOn w:val="22"/>
    <w:link w:val="6"/>
    <w:semiHidden/>
    <w:qFormat/>
    <w:uiPriority w:val="9"/>
    <w:rPr>
      <w:rFonts w:asciiTheme="minorHAnsi" w:hAnsiTheme="minorHAnsi" w:eastAsiaTheme="minorEastAsia" w:cstheme="minorBidi"/>
      <w:b/>
      <w:bCs/>
      <w:kern w:val="2"/>
      <w:sz w:val="28"/>
      <w:szCs w:val="28"/>
    </w:rPr>
  </w:style>
  <w:style w:type="paragraph" w:customStyle="1" w:styleId="41">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42">
    <w:name w:val="WPSOffice手动目录 1"/>
    <w:qFormat/>
    <w:uiPriority w:val="0"/>
    <w:pPr>
      <w:ind w:leftChars="0"/>
    </w:pPr>
    <w:rPr>
      <w:rFonts w:asciiTheme="minorHAnsi" w:hAnsiTheme="minorHAnsi" w:eastAsiaTheme="minorEastAsia" w:cstheme="minorBidi"/>
      <w:sz w:val="20"/>
      <w:szCs w:val="20"/>
    </w:rPr>
  </w:style>
  <w:style w:type="paragraph" w:customStyle="1" w:styleId="43">
    <w:name w:val="null3"/>
    <w:qFormat/>
    <w:uiPriority w:val="0"/>
    <w:rPr>
      <w:rFonts w:hint="eastAsia" w:ascii="Calibri" w:hAnsi="Calibri" w:eastAsia="宋体" w:cs="Times New Roman"/>
      <w:lang w:val="en-US" w:eastAsia="zh-Hans"/>
    </w:rPr>
  </w:style>
  <w:style w:type="character" w:customStyle="1" w:styleId="44">
    <w:name w:val="font11"/>
    <w:basedOn w:val="22"/>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SMET</Company>
  <Pages>31</Pages>
  <Words>5413</Words>
  <Characters>5565</Characters>
  <Lines>148</Lines>
  <Paragraphs>41</Paragraphs>
  <TotalTime>171</TotalTime>
  <ScaleCrop>false</ScaleCrop>
  <LinksUpToDate>false</LinksUpToDate>
  <CharactersWithSpaces>5594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2021-08-05T08:55:00Z</dcterms:created>
  <dc:creator>River</dc:creator>
  <cp:lastModifiedBy>小军</cp:lastModifiedBy>
  <cp:lastPrinted>2021-08-04T06:09:00Z</cp:lastPrinted>
  <dcterms:modified xsi:type="dcterms:W3CDTF">2025-08-07T06:38:22Z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700F6850901F4134BF086FE8B5134DFA</vt:lpwstr>
  </property>
  <property fmtid="{D5CDD505-2E9C-101B-9397-08002B2CF9AE}" pid="4" name="KSOTemplateDocerSaveRecord">
    <vt:lpwstr>eyJoZGlkIjoiMDI1YTQ0MGQ2NDc4NmQ3MjU4NTFkMzZmNDA5NDM5ODgiLCJ1c2VySWQiOiIxMTY5NzIyNzgyIn0=</vt:lpwstr>
  </property>
</Properties>
</file>