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8"/>
          <w:rFonts w:hint="eastAsia" w:ascii="宋体" w:hAnsi="宋体" w:eastAsia="宋体" w:cs="宋体"/>
          <w:b/>
          <w:bCs/>
          <w:sz w:val="32"/>
          <w:szCs w:val="28"/>
        </w:rPr>
      </w:pPr>
    </w:p>
    <w:p w14:paraId="0C8D5C73">
      <w:pPr>
        <w:spacing w:line="360" w:lineRule="auto"/>
        <w:jc w:val="center"/>
        <w:outlineLvl w:val="1"/>
        <w:rPr>
          <w:rStyle w:val="18"/>
          <w:rFonts w:hint="eastAsia" w:ascii="宋体" w:hAnsi="宋体" w:eastAsia="宋体" w:cs="宋体"/>
          <w:b/>
          <w:bCs/>
          <w:sz w:val="32"/>
          <w:szCs w:val="28"/>
          <w:lang w:val="en-US" w:eastAsia="zh-CN"/>
        </w:rPr>
      </w:pPr>
    </w:p>
    <w:p w14:paraId="268FE1B6">
      <w:pPr>
        <w:spacing w:line="360" w:lineRule="auto"/>
        <w:jc w:val="center"/>
        <w:outlineLvl w:val="1"/>
        <w:rPr>
          <w:rStyle w:val="18"/>
          <w:rFonts w:hint="eastAsia" w:ascii="宋体" w:hAnsi="宋体" w:eastAsia="宋体" w:cs="宋体"/>
          <w:b/>
          <w:bCs/>
          <w:sz w:val="32"/>
          <w:szCs w:val="28"/>
          <w:lang w:val="en-US" w:eastAsia="zh-CN"/>
        </w:rPr>
      </w:pPr>
    </w:p>
    <w:p w14:paraId="2F3D57A4">
      <w:pPr>
        <w:spacing w:line="360" w:lineRule="auto"/>
        <w:jc w:val="center"/>
        <w:outlineLvl w:val="1"/>
        <w:rPr>
          <w:rStyle w:val="18"/>
          <w:rFonts w:hint="eastAsia" w:ascii="宋体" w:hAnsi="宋体" w:eastAsia="宋体" w:cs="宋体"/>
          <w:b/>
          <w:bCs/>
          <w:sz w:val="32"/>
          <w:szCs w:val="28"/>
          <w:lang w:val="en-US" w:eastAsia="zh-CN"/>
        </w:rPr>
      </w:pPr>
    </w:p>
    <w:p w14:paraId="0D63EF51">
      <w:pPr>
        <w:pStyle w:val="5"/>
        <w:rPr>
          <w:rStyle w:val="18"/>
          <w:rFonts w:hint="eastAsia" w:ascii="宋体" w:hAnsi="宋体" w:eastAsia="宋体" w:cs="宋体"/>
          <w:b/>
          <w:bCs/>
          <w:sz w:val="32"/>
          <w:szCs w:val="28"/>
          <w:lang w:val="en-US" w:eastAsia="zh-CN"/>
        </w:rPr>
      </w:pPr>
    </w:p>
    <w:p w14:paraId="26170796">
      <w:pPr>
        <w:pStyle w:val="12"/>
        <w:rPr>
          <w:rStyle w:val="18"/>
          <w:rFonts w:hint="eastAsia" w:ascii="宋体" w:hAnsi="宋体" w:eastAsia="宋体" w:cs="宋体"/>
          <w:b/>
          <w:bCs/>
          <w:sz w:val="32"/>
          <w:szCs w:val="28"/>
          <w:lang w:val="en-US" w:eastAsia="zh-CN"/>
        </w:rPr>
      </w:pPr>
    </w:p>
    <w:p w14:paraId="5F9B338A">
      <w:pPr>
        <w:pStyle w:val="12"/>
        <w:rPr>
          <w:rStyle w:val="18"/>
          <w:rFonts w:hint="eastAsia" w:ascii="宋体" w:hAnsi="宋体" w:eastAsia="宋体" w:cs="宋体"/>
          <w:b/>
          <w:bCs/>
          <w:sz w:val="32"/>
          <w:szCs w:val="28"/>
          <w:lang w:val="en-US" w:eastAsia="zh-CN"/>
        </w:rPr>
      </w:pPr>
    </w:p>
    <w:p w14:paraId="0B850935">
      <w:pPr>
        <w:pStyle w:val="12"/>
        <w:rPr>
          <w:rStyle w:val="18"/>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8"/>
          <w:rFonts w:hint="eastAsia" w:ascii="宋体" w:hAnsi="宋体" w:eastAsia="宋体" w:cs="宋体"/>
          <w:b/>
          <w:bCs/>
          <w:sz w:val="48"/>
          <w:szCs w:val="48"/>
          <w:lang w:val="en-US" w:eastAsia="zh-CN"/>
        </w:rPr>
        <w:t>中山市东升医院监控系统及门禁系统维保服务项目调研响应文件</w:t>
      </w:r>
    </w:p>
    <w:p w14:paraId="3785F128">
      <w:pPr>
        <w:spacing w:line="360" w:lineRule="auto"/>
        <w:jc w:val="center"/>
        <w:outlineLvl w:val="1"/>
        <w:rPr>
          <w:rStyle w:val="18"/>
          <w:rFonts w:hint="eastAsia" w:ascii="宋体" w:hAnsi="宋体" w:eastAsia="宋体" w:cs="宋体"/>
          <w:b/>
          <w:bCs/>
          <w:sz w:val="32"/>
          <w:szCs w:val="28"/>
        </w:rPr>
      </w:pPr>
    </w:p>
    <w:p w14:paraId="66779CA0">
      <w:pPr>
        <w:spacing w:line="360" w:lineRule="auto"/>
        <w:jc w:val="center"/>
        <w:outlineLvl w:val="1"/>
        <w:rPr>
          <w:rStyle w:val="18"/>
          <w:rFonts w:hint="eastAsia" w:ascii="宋体" w:hAnsi="宋体" w:eastAsia="宋体" w:cs="宋体"/>
          <w:b/>
          <w:bCs/>
          <w:sz w:val="32"/>
          <w:szCs w:val="28"/>
        </w:rPr>
      </w:pPr>
    </w:p>
    <w:p w14:paraId="3ACB86FE">
      <w:pPr>
        <w:spacing w:line="360" w:lineRule="auto"/>
        <w:jc w:val="center"/>
        <w:outlineLvl w:val="1"/>
        <w:rPr>
          <w:rStyle w:val="18"/>
          <w:rFonts w:hint="eastAsia" w:ascii="宋体" w:hAnsi="宋体" w:eastAsia="宋体" w:cs="宋体"/>
          <w:b/>
          <w:bCs/>
          <w:sz w:val="32"/>
          <w:szCs w:val="28"/>
        </w:rPr>
      </w:pPr>
    </w:p>
    <w:p w14:paraId="07D4B0A5">
      <w:pPr>
        <w:spacing w:line="360" w:lineRule="auto"/>
        <w:jc w:val="center"/>
        <w:outlineLvl w:val="1"/>
        <w:rPr>
          <w:rStyle w:val="18"/>
          <w:rFonts w:hint="eastAsia" w:ascii="宋体" w:hAnsi="宋体" w:eastAsia="宋体" w:cs="宋体"/>
          <w:b/>
          <w:bCs/>
          <w:sz w:val="32"/>
          <w:szCs w:val="28"/>
        </w:rPr>
      </w:pPr>
    </w:p>
    <w:p w14:paraId="41060C6E">
      <w:pPr>
        <w:spacing w:line="360" w:lineRule="auto"/>
        <w:jc w:val="center"/>
        <w:outlineLvl w:val="1"/>
        <w:rPr>
          <w:rStyle w:val="18"/>
          <w:rFonts w:hint="eastAsia" w:ascii="宋体" w:hAnsi="宋体" w:eastAsia="宋体" w:cs="宋体"/>
          <w:b/>
          <w:bCs/>
          <w:sz w:val="32"/>
          <w:szCs w:val="28"/>
        </w:rPr>
      </w:pPr>
    </w:p>
    <w:p w14:paraId="43C5CE10">
      <w:pPr>
        <w:pStyle w:val="4"/>
        <w:rPr>
          <w:rStyle w:val="18"/>
          <w:rFonts w:hint="eastAsia" w:ascii="宋体" w:hAnsi="宋体" w:eastAsia="宋体" w:cs="宋体"/>
          <w:b/>
          <w:bCs/>
          <w:sz w:val="32"/>
          <w:szCs w:val="28"/>
        </w:rPr>
      </w:pPr>
    </w:p>
    <w:p w14:paraId="13F4767D">
      <w:pPr>
        <w:spacing w:line="360" w:lineRule="auto"/>
        <w:ind w:firstLine="1680" w:firstLineChars="700"/>
        <w:jc w:val="both"/>
        <w:outlineLvl w:val="1"/>
        <w:rPr>
          <w:rStyle w:val="18"/>
          <w:rFonts w:hint="default" w:ascii="宋体" w:hAnsi="宋体" w:eastAsia="宋体" w:cs="宋体"/>
          <w:b w:val="0"/>
          <w:bCs w:val="0"/>
          <w:sz w:val="24"/>
          <w:szCs w:val="24"/>
          <w:u w:val="single"/>
          <w:lang w:val="en-US" w:eastAsia="zh-CN"/>
        </w:rPr>
      </w:pPr>
      <w:r>
        <w:rPr>
          <w:rStyle w:val="18"/>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8"/>
          <w:rFonts w:hint="eastAsia" w:ascii="宋体" w:hAnsi="宋体" w:eastAsia="宋体" w:cs="宋体"/>
          <w:b w:val="0"/>
          <w:bCs w:val="0"/>
          <w:sz w:val="24"/>
          <w:szCs w:val="24"/>
          <w:lang w:val="en-US" w:eastAsia="zh-CN"/>
        </w:rPr>
      </w:pPr>
      <w:r>
        <w:rPr>
          <w:rStyle w:val="18"/>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8"/>
          <w:rFonts w:hint="eastAsia" w:ascii="宋体" w:hAnsi="宋体" w:eastAsia="宋体" w:cs="宋体"/>
          <w:b w:val="0"/>
          <w:bCs w:val="0"/>
          <w:sz w:val="24"/>
          <w:szCs w:val="24"/>
          <w:lang w:val="en-US" w:eastAsia="zh-CN"/>
        </w:rPr>
      </w:pPr>
      <w:r>
        <w:rPr>
          <w:rStyle w:val="18"/>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18"/>
          <w:rFonts w:hint="default" w:ascii="宋体" w:hAnsi="宋体" w:eastAsia="宋体" w:cs="宋体"/>
          <w:b w:val="0"/>
          <w:bCs w:val="0"/>
          <w:sz w:val="24"/>
          <w:szCs w:val="24"/>
          <w:lang w:val="en-US" w:eastAsia="zh-CN"/>
        </w:rPr>
      </w:pPr>
      <w:r>
        <w:rPr>
          <w:rStyle w:val="18"/>
          <w:rFonts w:hint="eastAsia" w:ascii="宋体" w:hAnsi="宋体" w:eastAsia="宋体" w:cs="宋体"/>
          <w:b w:val="0"/>
          <w:bCs w:val="0"/>
          <w:sz w:val="24"/>
          <w:szCs w:val="24"/>
          <w:lang w:val="en-US" w:eastAsia="zh-CN"/>
        </w:rPr>
        <w:t>邮箱：</w:t>
      </w:r>
    </w:p>
    <w:p w14:paraId="319592BB">
      <w:pPr>
        <w:pStyle w:val="4"/>
        <w:rPr>
          <w:rStyle w:val="18"/>
          <w:rFonts w:hint="eastAsia" w:ascii="宋体" w:hAnsi="宋体" w:eastAsia="宋体" w:cs="宋体"/>
          <w:b/>
          <w:bCs/>
          <w:sz w:val="32"/>
          <w:szCs w:val="28"/>
        </w:rPr>
      </w:pPr>
    </w:p>
    <w:p w14:paraId="18276DFC">
      <w:pPr>
        <w:spacing w:line="360" w:lineRule="auto"/>
        <w:jc w:val="left"/>
        <w:outlineLvl w:val="1"/>
        <w:rPr>
          <w:rStyle w:val="18"/>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0CA609BF">
      <w:pPr>
        <w:pStyle w:val="17"/>
        <w:numPr>
          <w:ilvl w:val="0"/>
          <w:numId w:val="0"/>
        </w:numPr>
        <w:spacing w:line="360" w:lineRule="auto"/>
        <w:ind w:leftChars="0"/>
        <w:jc w:val="center"/>
        <w:rPr>
          <w:rFonts w:hint="eastAsia" w:ascii="宋体" w:hAnsi="宋体" w:eastAsia="宋体" w:cs="宋体"/>
          <w:b/>
          <w:bCs/>
          <w:sz w:val="32"/>
          <w:szCs w:val="32"/>
          <w:lang w:val="zh-TW" w:eastAsia="zh-TW"/>
        </w:rPr>
      </w:pPr>
      <w:r>
        <w:rPr>
          <w:rFonts w:hint="eastAsia" w:ascii="宋体" w:hAnsi="宋体" w:eastAsia="宋体" w:cs="宋体"/>
          <w:b/>
          <w:bCs/>
          <w:sz w:val="32"/>
          <w:szCs w:val="32"/>
          <w:lang w:val="zh-TW" w:eastAsia="zh-CN"/>
        </w:rPr>
        <w:t>一、调研</w:t>
      </w:r>
      <w:r>
        <w:rPr>
          <w:rFonts w:hint="eastAsia" w:ascii="宋体" w:hAnsi="宋体" w:eastAsia="宋体" w:cs="宋体"/>
          <w:b/>
          <w:bCs/>
          <w:sz w:val="32"/>
          <w:szCs w:val="32"/>
          <w:lang w:val="zh-TW" w:eastAsia="zh-TW"/>
        </w:rPr>
        <w:t>报价单</w:t>
      </w:r>
    </w:p>
    <w:p w14:paraId="152EF204">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本调研公告将作为后续该项目参数设置及预算确定的重要依据，</w:t>
      </w:r>
      <w:r>
        <w:rPr>
          <w:rFonts w:hint="eastAsia" w:ascii="宋体" w:hAnsi="宋体" w:eastAsia="宋体" w:cs="宋体"/>
          <w:b w:val="0"/>
          <w:bCs w:val="0"/>
          <w:sz w:val="21"/>
          <w:szCs w:val="21"/>
          <w:lang w:val="zh-TW" w:eastAsia="zh-CN"/>
        </w:rPr>
        <w:t>请各意向供应商认真核实情况后提供调研报价</w:t>
      </w:r>
    </w:p>
    <w:p w14:paraId="4498CA15">
      <w:pPr>
        <w:numPr>
          <w:ilvl w:val="0"/>
          <w:numId w:val="0"/>
        </w:numPr>
        <w:spacing w:line="360" w:lineRule="auto"/>
        <w:ind w:firstLine="420" w:firstLineChars="200"/>
        <w:rPr>
          <w:rFonts w:hint="default" w:ascii="宋体" w:hAnsi="宋体" w:eastAsia="宋体" w:cs="宋体"/>
          <w:sz w:val="21"/>
          <w:szCs w:val="21"/>
          <w:lang w:val="en-US" w:eastAsia="zh-CN"/>
        </w:rPr>
      </w:pPr>
    </w:p>
    <w:tbl>
      <w:tblPr>
        <w:tblStyle w:val="15"/>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3813"/>
        <w:gridCol w:w="1596"/>
        <w:gridCol w:w="803"/>
        <w:gridCol w:w="687"/>
        <w:gridCol w:w="1495"/>
      </w:tblGrid>
      <w:tr w14:paraId="5DAB2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16" w:type="dxa"/>
            <w:vAlign w:val="center"/>
          </w:tcPr>
          <w:p w14:paraId="4F70771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序号</w:t>
            </w:r>
          </w:p>
        </w:tc>
        <w:tc>
          <w:tcPr>
            <w:tcW w:w="3813" w:type="dxa"/>
            <w:vAlign w:val="center"/>
          </w:tcPr>
          <w:p w14:paraId="37D6AA40">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采购内容</w:t>
            </w:r>
          </w:p>
        </w:tc>
        <w:tc>
          <w:tcPr>
            <w:tcW w:w="1596" w:type="dxa"/>
            <w:vAlign w:val="center"/>
          </w:tcPr>
          <w:p w14:paraId="702B508B">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单价（元/月）</w:t>
            </w:r>
          </w:p>
        </w:tc>
        <w:tc>
          <w:tcPr>
            <w:tcW w:w="803" w:type="dxa"/>
            <w:vAlign w:val="center"/>
          </w:tcPr>
          <w:p w14:paraId="62C352DC">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数量</w:t>
            </w:r>
          </w:p>
        </w:tc>
        <w:tc>
          <w:tcPr>
            <w:tcW w:w="687" w:type="dxa"/>
            <w:vAlign w:val="center"/>
          </w:tcPr>
          <w:p w14:paraId="7915CE2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单位</w:t>
            </w:r>
          </w:p>
        </w:tc>
        <w:tc>
          <w:tcPr>
            <w:tcW w:w="1495" w:type="dxa"/>
            <w:vAlign w:val="center"/>
          </w:tcPr>
          <w:p w14:paraId="14FFFF5D">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总价（元）</w:t>
            </w:r>
          </w:p>
        </w:tc>
      </w:tr>
      <w:tr w14:paraId="39A38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16" w:type="dxa"/>
            <w:vAlign w:val="center"/>
          </w:tcPr>
          <w:p w14:paraId="775BE0AA">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w:t>
            </w:r>
          </w:p>
        </w:tc>
        <w:tc>
          <w:tcPr>
            <w:tcW w:w="3813" w:type="dxa"/>
            <w:vAlign w:val="center"/>
          </w:tcPr>
          <w:p w14:paraId="548E4B51">
            <w:pPr>
              <w:keepNext w:val="0"/>
              <w:keepLines w:val="0"/>
              <w:widowControl/>
              <w:suppressLineNumbers w:val="0"/>
              <w:jc w:val="center"/>
              <w:textAlignment w:val="center"/>
              <w:rPr>
                <w:rFonts w:hint="eastAsia" w:ascii="仿宋" w:hAnsi="仿宋" w:eastAsia="仿宋" w:cs="仿宋"/>
                <w:color w:val="000000"/>
                <w:kern w:val="2"/>
                <w:sz w:val="21"/>
                <w:szCs w:val="21"/>
                <w:highlight w:val="none"/>
                <w:lang w:val="en-US" w:eastAsia="zh-CN" w:bidi="ar-SA"/>
              </w:rPr>
            </w:pPr>
            <w:r>
              <w:rPr>
                <w:rFonts w:hint="default" w:ascii="仿宋" w:hAnsi="仿宋" w:eastAsia="仿宋" w:cs="仿宋"/>
                <w:i w:val="0"/>
                <w:iCs w:val="0"/>
                <w:color w:val="000000"/>
                <w:kern w:val="2"/>
                <w:sz w:val="24"/>
                <w:szCs w:val="24"/>
                <w:u w:val="none"/>
                <w:lang w:val="en-US" w:eastAsia="zh-CN" w:bidi="ar-SA"/>
              </w:rPr>
              <w:t>监控系统及门禁系统维保服务</w:t>
            </w:r>
          </w:p>
        </w:tc>
        <w:tc>
          <w:tcPr>
            <w:tcW w:w="1596" w:type="dxa"/>
            <w:vAlign w:val="center"/>
          </w:tcPr>
          <w:p w14:paraId="6BA301CD">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803" w:type="dxa"/>
            <w:vAlign w:val="center"/>
          </w:tcPr>
          <w:p w14:paraId="5573E89D">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2"/>
                <w:sz w:val="24"/>
                <w:szCs w:val="24"/>
                <w:u w:val="none"/>
                <w:lang w:val="en-US" w:eastAsia="zh-CN" w:bidi="ar-SA"/>
              </w:rPr>
              <w:t>36</w:t>
            </w:r>
          </w:p>
        </w:tc>
        <w:tc>
          <w:tcPr>
            <w:tcW w:w="687" w:type="dxa"/>
            <w:vAlign w:val="center"/>
          </w:tcPr>
          <w:p w14:paraId="437F117D">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2"/>
                <w:sz w:val="24"/>
                <w:szCs w:val="24"/>
                <w:u w:val="none"/>
                <w:lang w:val="en-US" w:eastAsia="zh-CN" w:bidi="ar-SA"/>
              </w:rPr>
              <w:t>月</w:t>
            </w:r>
          </w:p>
        </w:tc>
        <w:tc>
          <w:tcPr>
            <w:tcW w:w="1495" w:type="dxa"/>
            <w:vAlign w:val="center"/>
          </w:tcPr>
          <w:p w14:paraId="1AC3F19D">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r>
      <w:tr w14:paraId="5578C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jc w:val="center"/>
        </w:trPr>
        <w:tc>
          <w:tcPr>
            <w:tcW w:w="9010" w:type="dxa"/>
            <w:gridSpan w:val="6"/>
            <w:vAlign w:val="center"/>
          </w:tcPr>
          <w:p w14:paraId="619023D7">
            <w:pPr>
              <w:spacing w:line="240" w:lineRule="auto"/>
              <w:jc w:val="left"/>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2"/>
                <w:sz w:val="24"/>
                <w:szCs w:val="24"/>
                <w:u w:val="none"/>
                <w:lang w:val="en-US" w:eastAsia="zh-CN" w:bidi="ar-SA"/>
              </w:rPr>
              <w:t xml:space="preserve">备注：维保期限：三年。 </w:t>
            </w:r>
          </w:p>
          <w:p w14:paraId="6A165125">
            <w:pPr>
              <w:spacing w:line="240" w:lineRule="auto"/>
              <w:jc w:val="left"/>
              <w:rPr>
                <w:rFonts w:hint="eastAsia" w:ascii="仿宋" w:hAnsi="仿宋" w:eastAsia="仿宋" w:cs="仿宋"/>
                <w:color w:val="000000"/>
                <w:sz w:val="21"/>
                <w:szCs w:val="21"/>
                <w:highlight w:val="none"/>
                <w:lang w:val="en-US" w:eastAsia="zh-CN"/>
              </w:rPr>
            </w:pPr>
            <w:r>
              <w:rPr>
                <w:rFonts w:hint="eastAsia" w:ascii="仿宋" w:hAnsi="仿宋" w:eastAsia="仿宋" w:cs="仿宋"/>
                <w:i w:val="0"/>
                <w:iCs w:val="0"/>
                <w:color w:val="000000"/>
                <w:kern w:val="2"/>
                <w:sz w:val="24"/>
                <w:szCs w:val="24"/>
                <w:u w:val="none"/>
                <w:lang w:val="en-US" w:eastAsia="zh-CN" w:bidi="ar-SA"/>
              </w:rPr>
              <w:t>项目服务期限采用1+1+1的形式，即先签订一年合同，在一年合同期满后，如采购人对成交供应商所提供的服务满意且考核合格，经采购人同意，本项目服务期限自动延期，若采购人对成交供应商所提供的服务不满意（即连续两个月考核结果低于85分），采购人有权单方终止合同。</w:t>
            </w:r>
          </w:p>
        </w:tc>
      </w:tr>
    </w:tbl>
    <w:p w14:paraId="3C6A2A9B">
      <w:pPr>
        <w:widowControl/>
        <w:spacing w:line="360" w:lineRule="auto"/>
        <w:jc w:val="left"/>
        <w:rPr>
          <w:rFonts w:hint="eastAsia" w:ascii="宋体" w:hAnsi="宋体" w:eastAsia="宋体" w:cs="宋体"/>
          <w:sz w:val="24"/>
          <w:szCs w:val="24"/>
          <w:lang w:val="zh-TW" w:eastAsia="zh-TW"/>
        </w:rPr>
      </w:pPr>
    </w:p>
    <w:p w14:paraId="5A2D6A19">
      <w:pPr>
        <w:widowControl/>
        <w:spacing w:line="360" w:lineRule="auto"/>
        <w:jc w:val="left"/>
        <w:rPr>
          <w:rFonts w:hint="eastAsia" w:ascii="宋体" w:hAnsi="宋体" w:eastAsia="宋体" w:cs="宋体"/>
          <w:sz w:val="24"/>
          <w:szCs w:val="24"/>
          <w:lang w:val="zh-TW" w:eastAsia="zh-TW"/>
        </w:rPr>
      </w:pPr>
    </w:p>
    <w:p w14:paraId="3F058B46">
      <w:pPr>
        <w:widowControl/>
        <w:spacing w:line="360" w:lineRule="auto"/>
        <w:jc w:val="left"/>
        <w:rPr>
          <w:rFonts w:hint="eastAsia" w:ascii="宋体" w:hAnsi="宋体" w:eastAsia="宋体" w:cs="宋体"/>
          <w:sz w:val="24"/>
          <w:szCs w:val="24"/>
          <w:lang w:val="zh-TW" w:eastAsia="zh-TW"/>
        </w:rPr>
      </w:pPr>
    </w:p>
    <w:p w14:paraId="67C27B39">
      <w:pPr>
        <w:widowControl/>
        <w:spacing w:line="360" w:lineRule="auto"/>
        <w:jc w:val="left"/>
        <w:rPr>
          <w:rFonts w:hint="eastAsia" w:ascii="宋体" w:hAnsi="宋体" w:eastAsia="宋体" w:cs="宋体"/>
          <w:sz w:val="24"/>
          <w:szCs w:val="24"/>
          <w:lang w:val="zh-TW" w:eastAsia="zh-TW"/>
        </w:rPr>
      </w:pPr>
    </w:p>
    <w:p w14:paraId="6C624FBE">
      <w:pPr>
        <w:widowControl/>
        <w:spacing w:line="360" w:lineRule="auto"/>
        <w:jc w:val="left"/>
        <w:rPr>
          <w:rFonts w:hint="eastAsia" w:ascii="宋体" w:hAnsi="宋体" w:eastAsia="宋体" w:cs="宋体"/>
          <w:sz w:val="24"/>
          <w:szCs w:val="24"/>
          <w:lang w:val="zh-TW" w:eastAsia="zh-TW"/>
        </w:rPr>
      </w:pPr>
    </w:p>
    <w:p w14:paraId="428ED1A2">
      <w:pPr>
        <w:widowControl/>
        <w:spacing w:line="360" w:lineRule="auto"/>
        <w:jc w:val="left"/>
        <w:rPr>
          <w:rFonts w:hint="eastAsia" w:ascii="宋体" w:hAnsi="宋体" w:eastAsia="宋体" w:cs="宋体"/>
          <w:sz w:val="24"/>
          <w:szCs w:val="24"/>
          <w:lang w:val="zh-TW" w:eastAsia="zh-TW"/>
        </w:rPr>
      </w:pPr>
    </w:p>
    <w:p w14:paraId="4959D44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供应商名称（供应商公章）：</w:t>
      </w:r>
    </w:p>
    <w:p w14:paraId="6C56CCB4">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032F6822">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2E86D20B">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719297F1">
      <w:pPr>
        <w:spacing w:line="360" w:lineRule="auto"/>
        <w:rPr>
          <w:rStyle w:val="18"/>
          <w:rFonts w:hint="eastAsia" w:ascii="宋体" w:hAnsi="宋体" w:eastAsia="宋体" w:cs="宋体"/>
          <w:b/>
          <w:bCs/>
          <w:sz w:val="21"/>
          <w:szCs w:val="21"/>
        </w:rPr>
      </w:pPr>
    </w:p>
    <w:p w14:paraId="52FA8535">
      <w:pPr>
        <w:spacing w:line="360" w:lineRule="auto"/>
        <w:rPr>
          <w:rStyle w:val="18"/>
          <w:rFonts w:hint="eastAsia" w:ascii="宋体" w:hAnsi="宋体" w:eastAsia="宋体" w:cs="宋体"/>
          <w:b/>
          <w:bCs/>
          <w:sz w:val="21"/>
          <w:szCs w:val="21"/>
        </w:rPr>
      </w:pPr>
    </w:p>
    <w:p w14:paraId="50D5BD8E">
      <w:pPr>
        <w:spacing w:line="360" w:lineRule="auto"/>
        <w:rPr>
          <w:rStyle w:val="18"/>
          <w:rFonts w:hint="eastAsia" w:ascii="宋体" w:hAnsi="宋体" w:eastAsia="宋体" w:cs="宋体"/>
          <w:b/>
          <w:bCs/>
          <w:sz w:val="21"/>
          <w:szCs w:val="21"/>
        </w:rPr>
      </w:pPr>
    </w:p>
    <w:p w14:paraId="37E6D51F">
      <w:pPr>
        <w:spacing w:line="360" w:lineRule="auto"/>
        <w:rPr>
          <w:rStyle w:val="18"/>
          <w:rFonts w:hint="eastAsia" w:ascii="宋体" w:hAnsi="宋体" w:eastAsia="宋体" w:cs="宋体"/>
          <w:b/>
          <w:bCs/>
          <w:sz w:val="21"/>
          <w:szCs w:val="21"/>
        </w:rPr>
      </w:pPr>
    </w:p>
    <w:p w14:paraId="21723915">
      <w:pPr>
        <w:spacing w:line="360" w:lineRule="auto"/>
        <w:rPr>
          <w:rStyle w:val="18"/>
          <w:rFonts w:hint="eastAsia" w:ascii="宋体" w:hAnsi="宋体" w:eastAsia="宋体" w:cs="宋体"/>
          <w:b/>
          <w:bCs/>
          <w:sz w:val="21"/>
          <w:szCs w:val="21"/>
        </w:rPr>
      </w:pPr>
    </w:p>
    <w:p w14:paraId="06BC40C1">
      <w:pPr>
        <w:spacing w:line="360" w:lineRule="auto"/>
        <w:rPr>
          <w:rStyle w:val="18"/>
          <w:rFonts w:hint="eastAsia" w:ascii="宋体" w:hAnsi="宋体" w:eastAsia="宋体" w:cs="宋体"/>
          <w:b/>
          <w:bCs/>
          <w:sz w:val="21"/>
          <w:szCs w:val="21"/>
        </w:rPr>
      </w:pPr>
    </w:p>
    <w:p w14:paraId="21275F74">
      <w:pPr>
        <w:spacing w:line="360" w:lineRule="auto"/>
        <w:rPr>
          <w:rStyle w:val="18"/>
          <w:rFonts w:hint="eastAsia" w:ascii="宋体" w:hAnsi="宋体" w:eastAsia="宋体" w:cs="宋体"/>
          <w:b/>
          <w:bCs/>
          <w:sz w:val="21"/>
          <w:szCs w:val="21"/>
        </w:rPr>
      </w:pPr>
    </w:p>
    <w:p w14:paraId="1BFF8C19">
      <w:pPr>
        <w:spacing w:line="360" w:lineRule="auto"/>
        <w:rPr>
          <w:rStyle w:val="18"/>
          <w:rFonts w:hint="eastAsia" w:ascii="宋体" w:hAnsi="宋体" w:eastAsia="宋体" w:cs="宋体"/>
          <w:b/>
          <w:bCs/>
          <w:sz w:val="21"/>
          <w:szCs w:val="21"/>
        </w:rPr>
      </w:pPr>
    </w:p>
    <w:p w14:paraId="4E056FB4">
      <w:pPr>
        <w:spacing w:line="360" w:lineRule="auto"/>
        <w:rPr>
          <w:rStyle w:val="18"/>
          <w:rFonts w:hint="eastAsia" w:ascii="宋体" w:hAnsi="宋体" w:eastAsia="宋体" w:cs="宋体"/>
          <w:b/>
          <w:bCs/>
          <w:sz w:val="21"/>
          <w:szCs w:val="21"/>
        </w:rPr>
      </w:pPr>
    </w:p>
    <w:p w14:paraId="5B763102">
      <w:pPr>
        <w:spacing w:line="360" w:lineRule="auto"/>
        <w:rPr>
          <w:rFonts w:hint="eastAsia" w:ascii="宋体" w:hAnsi="宋体" w:eastAsia="宋体" w:cs="宋体"/>
          <w:b/>
          <w:bCs/>
          <w:color w:val="auto"/>
          <w:sz w:val="21"/>
          <w:szCs w:val="21"/>
          <w:lang w:eastAsia="zh-CN"/>
        </w:rPr>
      </w:pPr>
      <w:r>
        <w:rPr>
          <w:rStyle w:val="18"/>
          <w:rFonts w:hint="eastAsia" w:ascii="宋体" w:hAnsi="宋体" w:eastAsia="宋体" w:cs="宋体"/>
          <w:b/>
          <w:bCs/>
          <w:sz w:val="21"/>
          <w:szCs w:val="21"/>
          <w:lang w:eastAsia="zh-CN"/>
        </w:rPr>
        <w:t>二、</w:t>
      </w:r>
      <w:r>
        <w:rPr>
          <w:rStyle w:val="18"/>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12"/>
        <w:spacing w:line="360" w:lineRule="auto"/>
        <w:ind w:left="0" w:leftChars="0" w:firstLine="0" w:firstLineChars="0"/>
        <w:jc w:val="both"/>
        <w:outlineLvl w:val="1"/>
        <w:rPr>
          <w:rFonts w:hint="eastAsia" w:ascii="宋体" w:hAnsi="宋体" w:eastAsia="宋体" w:cs="宋体"/>
          <w:color w:val="auto"/>
          <w:sz w:val="21"/>
          <w:szCs w:val="21"/>
        </w:rPr>
      </w:pPr>
      <w:bookmarkStart w:id="0" w:name="_Toc15526"/>
      <w:bookmarkStart w:id="1" w:name="_Toc20589"/>
      <w:bookmarkStart w:id="2" w:name="_Toc27661"/>
      <w:bookmarkStart w:id="3" w:name="_Toc25638"/>
      <w:bookmarkStart w:id="4" w:name="_Toc12015"/>
      <w:bookmarkStart w:id="5" w:name="_Toc11351"/>
      <w:r>
        <w:rPr>
          <w:rStyle w:val="18"/>
          <w:rFonts w:hint="eastAsia" w:ascii="宋体" w:hAnsi="宋体" w:eastAsia="宋体" w:cs="宋体"/>
          <w:b/>
          <w:bCs/>
          <w:sz w:val="21"/>
          <w:szCs w:val="21"/>
          <w:lang w:val="en-US" w:eastAsia="zh-CN"/>
        </w:rPr>
        <w:t>三、</w:t>
      </w:r>
      <w:r>
        <w:rPr>
          <w:rStyle w:val="18"/>
          <w:rFonts w:hint="eastAsia" w:ascii="宋体" w:hAnsi="宋体" w:eastAsia="宋体" w:cs="宋体"/>
          <w:b/>
          <w:bCs/>
          <w:sz w:val="21"/>
          <w:szCs w:val="21"/>
        </w:rPr>
        <w:t>法定代表人身份证明书</w:t>
      </w:r>
      <w:bookmarkEnd w:id="0"/>
      <w:bookmarkEnd w:id="1"/>
      <w:bookmarkEnd w:id="2"/>
      <w:bookmarkEnd w:id="3"/>
      <w:bookmarkEnd w:id="4"/>
      <w:bookmarkEnd w:id="5"/>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7"/>
        <w:rPr>
          <w:rFonts w:hint="eastAsia" w:ascii="宋体" w:hAnsi="宋体" w:eastAsia="宋体" w:cs="宋体"/>
          <w:lang w:eastAsia="zh-CN"/>
        </w:rPr>
      </w:pPr>
    </w:p>
    <w:p w14:paraId="2E8967E4">
      <w:pPr>
        <w:pStyle w:val="2"/>
        <w:spacing w:line="360" w:lineRule="auto"/>
        <w:jc w:val="center"/>
        <w:rPr>
          <w:rStyle w:val="18"/>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中山市东升医院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5"/>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w:t>
      </w:r>
      <w:r>
        <w:rPr>
          <w:rFonts w:hint="eastAsia" w:ascii="宋体" w:hAnsi="宋体" w:eastAsia="宋体" w:cs="宋体"/>
          <w:sz w:val="24"/>
          <w:u w:val="single"/>
          <w:lang w:eastAsia="zh-CN"/>
        </w:rPr>
        <w:t>东升</w:t>
      </w:r>
      <w:r>
        <w:rPr>
          <w:rFonts w:hint="eastAsia" w:ascii="宋体" w:hAnsi="宋体" w:eastAsia="宋体" w:cs="宋体"/>
          <w:sz w:val="24"/>
          <w:u w:val="single"/>
        </w:rPr>
        <w:t>医院监控系统及门禁系统维保服务项目</w:t>
      </w:r>
      <w:r>
        <w:rPr>
          <w:rFonts w:hint="eastAsia" w:ascii="宋体" w:hAnsi="宋体" w:eastAsia="宋体" w:cs="宋体"/>
          <w:sz w:val="24"/>
          <w:u w:val="single"/>
          <w:lang w:eastAsia="zh-CN"/>
        </w:rPr>
        <w:t>调研</w:t>
      </w:r>
      <w:bookmarkStart w:id="12" w:name="_GoBack"/>
      <w:bookmarkEnd w:id="12"/>
      <w:r>
        <w:rPr>
          <w:rFonts w:hint="eastAsia" w:ascii="宋体" w:hAnsi="宋体" w:eastAsia="宋体" w:cs="宋体"/>
          <w:sz w:val="24"/>
          <w:u w:val="single"/>
          <w:lang w:val="en-US" w:eastAsia="zh-CN"/>
        </w:rPr>
        <w:t xml:space="preserve"> </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3BFFE0A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bookmarkStart w:id="6" w:name="_Toc2041"/>
      <w:bookmarkStart w:id="7" w:name="_Toc16435"/>
      <w:bookmarkStart w:id="8" w:name="_Toc12967"/>
      <w:bookmarkStart w:id="9" w:name="_Toc26969"/>
      <w:bookmarkStart w:id="10" w:name="_Toc23967"/>
      <w:bookmarkStart w:id="11" w:name="_Toc1074"/>
    </w:p>
    <w:p w14:paraId="5DDD7D9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248C819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68F4F41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32AC125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6E41D3E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75DD194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bookmarkEnd w:id="6"/>
    <w:bookmarkEnd w:id="7"/>
    <w:bookmarkEnd w:id="8"/>
    <w:bookmarkEnd w:id="9"/>
    <w:bookmarkEnd w:id="10"/>
    <w:bookmarkEnd w:id="11"/>
    <w:p w14:paraId="1AD104C4">
      <w:pPr>
        <w:keepNext w:val="0"/>
        <w:keepLines w:val="0"/>
        <w:pageBreakBefore w:val="0"/>
        <w:numPr>
          <w:ilvl w:val="0"/>
          <w:numId w:val="0"/>
        </w:numPr>
        <w:shd w:val="clea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sz w:val="20"/>
          <w:szCs w:val="20"/>
          <w:lang w:val="en-US" w:eastAsia="zh-CN"/>
        </w:rPr>
      </w:pPr>
      <w:r>
        <w:rPr>
          <w:rFonts w:hint="eastAsia" w:ascii="宋体" w:hAnsi="宋体" w:eastAsia="宋体" w:cs="宋体"/>
          <w:b/>
          <w:bCs/>
          <w:spacing w:val="7"/>
          <w:sz w:val="20"/>
          <w:szCs w:val="20"/>
          <w:lang w:eastAsia="zh-CN"/>
        </w:rPr>
        <w:t>六</w:t>
      </w:r>
      <w:r>
        <w:rPr>
          <w:rFonts w:ascii="宋体" w:hAnsi="宋体" w:eastAsia="宋体" w:cs="宋体"/>
          <w:b/>
          <w:bCs/>
          <w:spacing w:val="7"/>
          <w:sz w:val="20"/>
          <w:szCs w:val="20"/>
          <w:lang w:eastAsia="zh-CN"/>
        </w:rPr>
        <w:t>、采购需求偏离表</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加盖公章）</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5"/>
        <w:spacing w:line="286" w:lineRule="auto"/>
        <w:rPr>
          <w:lang w:eastAsia="zh-CN"/>
        </w:rPr>
      </w:pPr>
    </w:p>
    <w:p w14:paraId="65E86C6A">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keepNext w:val="0"/>
        <w:keepLines w:val="0"/>
        <w:pageBreakBefore w:val="0"/>
        <w:widowControl/>
        <w:kinsoku w:val="0"/>
        <w:wordWrap/>
        <w:overflowPunct/>
        <w:topLinePunct w:val="0"/>
        <w:autoSpaceDE w:val="0"/>
        <w:autoSpaceDN w:val="0"/>
        <w:bidi w:val="0"/>
        <w:adjustRightInd w:val="0"/>
        <w:snapToGrid w:val="0"/>
        <w:spacing w:before="95" w:beforeLines="30" w:line="227" w:lineRule="auto"/>
        <w:textAlignment w:val="baseline"/>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tbl>
      <w:tblPr>
        <w:tblStyle w:val="20"/>
        <w:tblpPr w:leftFromText="180" w:rightFromText="180" w:vertAnchor="text" w:horzAnchor="page" w:tblpX="992" w:tblpY="224"/>
        <w:tblOverlap w:val="never"/>
        <w:tblW w:w="967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661"/>
        <w:gridCol w:w="5547"/>
        <w:gridCol w:w="1425"/>
        <w:gridCol w:w="978"/>
        <w:gridCol w:w="1065"/>
      </w:tblGrid>
      <w:tr w14:paraId="37EB4D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26" w:hRule="atLeast"/>
        </w:trPr>
        <w:tc>
          <w:tcPr>
            <w:tcW w:w="661" w:type="dxa"/>
            <w:vAlign w:val="center"/>
          </w:tcPr>
          <w:p w14:paraId="61DC7371">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547" w:type="dxa"/>
            <w:vAlign w:val="center"/>
          </w:tcPr>
          <w:p w14:paraId="2A5AABAD">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425" w:type="dxa"/>
            <w:vAlign w:val="center"/>
          </w:tcPr>
          <w:p w14:paraId="43FB0302">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完全响应</w:t>
            </w:r>
          </w:p>
          <w:p w14:paraId="33305874">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或</w:t>
            </w:r>
          </w:p>
          <w:p w14:paraId="7C9B8E9B">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ascii="宋体" w:hAnsi="宋体" w:eastAsia="宋体" w:cs="宋体"/>
                <w:b/>
                <w:bCs/>
              </w:rPr>
            </w:pPr>
            <w:r>
              <w:rPr>
                <w:rFonts w:hint="eastAsia" w:ascii="宋体" w:hAnsi="宋体" w:eastAsia="宋体" w:cs="宋体"/>
                <w:b/>
                <w:bCs/>
                <w:spacing w:val="6"/>
              </w:rPr>
              <w:t>正/负偏离</w:t>
            </w:r>
          </w:p>
        </w:tc>
        <w:tc>
          <w:tcPr>
            <w:tcW w:w="978" w:type="dxa"/>
            <w:vAlign w:val="center"/>
          </w:tcPr>
          <w:p w14:paraId="05845206">
            <w:pPr>
              <w:spacing w:before="65" w:line="300" w:lineRule="exact"/>
              <w:jc w:val="center"/>
              <w:rPr>
                <w:rFonts w:hint="eastAsia" w:ascii="宋体" w:hAnsi="宋体" w:eastAsia="宋体" w:cs="宋体"/>
                <w:b/>
                <w:bCs/>
                <w:spacing w:val="7"/>
              </w:rPr>
            </w:pPr>
            <w:r>
              <w:rPr>
                <w:rFonts w:hint="eastAsia" w:ascii="宋体" w:hAnsi="宋体" w:eastAsia="宋体" w:cs="宋体"/>
                <w:b/>
                <w:bCs/>
                <w:spacing w:val="7"/>
              </w:rPr>
              <w:t>偏离</w:t>
            </w:r>
          </w:p>
          <w:p w14:paraId="62DEE52A">
            <w:pPr>
              <w:spacing w:before="65" w:line="300" w:lineRule="exact"/>
              <w:jc w:val="center"/>
              <w:rPr>
                <w:rFonts w:ascii="宋体" w:hAnsi="宋体" w:eastAsia="宋体" w:cs="宋体"/>
                <w:b/>
                <w:bCs/>
              </w:rPr>
            </w:pPr>
            <w:r>
              <w:rPr>
                <w:rFonts w:hint="eastAsia" w:ascii="宋体" w:hAnsi="宋体" w:eastAsia="宋体" w:cs="宋体"/>
                <w:b/>
                <w:bCs/>
                <w:spacing w:val="7"/>
              </w:rPr>
              <w:t>情况</w:t>
            </w:r>
          </w:p>
        </w:tc>
        <w:tc>
          <w:tcPr>
            <w:tcW w:w="1065" w:type="dxa"/>
            <w:vAlign w:val="center"/>
          </w:tcPr>
          <w:p w14:paraId="7173064F">
            <w:pPr>
              <w:spacing w:before="65" w:line="300" w:lineRule="exact"/>
              <w:jc w:val="center"/>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对应</w:t>
            </w:r>
          </w:p>
          <w:p w14:paraId="2272C3A4">
            <w:pPr>
              <w:spacing w:before="65" w:line="300" w:lineRule="exact"/>
              <w:jc w:val="center"/>
              <w:rPr>
                <w:rFonts w:hint="default" w:ascii="宋体" w:hAnsi="宋体" w:eastAsia="宋体" w:cs="宋体"/>
                <w:b/>
                <w:bCs/>
                <w:spacing w:val="7"/>
                <w:lang w:val="en-US" w:eastAsia="zh-CN"/>
              </w:rPr>
            </w:pPr>
            <w:r>
              <w:rPr>
                <w:rFonts w:hint="eastAsia" w:ascii="宋体" w:hAnsi="宋体" w:eastAsia="宋体" w:cs="宋体"/>
                <w:b/>
                <w:bCs/>
                <w:spacing w:val="7"/>
                <w:lang w:val="en-US" w:eastAsia="zh-CN"/>
              </w:rPr>
              <w:t>页码</w:t>
            </w:r>
          </w:p>
        </w:tc>
      </w:tr>
      <w:tr w14:paraId="0B835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661" w:type="dxa"/>
            <w:vAlign w:val="center"/>
          </w:tcPr>
          <w:p w14:paraId="5F3B1345">
            <w:pPr>
              <w:spacing w:before="65" w:line="270" w:lineRule="exact"/>
              <w:jc w:val="center"/>
              <w:rPr>
                <w:rFonts w:ascii="宋体" w:hAnsi="宋体" w:eastAsia="宋体" w:cs="宋体"/>
              </w:rPr>
            </w:pPr>
            <w:r>
              <w:rPr>
                <w:rFonts w:hint="eastAsia" w:ascii="宋体" w:hAnsi="宋体" w:eastAsia="宋体" w:cs="宋体"/>
                <w:position w:val="1"/>
              </w:rPr>
              <w:t>1</w:t>
            </w:r>
          </w:p>
        </w:tc>
        <w:tc>
          <w:tcPr>
            <w:tcW w:w="5547" w:type="dxa"/>
          </w:tcPr>
          <w:p w14:paraId="733F7785">
            <w:pPr>
              <w:pStyle w:val="11"/>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一、项目概况及基本要求：</w:t>
            </w:r>
          </w:p>
          <w:p w14:paraId="096B4AFF">
            <w:pPr>
              <w:pStyle w:val="11"/>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1.项目名称：中山市东升医院2026-2028年度监控系统及门禁系统维保服务项目</w:t>
            </w:r>
          </w:p>
          <w:p w14:paraId="3D1C6C46">
            <w:pPr>
              <w:pStyle w:val="11"/>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2.项目地点：中山市东升医院辖区内</w:t>
            </w:r>
          </w:p>
          <w:p w14:paraId="569BE0E6">
            <w:pPr>
              <w:pStyle w:val="11"/>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3.预算金额：元</w:t>
            </w:r>
          </w:p>
          <w:p w14:paraId="070DCE7A">
            <w:pPr>
              <w:pStyle w:val="11"/>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4.维保期限：</w:t>
            </w:r>
          </w:p>
          <w:p w14:paraId="6AAF2889">
            <w:pPr>
              <w:pStyle w:val="11"/>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（1）本项目服务期为三年，采取一年一签合同的合作方式。</w:t>
            </w:r>
          </w:p>
          <w:p w14:paraId="5D07E24F">
            <w:pPr>
              <w:pStyle w:val="11"/>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（2）本合同第一年服务有效期满后，若采购人对成交供应商的服务满意且考核合格，经采购人同意，则双方续签下一年度合同。</w:t>
            </w:r>
          </w:p>
          <w:p w14:paraId="31149646">
            <w:pPr>
              <w:pStyle w:val="11"/>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（3）若在第一年合同期满后，采购人对成交供应商所提供的服务不满意（即一年内连续两个月考核结果低于 85 分的），采购人有权单方终止合同，不再续签且不视为违约，成交供应商清楚知悉并认可此约定。</w:t>
            </w:r>
          </w:p>
          <w:p w14:paraId="3D36D996">
            <w:pPr>
              <w:pStyle w:val="11"/>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（4）以此类推，直至本项目服务期累计满 3 年止。</w:t>
            </w:r>
          </w:p>
          <w:p w14:paraId="01D4B139">
            <w:pPr>
              <w:pStyle w:val="11"/>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5.响应要求：成交供应商接到采购人通知应在10分钟响应，30分钟内到达现场，并提供 24小时应急故障报修服务。</w:t>
            </w:r>
          </w:p>
          <w:p w14:paraId="1478ADF5">
            <w:pPr>
              <w:pStyle w:val="11"/>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6.★响应供应商资质要求：需具有安全系统监控服务等相关营业范围。</w:t>
            </w:r>
          </w:p>
          <w:p w14:paraId="502D1396">
            <w:pPr>
              <w:pStyle w:val="11"/>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rPr>
              <w:t>7.成交供应商不得以任何方式转包或分包本项目。</w:t>
            </w:r>
          </w:p>
        </w:tc>
        <w:tc>
          <w:tcPr>
            <w:tcW w:w="1425" w:type="dxa"/>
          </w:tcPr>
          <w:p w14:paraId="03ED26DE">
            <w:pPr>
              <w:pStyle w:val="21"/>
              <w:rPr>
                <w:rFonts w:ascii="宋体" w:hAnsi="宋体" w:eastAsia="宋体" w:cs="宋体"/>
                <w:lang w:eastAsia="zh-CN"/>
              </w:rPr>
            </w:pPr>
          </w:p>
        </w:tc>
        <w:tc>
          <w:tcPr>
            <w:tcW w:w="978" w:type="dxa"/>
          </w:tcPr>
          <w:p w14:paraId="314D7EEC">
            <w:pPr>
              <w:pStyle w:val="21"/>
              <w:rPr>
                <w:rFonts w:ascii="宋体" w:hAnsi="宋体" w:eastAsia="宋体" w:cs="宋体"/>
                <w:lang w:eastAsia="zh-CN"/>
              </w:rPr>
            </w:pPr>
          </w:p>
        </w:tc>
        <w:tc>
          <w:tcPr>
            <w:tcW w:w="1065" w:type="dxa"/>
          </w:tcPr>
          <w:p w14:paraId="0A9D39B5">
            <w:pPr>
              <w:pStyle w:val="21"/>
              <w:rPr>
                <w:rFonts w:ascii="宋体" w:hAnsi="宋体" w:eastAsia="宋体" w:cs="宋体"/>
                <w:lang w:eastAsia="zh-CN"/>
              </w:rPr>
            </w:pPr>
          </w:p>
        </w:tc>
      </w:tr>
      <w:tr w14:paraId="14053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37" w:hRule="atLeast"/>
        </w:trPr>
        <w:tc>
          <w:tcPr>
            <w:tcW w:w="661" w:type="dxa"/>
            <w:vAlign w:val="center"/>
          </w:tcPr>
          <w:p w14:paraId="6B8C066E">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547" w:type="dxa"/>
          </w:tcPr>
          <w:p w14:paraId="3BAF760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二、维修保养范围：</w:t>
            </w:r>
          </w:p>
          <w:p w14:paraId="58D81BC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1.门禁系统：共计62个门禁点。</w:t>
            </w:r>
          </w:p>
          <w:p w14:paraId="427A97F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2.监控系统：共计360个监控点，监控主机15台。</w:t>
            </w:r>
          </w:p>
          <w:p w14:paraId="299E92B4">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3.一键报警系统：共计110个一键报警点。</w:t>
            </w:r>
          </w:p>
        </w:tc>
        <w:tc>
          <w:tcPr>
            <w:tcW w:w="1425" w:type="dxa"/>
          </w:tcPr>
          <w:p w14:paraId="69CF45F5">
            <w:pPr>
              <w:pStyle w:val="21"/>
              <w:rPr>
                <w:rFonts w:ascii="宋体" w:hAnsi="宋体" w:eastAsia="宋体" w:cs="宋体"/>
                <w:lang w:eastAsia="zh-CN"/>
              </w:rPr>
            </w:pPr>
          </w:p>
        </w:tc>
        <w:tc>
          <w:tcPr>
            <w:tcW w:w="978" w:type="dxa"/>
          </w:tcPr>
          <w:p w14:paraId="4B1E84E1">
            <w:pPr>
              <w:pStyle w:val="21"/>
              <w:rPr>
                <w:rFonts w:ascii="宋体" w:hAnsi="宋体" w:eastAsia="宋体" w:cs="宋体"/>
                <w:lang w:eastAsia="zh-CN"/>
              </w:rPr>
            </w:pPr>
          </w:p>
        </w:tc>
        <w:tc>
          <w:tcPr>
            <w:tcW w:w="1065" w:type="dxa"/>
          </w:tcPr>
          <w:p w14:paraId="050D5957">
            <w:pPr>
              <w:pStyle w:val="21"/>
              <w:rPr>
                <w:rFonts w:ascii="宋体" w:hAnsi="宋体" w:eastAsia="宋体" w:cs="宋体"/>
                <w:lang w:eastAsia="zh-CN"/>
              </w:rPr>
            </w:pPr>
          </w:p>
        </w:tc>
      </w:tr>
      <w:tr w14:paraId="7C20B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0" w:hRule="atLeast"/>
        </w:trPr>
        <w:tc>
          <w:tcPr>
            <w:tcW w:w="661" w:type="dxa"/>
            <w:vAlign w:val="center"/>
          </w:tcPr>
          <w:p w14:paraId="002DA8E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547" w:type="dxa"/>
          </w:tcPr>
          <w:p w14:paraId="5AC5168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三、服务技术要求：</w:t>
            </w:r>
          </w:p>
          <w:p w14:paraId="277378A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1.成交供应商需对中山市东升医院视频监控系统、门禁系统进行日常维修、维护保养工作。</w:t>
            </w:r>
          </w:p>
          <w:p w14:paraId="588C2A0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2.成交供应商应严格遵守系统各项设备运行管理规程，保证各设备处于良好状态，定期对维保范围内的系统进行检查，根据保养计划做好各设备的保养。</w:t>
            </w:r>
          </w:p>
          <w:p w14:paraId="3B2C2EA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3.维护工作结束后，成交供应商要测试被保养设备，详细填写维护处理记录表等有关表格，并交采购人主管部门管理人员验收并签字确认。</w:t>
            </w:r>
          </w:p>
          <w:p w14:paraId="5AD74DD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4.成交供应商需在服务开始前提交项目维保应急预案及详细年度、月度工作计划至采购人主管部门审核备案，并做好维修及保养记录。</w:t>
            </w:r>
          </w:p>
          <w:p w14:paraId="487F695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5.成交供应商应配备专业技术人员按计划定期对安防视频监控系统、门禁系统、可视门铃系统、 电子门锁系统等进行维护，并对其进行时间校正、清洁、除垢、故障检测及排除等，每月向采购人主管部门提交一份维保报告。</w:t>
            </w:r>
          </w:p>
          <w:p w14:paraId="70DB664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6.成交供应商应为采购人对系统及其零配件的采购、安装、更换、搬迁设备提出技术建议及方案。</w:t>
            </w:r>
          </w:p>
          <w:p w14:paraId="2510094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7.成交供应商应根据实际情况对监控室操作员不定期的提供一定程度的硬件应用及专业知识的培训,并随时解答两大系统相关提问。</w:t>
            </w:r>
          </w:p>
          <w:p w14:paraId="414CFF5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8.成交供应商应切实加强现场管理,并接受采购人的监督管理，确保服务到位。成交供应商确保在采购人单位内的作业符合国家和地方的安全作业规范，并负责所派技术人员的人身意外险及其它意外风险。 由于成交供应商原因造成安全事故的发生，一切责任及损失由成交供应商负责。</w:t>
            </w:r>
          </w:p>
          <w:p w14:paraId="1B67AF7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9.★成交供应商不得对相关信息进行查询、下载,不得泄露采购人工作秘密。成交供应商工作人员进入采购人单位展开维保工作,必须遵守采购人单位的相关规章制度,服从采购人单位的管理。</w:t>
            </w:r>
          </w:p>
          <w:p w14:paraId="6182F9E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10.★成交供应商如不能按要求完成故障排除和维修任务的，采购人有权根据成交供应商的延误严重情况按 500-1000 元/次进行扣罚或另行委托第三方进行维保，由此所产生的一切费用由成交供应商自行承担。因延误维保而造成严重后果的，由成交供应商承担一切责任及损失。</w:t>
            </w:r>
          </w:p>
          <w:p w14:paraId="330082C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11.成交供应商不得对采购人使用的系统人为增设限制和阻碍。</w:t>
            </w:r>
          </w:p>
          <w:p w14:paraId="0304477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12.★服务期满后，成交供应商应为下一任成交供应商提供技术支持，并在交接完毕后方可撤场。如服务期满后，下一任成交供应商未进驻前，采购人有权要求成交供应商按原条款要求继续提供服务至下一任成交供应商进驻并完成交接为止，成交供应商应按照采购人要求予以配合，否则采购人有权扣除成交供应商的服务费或进行维权。</w:t>
            </w:r>
          </w:p>
          <w:p w14:paraId="3CD111BD">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13.在服务过程中，成交供应商必须先对采购人损坏的配件进行全力维修，如确认无法维修而需要更换时，成交供应商应提前通知采购人并经采购人确认后方可更换，并将换下的旧配件交给采购人确认处理。如未核实直接更换或该配件可维修并不需更换的，采购人有权拒绝支付该配件费用，且成交供应商应以该配件原价的 2 倍赔付给采购人。成交供应商应按照以下配件表的价格为采购人更换，成交供应商应负责安装，采购人只支付配件费不再另行支付任何费用。配件如下表，如配件不在表格内应参考京东自营店价格。</w:t>
            </w:r>
          </w:p>
        </w:tc>
        <w:tc>
          <w:tcPr>
            <w:tcW w:w="1425" w:type="dxa"/>
          </w:tcPr>
          <w:p w14:paraId="50520806">
            <w:pPr>
              <w:pStyle w:val="21"/>
              <w:rPr>
                <w:rFonts w:ascii="宋体" w:hAnsi="宋体" w:eastAsia="宋体" w:cs="宋体"/>
                <w:lang w:eastAsia="zh-CN"/>
              </w:rPr>
            </w:pPr>
          </w:p>
        </w:tc>
        <w:tc>
          <w:tcPr>
            <w:tcW w:w="978" w:type="dxa"/>
          </w:tcPr>
          <w:p w14:paraId="27AC7BB1">
            <w:pPr>
              <w:pStyle w:val="21"/>
              <w:rPr>
                <w:rFonts w:ascii="宋体" w:hAnsi="宋体" w:eastAsia="宋体" w:cs="宋体"/>
                <w:lang w:eastAsia="zh-CN"/>
              </w:rPr>
            </w:pPr>
          </w:p>
        </w:tc>
        <w:tc>
          <w:tcPr>
            <w:tcW w:w="1065" w:type="dxa"/>
          </w:tcPr>
          <w:p w14:paraId="714423AC">
            <w:pPr>
              <w:pStyle w:val="21"/>
              <w:rPr>
                <w:rFonts w:ascii="宋体" w:hAnsi="宋体" w:eastAsia="宋体" w:cs="宋体"/>
                <w:lang w:eastAsia="zh-CN"/>
              </w:rPr>
            </w:pPr>
          </w:p>
        </w:tc>
      </w:tr>
      <w:tr w14:paraId="18DFE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661" w:type="dxa"/>
            <w:vAlign w:val="center"/>
          </w:tcPr>
          <w:p w14:paraId="71310ABA">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547" w:type="dxa"/>
          </w:tcPr>
          <w:p w14:paraId="2A093372">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四、报修服务响应时间及故障解决要求</w:t>
            </w:r>
          </w:p>
          <w:p w14:paraId="13EFDDE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1.★报修响应时间：</w:t>
            </w:r>
          </w:p>
          <w:p w14:paraId="5894A9B0">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①在 30 分钟内赶到现场处理；</w:t>
            </w:r>
          </w:p>
          <w:p w14:paraId="0FF4398C">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②故障修复时间：不超过 24 小时（如超过 24 小时的，成交供应商应提前像采购人说明客观具体情况）。</w:t>
            </w:r>
          </w:p>
          <w:p w14:paraId="760E9E55">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2.成交供应商提供 24 小时应急故障报修服务。</w:t>
            </w:r>
          </w:p>
          <w:p w14:paraId="643268B6">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3.故障解决方式</w:t>
            </w:r>
          </w:p>
          <w:p w14:paraId="1AF3E4D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①普通故障：更换常用配件的硬件故障等；进行现场修复，填写故障处理记录。</w:t>
            </w:r>
          </w:p>
          <w:p w14:paraId="2CD66398">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②特殊故障：非常用或无配件、确实难以判断的故障等， 以备机替换或与采购人协调尽快解决。</w:t>
            </w:r>
          </w:p>
          <w:p w14:paraId="70AD948F">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③备机的使用：在配件紧缺或判断不能在 24 小时内修复的情况下，更换设备或使用备用设备。</w:t>
            </w:r>
          </w:p>
          <w:p w14:paraId="2C390ADE">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④送修设备：在下 1 个工作日内提交检测结果，5 个工作日内修复送回。故障设备在保修期内保养或更换配件；对于更换的部件，保证是各品牌厂家提供的具有相同功能并附有该品牌标签或相关识别码的备件。</w:t>
            </w:r>
          </w:p>
          <w:p w14:paraId="28DB704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⑤设备更换：在故障现场不能修复要采购更换的设备，成交供应商提供相关参数给院方，待采购人采购后，成交供应商有义务免安装费对其进行更换。</w:t>
            </w:r>
          </w:p>
        </w:tc>
        <w:tc>
          <w:tcPr>
            <w:tcW w:w="1425" w:type="dxa"/>
          </w:tcPr>
          <w:p w14:paraId="1976FE37">
            <w:pPr>
              <w:pStyle w:val="21"/>
              <w:rPr>
                <w:rFonts w:ascii="宋体" w:hAnsi="宋体" w:eastAsia="宋体" w:cs="宋体"/>
                <w:lang w:eastAsia="zh-CN"/>
              </w:rPr>
            </w:pPr>
          </w:p>
        </w:tc>
        <w:tc>
          <w:tcPr>
            <w:tcW w:w="978" w:type="dxa"/>
          </w:tcPr>
          <w:p w14:paraId="23D2CAC8">
            <w:pPr>
              <w:pStyle w:val="21"/>
              <w:rPr>
                <w:rFonts w:ascii="宋体" w:hAnsi="宋体" w:eastAsia="宋体" w:cs="宋体"/>
                <w:lang w:eastAsia="zh-CN"/>
              </w:rPr>
            </w:pPr>
          </w:p>
        </w:tc>
        <w:tc>
          <w:tcPr>
            <w:tcW w:w="1065" w:type="dxa"/>
          </w:tcPr>
          <w:p w14:paraId="6941F157">
            <w:pPr>
              <w:pStyle w:val="21"/>
              <w:rPr>
                <w:rFonts w:ascii="宋体" w:hAnsi="宋体" w:eastAsia="宋体" w:cs="宋体"/>
                <w:lang w:eastAsia="zh-CN"/>
              </w:rPr>
            </w:pPr>
          </w:p>
        </w:tc>
      </w:tr>
      <w:tr w14:paraId="1E183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0" w:hRule="atLeast"/>
        </w:trPr>
        <w:tc>
          <w:tcPr>
            <w:tcW w:w="661" w:type="dxa"/>
            <w:vAlign w:val="center"/>
          </w:tcPr>
          <w:p w14:paraId="2322AC9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547" w:type="dxa"/>
          </w:tcPr>
          <w:p w14:paraId="69E95A0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五、响应报价要求：</w:t>
            </w:r>
          </w:p>
          <w:p w14:paraId="51B9121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1.本项目实行服务费总价包干，中标价即为合同价，报价为含税价。报价包含（但不限于）成交供应商的员工工资、社会保险、福利、税费、“ 中山市残疾人就业保障金 ”、员工培训费、卫生费用、餐饮、 日常接待、办公费用、投入物资、意外风险、首次进场交接费用等。</w:t>
            </w:r>
          </w:p>
          <w:p w14:paraId="78E4BB6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2.报价时应列出服务项目每月的服务单价。</w:t>
            </w:r>
          </w:p>
          <w:p w14:paraId="337B2A33">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3.响应供应商应对维修配件清单的单价最高限价进行下浮率报价。</w:t>
            </w:r>
          </w:p>
        </w:tc>
        <w:tc>
          <w:tcPr>
            <w:tcW w:w="1425" w:type="dxa"/>
          </w:tcPr>
          <w:p w14:paraId="556D3F97">
            <w:pPr>
              <w:pStyle w:val="21"/>
              <w:rPr>
                <w:rFonts w:ascii="宋体" w:hAnsi="宋体" w:eastAsia="宋体" w:cs="宋体"/>
                <w:lang w:eastAsia="zh-CN"/>
              </w:rPr>
            </w:pPr>
          </w:p>
        </w:tc>
        <w:tc>
          <w:tcPr>
            <w:tcW w:w="978" w:type="dxa"/>
          </w:tcPr>
          <w:p w14:paraId="59D2077F">
            <w:pPr>
              <w:pStyle w:val="21"/>
              <w:rPr>
                <w:rFonts w:ascii="宋体" w:hAnsi="宋体" w:eastAsia="宋体" w:cs="宋体"/>
                <w:lang w:eastAsia="zh-CN"/>
              </w:rPr>
            </w:pPr>
          </w:p>
        </w:tc>
        <w:tc>
          <w:tcPr>
            <w:tcW w:w="1065" w:type="dxa"/>
          </w:tcPr>
          <w:p w14:paraId="788F44CC">
            <w:pPr>
              <w:pStyle w:val="21"/>
              <w:rPr>
                <w:rFonts w:ascii="宋体" w:hAnsi="宋体" w:eastAsia="宋体" w:cs="宋体"/>
                <w:lang w:eastAsia="zh-CN"/>
              </w:rPr>
            </w:pPr>
          </w:p>
        </w:tc>
      </w:tr>
      <w:tr w14:paraId="2CDD0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66" w:hRule="atLeast"/>
        </w:trPr>
        <w:tc>
          <w:tcPr>
            <w:tcW w:w="661" w:type="dxa"/>
            <w:vAlign w:val="center"/>
          </w:tcPr>
          <w:p w14:paraId="728B229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547" w:type="dxa"/>
          </w:tcPr>
          <w:p w14:paraId="7DC4A4E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六、服务质量监管</w:t>
            </w:r>
          </w:p>
          <w:p w14:paraId="6DE655A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由采购人每月根据服务质量考核方案（详见附件）对成交供应商的服务质量进行监督考核，考核结果与当月的服务费挂钩，成交供应商应积极配合采购人的监督和考核，不得以任何理由拒绝或阻挠采购人的考核。</w:t>
            </w:r>
          </w:p>
          <w:p w14:paraId="543E1325">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2.每月由主管部门与维保单位进行联合检查考核，成交供应商在考核结果上签名确认，并针对存在问题立即整改。考评结果与服务费挂钩：每月评分总分为 100 分，考评分按实际考评得分计算。95 分为合格分，考核结果≥95 分的，全额支付当月服务费；考核结果为 90-94 分的，采购人对成交供应商按 500 元/分从当月服务费中扣减；考核结果为 85-89 分的，采购人对成交供应商按 1000 元/分从当月服务费中扣减；如果成交供应商连续 2 个月服务质量低于 85 分或因成交供应商的责任发生安全事件且造成严重后果的，采购人有权拒绝支付当月服务费且单方提前终止合同，履约保证金不予退还，采购人保留继续追究成交供应商相关责任的权利。</w:t>
            </w:r>
          </w:p>
          <w:p w14:paraId="6FC6E9B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3.★如果成交供应商未按要求落实设备设施维保工作，存在弄虚作假行为的，采购人有权从当月服务费中扣罚相应的服务费：第一次发现扣服务费的 5000 元/项，第二次发现扣 10000 元，第三次扣20000 元，以此类推，直至扣完当月服务费为止；情节恶劣并造成严重后果的，采购人有权拒绝支付当月服务费且单方提前终止合同，履约保证金不予退还，采购人保留继续追究成交供应商相关责任的权利。</w:t>
            </w:r>
          </w:p>
          <w:p w14:paraId="7F4B9AAB">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4.如因成交供应商原因所导致的一切安全事故、责任和后果由成交供应商自行承担，采购人保留追究成交供应商责任的权利。</w:t>
            </w:r>
          </w:p>
          <w:p w14:paraId="553DA1F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5.成交供应商应做好人员流动情况的储备工作，如遇人员辞职情况的，成交供应商应在做好新到岗人员培训工作，培训合格方能上岗。成交供应商应做好维保工作的无缝交接，成交供应商未按照响应时间到场进行故障处理的，如到达现场时间内未在 30 分钟内赶到现场处理，每次扣罚 1000 元。</w:t>
            </w:r>
          </w:p>
          <w:p w14:paraId="6147CF4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6.如因成交供应商违反《中华人民共和国劳动法》等法律法规而造成采购人连带责任和损失的，由成交供应商承担。成交供应商要购买员工的意外保险。成交供应商的员工与成交供应商发生的一切投诉、纠纷和法律事件，如员工发生工伤/疾病乃至死亡等，一切责任及费用由成交供应商全部负责，与采购人无关。</w:t>
            </w:r>
          </w:p>
          <w:p w14:paraId="4EDF1BE2">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7.★采购人在服务期内被上级部门通报批评（属于因公司责任的），采购人有权从当月服务费中扣减相应的服务费：第一次发现扣服务费的 5000 元，第二次扣 10000 元，第三次扣20000 元， 以此类推，直至扣完当月服务费为止；情节恶劣并造成严重后果的或一个月内被通报批评2 次的，采购人有权拒绝支付当月服务费且单方提前终止合同，履约保证金不予退还，采购人保留继续追究成交供应商相关责任的权利。</w:t>
            </w:r>
          </w:p>
        </w:tc>
        <w:tc>
          <w:tcPr>
            <w:tcW w:w="1425" w:type="dxa"/>
          </w:tcPr>
          <w:p w14:paraId="309C6D61">
            <w:pPr>
              <w:pStyle w:val="21"/>
              <w:rPr>
                <w:rFonts w:ascii="宋体" w:hAnsi="宋体" w:eastAsia="宋体" w:cs="宋体"/>
                <w:lang w:eastAsia="zh-CN"/>
              </w:rPr>
            </w:pPr>
          </w:p>
        </w:tc>
        <w:tc>
          <w:tcPr>
            <w:tcW w:w="978" w:type="dxa"/>
          </w:tcPr>
          <w:p w14:paraId="3DA9A9F7">
            <w:pPr>
              <w:pStyle w:val="21"/>
              <w:rPr>
                <w:rFonts w:ascii="宋体" w:hAnsi="宋体" w:eastAsia="宋体" w:cs="宋体"/>
                <w:lang w:eastAsia="zh-CN"/>
              </w:rPr>
            </w:pPr>
          </w:p>
        </w:tc>
        <w:tc>
          <w:tcPr>
            <w:tcW w:w="1065" w:type="dxa"/>
          </w:tcPr>
          <w:p w14:paraId="3217B854">
            <w:pPr>
              <w:pStyle w:val="21"/>
              <w:rPr>
                <w:rFonts w:ascii="宋体" w:hAnsi="宋体" w:eastAsia="宋体" w:cs="宋体"/>
                <w:lang w:eastAsia="zh-CN"/>
              </w:rPr>
            </w:pPr>
          </w:p>
        </w:tc>
      </w:tr>
      <w:tr w14:paraId="1286B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661" w:type="dxa"/>
            <w:vAlign w:val="center"/>
          </w:tcPr>
          <w:p w14:paraId="78851C2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547" w:type="dxa"/>
          </w:tcPr>
          <w:p w14:paraId="0FCEAF5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七、履约保证金</w:t>
            </w:r>
          </w:p>
          <w:p w14:paraId="3F61D47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成交供应商签署合同后 5 个工作日内需向采购人交合同总金额的 5%作为履约保证金。履约保证金的退还为合同期满后一个月内一次性无息退还。如有违约事项，采购人有权根据约定条款进行扣款，剩余款项予以无息退还。</w:t>
            </w:r>
          </w:p>
        </w:tc>
        <w:tc>
          <w:tcPr>
            <w:tcW w:w="1425" w:type="dxa"/>
          </w:tcPr>
          <w:p w14:paraId="63477C59">
            <w:pPr>
              <w:pStyle w:val="21"/>
              <w:rPr>
                <w:rFonts w:ascii="宋体" w:hAnsi="宋体" w:eastAsia="宋体" w:cs="宋体"/>
                <w:lang w:eastAsia="zh-CN"/>
              </w:rPr>
            </w:pPr>
          </w:p>
        </w:tc>
        <w:tc>
          <w:tcPr>
            <w:tcW w:w="978" w:type="dxa"/>
          </w:tcPr>
          <w:p w14:paraId="17855BC8">
            <w:pPr>
              <w:pStyle w:val="21"/>
              <w:rPr>
                <w:rFonts w:ascii="宋体" w:hAnsi="宋体" w:eastAsia="宋体" w:cs="宋体"/>
                <w:lang w:eastAsia="zh-CN"/>
              </w:rPr>
            </w:pPr>
          </w:p>
        </w:tc>
        <w:tc>
          <w:tcPr>
            <w:tcW w:w="1065" w:type="dxa"/>
          </w:tcPr>
          <w:p w14:paraId="6A11C7ED">
            <w:pPr>
              <w:pStyle w:val="21"/>
              <w:rPr>
                <w:rFonts w:ascii="宋体" w:hAnsi="宋体" w:eastAsia="宋体" w:cs="宋体"/>
                <w:lang w:eastAsia="zh-CN"/>
              </w:rPr>
            </w:pPr>
          </w:p>
        </w:tc>
      </w:tr>
      <w:tr w14:paraId="52E3CD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661" w:type="dxa"/>
            <w:vAlign w:val="center"/>
          </w:tcPr>
          <w:p w14:paraId="7CDC09F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547" w:type="dxa"/>
          </w:tcPr>
          <w:p w14:paraId="4D20B63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八、付款方法</w:t>
            </w:r>
          </w:p>
          <w:p w14:paraId="011ECFE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1.服务费的支付：采购人每月根据当月的服务岗位人数及质量考核结果支付服务费。经双方确定服务费用后，成交供应商开具有效全额增值税普通发票（含税），采购人收到发票并审核无误后6个月内支付费用。</w:t>
            </w:r>
          </w:p>
          <w:p w14:paraId="3B2570E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2.维修配件费用根据实际更换情况，按照最终维修配件清单表的约定下浮价格以及维修配件清单确认表进行月度结算。</w:t>
            </w:r>
          </w:p>
          <w:p w14:paraId="2A04B6DD">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3.成交供应商须开具与响应文件中报价人单位名称、响应报价一致的发票。</w:t>
            </w:r>
          </w:p>
        </w:tc>
        <w:tc>
          <w:tcPr>
            <w:tcW w:w="1425" w:type="dxa"/>
          </w:tcPr>
          <w:p w14:paraId="4EB37635">
            <w:pPr>
              <w:pStyle w:val="21"/>
              <w:rPr>
                <w:rFonts w:ascii="宋体" w:hAnsi="宋体" w:eastAsia="宋体" w:cs="宋体"/>
                <w:lang w:eastAsia="zh-CN"/>
              </w:rPr>
            </w:pPr>
          </w:p>
        </w:tc>
        <w:tc>
          <w:tcPr>
            <w:tcW w:w="978" w:type="dxa"/>
          </w:tcPr>
          <w:p w14:paraId="42F4AC19">
            <w:pPr>
              <w:pStyle w:val="21"/>
              <w:rPr>
                <w:rFonts w:ascii="宋体" w:hAnsi="宋体" w:eastAsia="宋体" w:cs="宋体"/>
                <w:lang w:eastAsia="zh-CN"/>
              </w:rPr>
            </w:pPr>
          </w:p>
        </w:tc>
        <w:tc>
          <w:tcPr>
            <w:tcW w:w="1065" w:type="dxa"/>
          </w:tcPr>
          <w:p w14:paraId="7C2EA142">
            <w:pPr>
              <w:pStyle w:val="21"/>
              <w:rPr>
                <w:rFonts w:ascii="宋体" w:hAnsi="宋体" w:eastAsia="宋体" w:cs="宋体"/>
                <w:lang w:eastAsia="zh-CN"/>
              </w:rPr>
            </w:pPr>
          </w:p>
        </w:tc>
      </w:tr>
      <w:tr w14:paraId="248F00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661" w:type="dxa"/>
            <w:vAlign w:val="center"/>
          </w:tcPr>
          <w:p w14:paraId="256AF9E6">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9</w:t>
            </w:r>
          </w:p>
        </w:tc>
        <w:tc>
          <w:tcPr>
            <w:tcW w:w="5547" w:type="dxa"/>
          </w:tcPr>
          <w:p w14:paraId="4944B36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九、违约责任</w:t>
            </w:r>
          </w:p>
          <w:p w14:paraId="38EA6C31">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1.如成交供应商在合同签订后未按期支付履约保证金的，须每日按应缴款总额的 5‰向采购人支付违约金。</w:t>
            </w:r>
          </w:p>
          <w:p w14:paraId="776BD830">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2.若采购人逾期付款，须每日按应收款总额的 5‰向成交供应商支付违约金，并保留向采购人追收应收取的服务费及违约金的权利。</w:t>
            </w:r>
          </w:p>
          <w:p w14:paraId="11B5B38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3.因成交供应商维护处理不及时或失误原因造成的采购人损失（含经济损失等），成交供应商除应赔偿采购人的全部实际损失外，还应按合同总价的 20%向采购人支付违约金。</w:t>
            </w:r>
          </w:p>
          <w:p w14:paraId="677819E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4.如成交供应商连续 2 个月服务质量低于 85 分或因发生安全事件且造成严重后果的导致合同解除，成交供应商除应赔偿采购人的实际经济损失外，还应按合同总价的 20%向采购人支付违约金。</w:t>
            </w:r>
          </w:p>
          <w:p w14:paraId="101D8C1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5.双方对本合同（含涉及本合同相关通知和函电） 内容应严格履行保密义务，未经一方书面同意或许可，均不得在任何时候以任何方式和理由向第三人泄露，否则，任何一方应赔偿由此给对方造成的一切损失。</w:t>
            </w:r>
          </w:p>
          <w:p w14:paraId="43E7AB0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6.成交供应商给采购人造成的损失，采购人可采取必要的途径或方式追索， 由此引起的费用由成交供应商承担，包括但不仅限于律师费、查档费、鉴定费、公证费、交通费、诉讼费、财产保全责任保险费等。</w:t>
            </w:r>
          </w:p>
          <w:p w14:paraId="051F812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7.成交供应商未能按时提供服务的，每拖延一天，需向采购人支付合同总价的 5‰违约金。如拖延七个自然日成交供应商仍未能履行的，采购人有权单方终止合同，并不承担任何责任。且成交供应商应向采购人支付合同总价 20%的惩罚性违约金，造成采购人损失的，成交供应商应向甲方承担赔偿责任。</w:t>
            </w:r>
          </w:p>
          <w:p w14:paraId="774E1A2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8.如成交供应商违反本项目招标文件中需求书的“★ ”号条款属于根本违约，采购人可单方面解除合同。</w:t>
            </w:r>
          </w:p>
          <w:p w14:paraId="6685FE7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9.其它违约责任按《中华人民共和国民法典》处理。</w:t>
            </w:r>
          </w:p>
        </w:tc>
        <w:tc>
          <w:tcPr>
            <w:tcW w:w="1425" w:type="dxa"/>
          </w:tcPr>
          <w:p w14:paraId="69E926AE">
            <w:pPr>
              <w:pStyle w:val="21"/>
              <w:rPr>
                <w:rFonts w:ascii="宋体" w:hAnsi="宋体" w:eastAsia="宋体" w:cs="宋体"/>
                <w:lang w:eastAsia="zh-CN"/>
              </w:rPr>
            </w:pPr>
          </w:p>
        </w:tc>
        <w:tc>
          <w:tcPr>
            <w:tcW w:w="978" w:type="dxa"/>
          </w:tcPr>
          <w:p w14:paraId="05962F9D">
            <w:pPr>
              <w:pStyle w:val="21"/>
              <w:rPr>
                <w:rFonts w:ascii="宋体" w:hAnsi="宋体" w:eastAsia="宋体" w:cs="宋体"/>
                <w:lang w:eastAsia="zh-CN"/>
              </w:rPr>
            </w:pPr>
          </w:p>
        </w:tc>
        <w:tc>
          <w:tcPr>
            <w:tcW w:w="1065" w:type="dxa"/>
          </w:tcPr>
          <w:p w14:paraId="3CDFF772">
            <w:pPr>
              <w:pStyle w:val="21"/>
              <w:rPr>
                <w:rFonts w:ascii="宋体" w:hAnsi="宋体" w:eastAsia="宋体" w:cs="宋体"/>
                <w:lang w:eastAsia="zh-CN"/>
              </w:rPr>
            </w:pPr>
          </w:p>
        </w:tc>
      </w:tr>
      <w:tr w14:paraId="3234F0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661" w:type="dxa"/>
            <w:vAlign w:val="center"/>
          </w:tcPr>
          <w:p w14:paraId="7F010E0F">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10</w:t>
            </w:r>
          </w:p>
        </w:tc>
        <w:tc>
          <w:tcPr>
            <w:tcW w:w="5547" w:type="dxa"/>
          </w:tcPr>
          <w:p w14:paraId="11B2E45D">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十、附件《监控系统及门禁系统维保服务质量监督考评表》</w:t>
            </w:r>
          </w:p>
        </w:tc>
        <w:tc>
          <w:tcPr>
            <w:tcW w:w="1425" w:type="dxa"/>
          </w:tcPr>
          <w:p w14:paraId="447FAA3D">
            <w:pPr>
              <w:pStyle w:val="21"/>
              <w:rPr>
                <w:rFonts w:ascii="宋体" w:hAnsi="宋体" w:eastAsia="宋体" w:cs="宋体"/>
                <w:lang w:eastAsia="zh-CN"/>
              </w:rPr>
            </w:pPr>
          </w:p>
        </w:tc>
        <w:tc>
          <w:tcPr>
            <w:tcW w:w="978" w:type="dxa"/>
          </w:tcPr>
          <w:p w14:paraId="7449F7BA">
            <w:pPr>
              <w:pStyle w:val="21"/>
              <w:rPr>
                <w:rFonts w:ascii="宋体" w:hAnsi="宋体" w:eastAsia="宋体" w:cs="宋体"/>
                <w:lang w:eastAsia="zh-CN"/>
              </w:rPr>
            </w:pPr>
          </w:p>
        </w:tc>
        <w:tc>
          <w:tcPr>
            <w:tcW w:w="1065" w:type="dxa"/>
          </w:tcPr>
          <w:p w14:paraId="4FB7733C">
            <w:pPr>
              <w:pStyle w:val="21"/>
              <w:rPr>
                <w:rFonts w:ascii="宋体" w:hAnsi="宋体" w:eastAsia="宋体" w:cs="宋体"/>
                <w:lang w:eastAsia="zh-CN"/>
              </w:rPr>
            </w:pPr>
          </w:p>
        </w:tc>
      </w:tr>
    </w:tbl>
    <w:p w14:paraId="37718A46">
      <w:pPr>
        <w:pStyle w:val="12"/>
        <w:spacing w:line="360" w:lineRule="auto"/>
        <w:ind w:firstLine="0"/>
        <w:rPr>
          <w:rFonts w:hint="eastAsia" w:ascii="宋体" w:hAnsi="宋体" w:eastAsia="宋体" w:cs="宋体"/>
          <w:lang w:val="zh-TW" w:eastAsia="zh-TW"/>
        </w:rPr>
      </w:pPr>
    </w:p>
    <w:p w14:paraId="457DE2F7">
      <w:pPr>
        <w:pStyle w:val="12"/>
        <w:spacing w:line="360" w:lineRule="auto"/>
        <w:ind w:firstLine="0"/>
        <w:rPr>
          <w:rFonts w:hint="eastAsia" w:ascii="宋体" w:hAnsi="宋体" w:eastAsia="宋体" w:cs="宋体"/>
          <w:lang w:val="zh-TW" w:eastAsia="zh-TW"/>
        </w:rPr>
      </w:pPr>
    </w:p>
    <w:p w14:paraId="65C9DAD4">
      <w:pPr>
        <w:pStyle w:val="12"/>
        <w:spacing w:line="360" w:lineRule="auto"/>
        <w:ind w:firstLine="0"/>
        <w:rPr>
          <w:rFonts w:hint="eastAsia" w:ascii="宋体" w:hAnsi="宋体" w:eastAsia="宋体" w:cs="宋体"/>
          <w:lang w:val="zh-TW" w:eastAsia="zh-TW"/>
        </w:rPr>
      </w:pPr>
    </w:p>
    <w:p w14:paraId="683383F9">
      <w:pPr>
        <w:pStyle w:val="12"/>
        <w:spacing w:line="360" w:lineRule="auto"/>
        <w:ind w:firstLine="0"/>
        <w:rPr>
          <w:rFonts w:hint="eastAsia" w:ascii="宋体" w:hAnsi="宋体" w:eastAsia="宋体" w:cs="宋体"/>
          <w:lang w:val="zh-TW" w:eastAsia="zh-TW"/>
        </w:rPr>
      </w:pPr>
    </w:p>
    <w:p w14:paraId="5F9F44FE">
      <w:pPr>
        <w:pStyle w:val="17"/>
        <w:numPr>
          <w:ilvl w:val="0"/>
          <w:numId w:val="0"/>
        </w:numPr>
        <w:ind w:leftChars="0"/>
        <w:rPr>
          <w:rFonts w:hint="eastAsia" w:hAnsi="宋体" w:cs="宋体"/>
          <w:b/>
          <w:bCs/>
          <w:color w:val="auto"/>
          <w:kern w:val="2"/>
          <w:sz w:val="21"/>
          <w:szCs w:val="21"/>
          <w:lang w:val="en-US" w:eastAsia="zh-CN" w:bidi="ar-SA"/>
        </w:rPr>
      </w:pPr>
    </w:p>
    <w:p w14:paraId="57B3868D">
      <w:pPr>
        <w:pStyle w:val="17"/>
        <w:numPr>
          <w:ilvl w:val="0"/>
          <w:numId w:val="0"/>
        </w:numPr>
        <w:ind w:leftChars="0"/>
        <w:rPr>
          <w:rStyle w:val="18"/>
          <w:rFonts w:hint="eastAsia" w:hAnsi="宋体" w:cs="宋体" w:asciiTheme="minorHAnsi"/>
          <w:b/>
          <w:bCs/>
          <w:color w:val="auto"/>
          <w:kern w:val="2"/>
          <w:sz w:val="21"/>
          <w:szCs w:val="21"/>
          <w:lang w:val="en-US" w:eastAsia="zh-CN"/>
        </w:rPr>
      </w:pPr>
      <w:r>
        <w:rPr>
          <w:rFonts w:hint="eastAsia" w:hAnsi="宋体" w:cs="宋体"/>
          <w:b/>
          <w:bCs/>
          <w:color w:val="auto"/>
          <w:kern w:val="2"/>
          <w:sz w:val="21"/>
          <w:szCs w:val="21"/>
          <w:lang w:val="en-US" w:eastAsia="zh-CN" w:bidi="ar-SA"/>
        </w:rPr>
        <w:t>七</w:t>
      </w:r>
      <w:r>
        <w:rPr>
          <w:rStyle w:val="18"/>
          <w:rFonts w:hint="eastAsia" w:hAnsi="宋体" w:cs="宋体" w:asciiTheme="minorHAnsi"/>
          <w:b/>
          <w:bCs/>
          <w:color w:val="auto"/>
          <w:kern w:val="2"/>
          <w:sz w:val="21"/>
          <w:szCs w:val="21"/>
          <w:lang w:val="en-US" w:eastAsia="zh-CN"/>
        </w:rPr>
        <w:t>、供应商认为需要提供的其他材料（如有）</w:t>
      </w:r>
    </w:p>
    <w:p w14:paraId="1EDCDE29">
      <w:pPr>
        <w:pStyle w:val="5"/>
        <w:spacing w:line="360" w:lineRule="auto"/>
        <w:jc w:val="center"/>
        <w:rPr>
          <w:rFonts w:hint="eastAsia" w:ascii="宋体" w:hAnsi="宋体" w:eastAsia="宋体" w:cs="宋体"/>
        </w:rPr>
      </w:pPr>
    </w:p>
    <w:p w14:paraId="10B18D41">
      <w:pPr>
        <w:pStyle w:val="5"/>
        <w:spacing w:line="360" w:lineRule="auto"/>
        <w:jc w:val="center"/>
        <w:rPr>
          <w:rFonts w:hint="eastAsia" w:ascii="宋体" w:hAnsi="宋体" w:eastAsia="宋体" w:cs="宋体"/>
        </w:rPr>
      </w:pPr>
    </w:p>
    <w:p w14:paraId="0CC13FA1">
      <w:pPr>
        <w:pStyle w:val="5"/>
        <w:spacing w:line="360" w:lineRule="auto"/>
        <w:jc w:val="center"/>
        <w:rPr>
          <w:rFonts w:hint="eastAsia" w:ascii="宋体" w:hAnsi="宋体" w:eastAsia="宋体" w:cs="宋体"/>
        </w:rPr>
      </w:pP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585D4359">
      <w:pPr>
        <w:spacing w:line="360" w:lineRule="auto"/>
        <w:jc w:val="left"/>
        <w:rPr>
          <w:rFonts w:hint="default" w:ascii="宋体" w:hAnsi="宋体" w:eastAsia="宋体" w:cs="宋体"/>
          <w:sz w:val="24"/>
          <w:szCs w:val="24"/>
          <w:u w:val="none"/>
          <w:lang w:val="en-US" w:eastAsia="zh-CN"/>
        </w:rPr>
      </w:pPr>
    </w:p>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F5E58"/>
    <w:multiLevelType w:val="singleLevel"/>
    <w:tmpl w:val="6FEF5E5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94D472E"/>
    <w:rsid w:val="0CA21D1B"/>
    <w:rsid w:val="187F3307"/>
    <w:rsid w:val="1E840AC7"/>
    <w:rsid w:val="20E33B6F"/>
    <w:rsid w:val="20FE31B4"/>
    <w:rsid w:val="28DF6635"/>
    <w:rsid w:val="2A417081"/>
    <w:rsid w:val="2DA35FBA"/>
    <w:rsid w:val="335464C2"/>
    <w:rsid w:val="336E7A0B"/>
    <w:rsid w:val="36E33B5E"/>
    <w:rsid w:val="3E6B5D05"/>
    <w:rsid w:val="490E789E"/>
    <w:rsid w:val="490F4F35"/>
    <w:rsid w:val="4B7A033A"/>
    <w:rsid w:val="53BC3594"/>
    <w:rsid w:val="602E5C55"/>
    <w:rsid w:val="6051490F"/>
    <w:rsid w:val="612D28B6"/>
    <w:rsid w:val="6B4C6025"/>
    <w:rsid w:val="6BB6035B"/>
    <w:rsid w:val="6C561999"/>
    <w:rsid w:val="70922C0A"/>
    <w:rsid w:val="72D245E7"/>
    <w:rsid w:val="76BE71B6"/>
    <w:rsid w:val="79D14349"/>
    <w:rsid w:val="7B8E386D"/>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6">
    <w:name w:val="Default Paragraph Font"/>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customStyle="1" w:styleId="2">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4">
    <w:name w:val="Normal Indent"/>
    <w:basedOn w:val="1"/>
    <w:qFormat/>
    <w:uiPriority w:val="0"/>
    <w:pPr>
      <w:spacing w:line="360" w:lineRule="auto"/>
      <w:ind w:firstLine="420"/>
    </w:pPr>
    <w:rPr>
      <w:rFonts w:ascii="宋体"/>
    </w:rPr>
  </w:style>
  <w:style w:type="paragraph" w:styleId="5">
    <w:name w:val="Body Text"/>
    <w:basedOn w:val="1"/>
    <w:autoRedefine/>
    <w:qFormat/>
    <w:uiPriority w:val="99"/>
    <w:pPr>
      <w:spacing w:after="120"/>
    </w:pPr>
  </w:style>
  <w:style w:type="paragraph" w:styleId="6">
    <w:name w:val="Body Text Indent"/>
    <w:basedOn w:val="1"/>
    <w:qFormat/>
    <w:uiPriority w:val="0"/>
    <w:pPr>
      <w:widowControl w:val="0"/>
      <w:spacing w:line="360" w:lineRule="auto"/>
      <w:ind w:left="608" w:hanging="608"/>
      <w:jc w:val="both"/>
    </w:pPr>
    <w:rPr>
      <w:rFonts w:ascii="宋体"/>
      <w:sz w:val="28"/>
    </w:rPr>
  </w:style>
  <w:style w:type="paragraph" w:styleId="7">
    <w:name w:val="toc 5"/>
    <w:basedOn w:val="1"/>
    <w:next w:val="1"/>
    <w:autoRedefine/>
    <w:qFormat/>
    <w:uiPriority w:val="0"/>
    <w:pPr>
      <w:ind w:left="840"/>
      <w:jc w:val="left"/>
    </w:pPr>
    <w:rPr>
      <w:rFonts w:ascii="Calibri" w:hAnsi="Calibri"/>
      <w:sz w:val="18"/>
      <w:szCs w:val="18"/>
    </w:rPr>
  </w:style>
  <w:style w:type="paragraph" w:styleId="8">
    <w:name w:val="Body Text Indent 2"/>
    <w:basedOn w:val="1"/>
    <w:link w:val="18"/>
    <w:autoRedefine/>
    <w:qFormat/>
    <w:uiPriority w:val="0"/>
    <w:pPr>
      <w:spacing w:after="120" w:line="480" w:lineRule="auto"/>
      <w:ind w:left="420" w:leftChars="200"/>
    </w:pPr>
    <w:rPr>
      <w:szCs w:val="20"/>
    </w:rPr>
  </w:style>
  <w:style w:type="paragraph" w:styleId="9">
    <w:name w:val="footer"/>
    <w:basedOn w:val="1"/>
    <w:qFormat/>
    <w:uiPriority w:val="99"/>
    <w:pPr>
      <w:tabs>
        <w:tab w:val="center" w:pos="4153"/>
        <w:tab w:val="right" w:pos="8306"/>
      </w:tabs>
      <w:snapToGrid w:val="0"/>
      <w:jc w:val="left"/>
    </w:pPr>
    <w:rPr>
      <w:sz w:val="18"/>
    </w:rPr>
  </w:style>
  <w:style w:type="paragraph" w:styleId="10">
    <w:name w:val="toc 1"/>
    <w:basedOn w:val="1"/>
    <w:next w:val="1"/>
    <w:qFormat/>
    <w:uiPriority w:val="39"/>
  </w:style>
  <w:style w:type="paragraph" w:styleId="11">
    <w:name w:val="Normal (Web)"/>
    <w:basedOn w:val="1"/>
    <w:qFormat/>
    <w:uiPriority w:val="99"/>
    <w:pPr>
      <w:widowControl/>
      <w:spacing w:before="100" w:beforeAutospacing="1" w:after="100" w:afterAutospacing="1"/>
      <w:jc w:val="left"/>
    </w:pPr>
    <w:rPr>
      <w:rFonts w:ascii="宋体" w:hAnsi="宋体"/>
      <w:kern w:val="0"/>
      <w:sz w:val="24"/>
    </w:rPr>
  </w:style>
  <w:style w:type="paragraph" w:styleId="12">
    <w:name w:val="Body Text First Indent"/>
    <w:basedOn w:val="5"/>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6"/>
    <w:qFormat/>
    <w:uiPriority w:val="0"/>
    <w:pPr>
      <w:snapToGrid w:val="0"/>
      <w:spacing w:after="120" w:afterLines="0"/>
      <w:ind w:left="420" w:firstLine="420" w:firstLineChars="200"/>
    </w:pPr>
    <w:rPr>
      <w:rFonts w:ascii="Tahoma" w:hAnsi="Tahoma"/>
      <w:kern w:val="2"/>
      <w:szCs w:val="24"/>
    </w:r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7">
    <w:name w:val="List Paragraph"/>
    <w:basedOn w:val="1"/>
    <w:autoRedefine/>
    <w:qFormat/>
    <w:uiPriority w:val="34"/>
    <w:pPr>
      <w:ind w:firstLine="420" w:firstLineChars="200"/>
    </w:pPr>
    <w:rPr>
      <w:rFonts w:ascii="Calibri" w:hAnsi="Calibri"/>
      <w:szCs w:val="22"/>
    </w:rPr>
  </w:style>
  <w:style w:type="character" w:customStyle="1" w:styleId="18">
    <w:name w:val="正文文本缩进 2 Char"/>
    <w:link w:val="8"/>
    <w:autoRedefine/>
    <w:qFormat/>
    <w:uiPriority w:val="0"/>
    <w:rPr>
      <w:szCs w:val="20"/>
    </w:rPr>
  </w:style>
  <w:style w:type="paragraph" w:customStyle="1" w:styleId="19">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20">
    <w:name w:val="Table Normal"/>
    <w:semiHidden/>
    <w:unhideWhenUsed/>
    <w:qFormat/>
    <w:uiPriority w:val="0"/>
    <w:tblPr>
      <w:tblCellMar>
        <w:top w:w="0" w:type="dxa"/>
        <w:left w:w="0" w:type="dxa"/>
        <w:bottom w:w="0" w:type="dxa"/>
        <w:right w:w="0" w:type="dxa"/>
      </w:tblCellMar>
    </w:tblPr>
  </w:style>
  <w:style w:type="paragraph" w:customStyle="1" w:styleId="21">
    <w:name w:val="Table Text"/>
    <w:basedOn w:val="1"/>
    <w:semiHidden/>
    <w:qFormat/>
    <w:uiPriority w:val="0"/>
    <w:rPr>
      <w:rFonts w:ascii="宋体" w:hAnsi="宋体" w:eastAsia="宋体" w:cs="宋体"/>
      <w:sz w:val="25"/>
      <w:szCs w:val="25"/>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10745</Words>
  <Characters>11910</Characters>
  <Lines>0</Lines>
  <Paragraphs>0</Paragraphs>
  <TotalTime>29</TotalTime>
  <ScaleCrop>false</ScaleCrop>
  <LinksUpToDate>false</LinksUpToDate>
  <CharactersWithSpaces>12397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18924981193</cp:lastModifiedBy>
  <dcterms:modified xsi:type="dcterms:W3CDTF">2026-09-08T09:21:01Z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ADDCDE4F86FD49D0BAE74623170F1A00_13</vt:lpwstr>
  </property>
  <property fmtid="{D5CDD505-2E9C-101B-9397-08002B2CF9AE}" pid="4" name="KSOTemplateDocerSaveRecord">
    <vt:lpwstr>eyJoZGlkIjoiMDI1YTQ0MGQ2NDc4NmQ3MjU4NTFkMzZmNDA5NDM5ODgiLCJ1c2VySWQiOiI3MDcxOTEyNjEifQ==</vt:lpwstr>
  </property>
</Properties>
</file>