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9"/>
          <w:rFonts w:hint="eastAsia" w:ascii="宋体" w:hAnsi="宋体" w:eastAsia="宋体" w:cs="宋体"/>
          <w:b/>
          <w:bCs/>
          <w:sz w:val="32"/>
          <w:szCs w:val="28"/>
        </w:rPr>
      </w:pPr>
    </w:p>
    <w:p w14:paraId="0C8D5C73">
      <w:pPr>
        <w:spacing w:line="360" w:lineRule="auto"/>
        <w:jc w:val="center"/>
        <w:outlineLvl w:val="1"/>
        <w:rPr>
          <w:rStyle w:val="19"/>
          <w:rFonts w:hint="eastAsia" w:ascii="宋体" w:hAnsi="宋体" w:eastAsia="宋体" w:cs="宋体"/>
          <w:b/>
          <w:bCs/>
          <w:sz w:val="32"/>
          <w:szCs w:val="28"/>
          <w:lang w:val="en-US" w:eastAsia="zh-CN"/>
        </w:rPr>
      </w:pPr>
    </w:p>
    <w:p w14:paraId="268FE1B6">
      <w:pPr>
        <w:spacing w:line="360" w:lineRule="auto"/>
        <w:jc w:val="center"/>
        <w:outlineLvl w:val="1"/>
        <w:rPr>
          <w:rStyle w:val="19"/>
          <w:rFonts w:hint="eastAsia" w:ascii="宋体" w:hAnsi="宋体" w:eastAsia="宋体" w:cs="宋体"/>
          <w:b/>
          <w:bCs/>
          <w:sz w:val="32"/>
          <w:szCs w:val="28"/>
          <w:lang w:val="en-US" w:eastAsia="zh-CN"/>
        </w:rPr>
      </w:pPr>
    </w:p>
    <w:p w14:paraId="2F3D57A4">
      <w:pPr>
        <w:spacing w:line="360" w:lineRule="auto"/>
        <w:jc w:val="center"/>
        <w:outlineLvl w:val="1"/>
        <w:rPr>
          <w:rStyle w:val="19"/>
          <w:rFonts w:hint="eastAsia" w:ascii="宋体" w:hAnsi="宋体" w:eastAsia="宋体" w:cs="宋体"/>
          <w:b/>
          <w:bCs/>
          <w:sz w:val="32"/>
          <w:szCs w:val="28"/>
          <w:lang w:val="en-US" w:eastAsia="zh-CN"/>
        </w:rPr>
      </w:pPr>
    </w:p>
    <w:p w14:paraId="0D63EF51">
      <w:pPr>
        <w:pStyle w:val="6"/>
        <w:rPr>
          <w:rStyle w:val="19"/>
          <w:rFonts w:hint="eastAsia" w:ascii="宋体" w:hAnsi="宋体" w:eastAsia="宋体" w:cs="宋体"/>
          <w:b/>
          <w:bCs/>
          <w:sz w:val="32"/>
          <w:szCs w:val="28"/>
          <w:lang w:val="en-US" w:eastAsia="zh-CN"/>
        </w:rPr>
      </w:pPr>
    </w:p>
    <w:p w14:paraId="26170796">
      <w:pPr>
        <w:pStyle w:val="12"/>
        <w:rPr>
          <w:rStyle w:val="19"/>
          <w:rFonts w:hint="eastAsia" w:ascii="宋体" w:hAnsi="宋体" w:eastAsia="宋体" w:cs="宋体"/>
          <w:b/>
          <w:bCs/>
          <w:sz w:val="32"/>
          <w:szCs w:val="28"/>
          <w:lang w:val="en-US" w:eastAsia="zh-CN"/>
        </w:rPr>
      </w:pPr>
    </w:p>
    <w:p w14:paraId="5F9B338A">
      <w:pPr>
        <w:pStyle w:val="12"/>
        <w:rPr>
          <w:rStyle w:val="19"/>
          <w:rFonts w:hint="eastAsia" w:ascii="宋体" w:hAnsi="宋体" w:eastAsia="宋体" w:cs="宋体"/>
          <w:b/>
          <w:bCs/>
          <w:sz w:val="32"/>
          <w:szCs w:val="28"/>
          <w:lang w:val="en-US" w:eastAsia="zh-CN"/>
        </w:rPr>
      </w:pPr>
    </w:p>
    <w:p w14:paraId="0B850935">
      <w:pPr>
        <w:pStyle w:val="12"/>
        <w:rPr>
          <w:rStyle w:val="19"/>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中山市小榄人民医院</w:t>
      </w:r>
      <w:r>
        <w:rPr>
          <w:rStyle w:val="19"/>
          <w:rFonts w:hint="eastAsia" w:ascii="宋体" w:hAnsi="宋体" w:eastAsia="宋体" w:cs="宋体"/>
          <w:b/>
          <w:bCs/>
          <w:sz w:val="48"/>
          <w:szCs w:val="48"/>
          <w:lang w:val="en-US" w:eastAsia="zh-CN"/>
        </w:rPr>
        <w:t>全自动免散瞳眼底照相仪采购</w:t>
      </w:r>
      <w:r>
        <w:rPr>
          <w:rStyle w:val="19"/>
          <w:rFonts w:hint="eastAsia" w:ascii="宋体" w:hAnsi="宋体" w:eastAsia="宋体" w:cs="宋体"/>
          <w:b/>
          <w:bCs/>
          <w:sz w:val="48"/>
          <w:szCs w:val="48"/>
          <w:lang w:val="en-US" w:eastAsia="zh-CN"/>
        </w:rPr>
        <w:t>项目响应文件</w:t>
      </w:r>
    </w:p>
    <w:p w14:paraId="3785F128">
      <w:pPr>
        <w:spacing w:line="360" w:lineRule="auto"/>
        <w:jc w:val="center"/>
        <w:outlineLvl w:val="1"/>
        <w:rPr>
          <w:rStyle w:val="19"/>
          <w:rFonts w:hint="eastAsia" w:ascii="宋体" w:hAnsi="宋体" w:eastAsia="宋体" w:cs="宋体"/>
          <w:b/>
          <w:bCs/>
          <w:sz w:val="32"/>
          <w:szCs w:val="28"/>
        </w:rPr>
      </w:pPr>
    </w:p>
    <w:p w14:paraId="66779CA0">
      <w:pPr>
        <w:spacing w:line="360" w:lineRule="auto"/>
        <w:jc w:val="center"/>
        <w:outlineLvl w:val="1"/>
        <w:rPr>
          <w:rStyle w:val="19"/>
          <w:rFonts w:hint="eastAsia" w:ascii="宋体" w:hAnsi="宋体" w:eastAsia="宋体" w:cs="宋体"/>
          <w:b/>
          <w:bCs/>
          <w:sz w:val="32"/>
          <w:szCs w:val="28"/>
        </w:rPr>
      </w:pPr>
    </w:p>
    <w:p w14:paraId="3ACB86FE">
      <w:pPr>
        <w:spacing w:line="360" w:lineRule="auto"/>
        <w:jc w:val="center"/>
        <w:outlineLvl w:val="1"/>
        <w:rPr>
          <w:rStyle w:val="19"/>
          <w:rFonts w:hint="eastAsia" w:ascii="宋体" w:hAnsi="宋体" w:eastAsia="宋体" w:cs="宋体"/>
          <w:b/>
          <w:bCs/>
          <w:sz w:val="32"/>
          <w:szCs w:val="28"/>
        </w:rPr>
      </w:pPr>
    </w:p>
    <w:p w14:paraId="07D4B0A5">
      <w:pPr>
        <w:spacing w:line="360" w:lineRule="auto"/>
        <w:jc w:val="center"/>
        <w:outlineLvl w:val="1"/>
        <w:rPr>
          <w:rStyle w:val="19"/>
          <w:rFonts w:hint="eastAsia" w:ascii="宋体" w:hAnsi="宋体" w:eastAsia="宋体" w:cs="宋体"/>
          <w:b/>
          <w:bCs/>
          <w:sz w:val="32"/>
          <w:szCs w:val="28"/>
        </w:rPr>
      </w:pPr>
    </w:p>
    <w:p w14:paraId="41060C6E">
      <w:pPr>
        <w:spacing w:line="360" w:lineRule="auto"/>
        <w:jc w:val="center"/>
        <w:outlineLvl w:val="1"/>
        <w:rPr>
          <w:rStyle w:val="19"/>
          <w:rFonts w:hint="eastAsia" w:ascii="宋体" w:hAnsi="宋体" w:eastAsia="宋体" w:cs="宋体"/>
          <w:b/>
          <w:bCs/>
          <w:sz w:val="32"/>
          <w:szCs w:val="28"/>
        </w:rPr>
      </w:pPr>
    </w:p>
    <w:p w14:paraId="43C5CE10">
      <w:pPr>
        <w:pStyle w:val="4"/>
        <w:rPr>
          <w:rStyle w:val="19"/>
          <w:rFonts w:hint="eastAsia" w:ascii="宋体" w:hAnsi="宋体" w:eastAsia="宋体" w:cs="宋体"/>
          <w:b/>
          <w:bCs/>
          <w:sz w:val="32"/>
          <w:szCs w:val="28"/>
        </w:rPr>
      </w:pPr>
    </w:p>
    <w:p w14:paraId="13F4767D">
      <w:pPr>
        <w:spacing w:line="360" w:lineRule="auto"/>
        <w:ind w:firstLine="1680" w:firstLineChars="700"/>
        <w:jc w:val="both"/>
        <w:outlineLvl w:val="1"/>
        <w:rPr>
          <w:rStyle w:val="19"/>
          <w:rFonts w:hint="default"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19592BB">
      <w:pPr>
        <w:pStyle w:val="4"/>
        <w:rPr>
          <w:rStyle w:val="19"/>
          <w:rFonts w:hint="eastAsia" w:ascii="宋体" w:hAnsi="宋体" w:eastAsia="宋体" w:cs="宋体"/>
          <w:b/>
          <w:bCs/>
          <w:sz w:val="32"/>
          <w:szCs w:val="28"/>
        </w:rPr>
      </w:pPr>
    </w:p>
    <w:p w14:paraId="7C4205B0">
      <w:pPr>
        <w:spacing w:line="360" w:lineRule="auto"/>
        <w:jc w:val="left"/>
        <w:outlineLvl w:val="1"/>
        <w:rPr>
          <w:rStyle w:val="19"/>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一、承诺函</w:t>
      </w:r>
    </w:p>
    <w:p w14:paraId="2937FF95">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FBAE5F8">
      <w:pPr>
        <w:pStyle w:val="6"/>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w:t>
      </w:r>
      <w:r>
        <w:rPr>
          <w:rFonts w:hint="eastAsia" w:ascii="宋体" w:hAnsi="宋体" w:eastAsia="宋体" w:cs="宋体"/>
          <w:sz w:val="24"/>
          <w:u w:val="single"/>
        </w:rPr>
        <w:t>全自动免散瞳眼底照相仪</w:t>
      </w:r>
      <w:r>
        <w:rPr>
          <w:rFonts w:hint="eastAsia" w:ascii="宋体" w:hAnsi="宋体" w:eastAsia="宋体" w:cs="宋体"/>
          <w:sz w:val="24"/>
          <w:u w:val="single"/>
          <w:lang w:val="en-US" w:eastAsia="zh-CN"/>
        </w:rPr>
        <w:t>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6"/>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6"/>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22676"/>
      <w:bookmarkStart w:id="2" w:name="_Toc30971"/>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9"/>
          <w:rFonts w:hint="eastAsia" w:ascii="宋体" w:hAnsi="宋体" w:eastAsia="宋体" w:cs="宋体"/>
          <w:b/>
          <w:bCs/>
          <w:sz w:val="21"/>
          <w:szCs w:val="21"/>
          <w:lang w:val="en-US" w:eastAsia="zh-CN"/>
        </w:rPr>
        <w:t>二、</w:t>
      </w:r>
      <w:bookmarkEnd w:id="0"/>
      <w:bookmarkEnd w:id="1"/>
      <w:bookmarkEnd w:id="2"/>
      <w:bookmarkEnd w:id="3"/>
      <w:bookmarkEnd w:id="4"/>
      <w:r>
        <w:rPr>
          <w:rStyle w:val="19"/>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5" w:name="_Toc15526"/>
      <w:bookmarkStart w:id="6" w:name="_Toc20589"/>
      <w:bookmarkStart w:id="7" w:name="_Toc27661"/>
      <w:bookmarkStart w:id="8" w:name="_Toc25638"/>
      <w:bookmarkStart w:id="9" w:name="_Toc12015"/>
      <w:bookmarkStart w:id="10" w:name="_Toc11351"/>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8"/>
        <w:rPr>
          <w:rFonts w:hint="eastAsia" w:ascii="宋体" w:hAnsi="宋体" w:eastAsia="宋体" w:cs="宋体"/>
          <w:lang w:eastAsia="zh-CN"/>
        </w:rPr>
      </w:pPr>
    </w:p>
    <w:p w14:paraId="2E8967E4">
      <w:pPr>
        <w:pStyle w:val="17"/>
        <w:spacing w:line="360" w:lineRule="auto"/>
        <w:jc w:val="center"/>
        <w:rPr>
          <w:rStyle w:val="19"/>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6"/>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w:t>
      </w:r>
      <w:r>
        <w:rPr>
          <w:rFonts w:hint="eastAsia" w:ascii="宋体" w:hAnsi="宋体" w:eastAsia="宋体" w:cs="宋体"/>
          <w:sz w:val="24"/>
          <w:u w:val="single"/>
        </w:rPr>
        <w:t>全自动免散瞳眼底照相仪</w:t>
      </w:r>
      <w:r>
        <w:rPr>
          <w:rFonts w:hint="eastAsia" w:ascii="宋体" w:hAnsi="宋体" w:eastAsia="宋体" w:cs="宋体"/>
          <w:sz w:val="24"/>
          <w:u w:val="single"/>
          <w:lang w:val="en-US" w:eastAsia="zh-CN"/>
        </w:rPr>
        <w:t>采</w:t>
      </w:r>
      <w:r>
        <w:rPr>
          <w:rFonts w:hint="eastAsia" w:ascii="宋体" w:hAnsi="宋体" w:eastAsia="宋体" w:cs="宋体"/>
          <w:sz w:val="24"/>
          <w:u w:val="single"/>
          <w:lang w:val="en-US" w:eastAsia="zh-CN"/>
        </w:rPr>
        <w:t>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8"/>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11" w:name="_Toc12967"/>
      <w:bookmarkStart w:id="12" w:name="_Toc2041"/>
      <w:bookmarkStart w:id="13" w:name="_Toc26969"/>
      <w:bookmarkStart w:id="14" w:name="_Toc16435"/>
      <w:bookmarkStart w:id="15" w:name="_Toc1074"/>
      <w:bookmarkStart w:id="16" w:name="_Toc23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9"/>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9"/>
          <w:rFonts w:hint="eastAsia" w:ascii="Times New Roman" w:hAnsi="宋体" w:eastAsia="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相关授权（</w:t>
      </w:r>
      <w:r>
        <w:rPr>
          <w:rStyle w:val="19"/>
          <w:rFonts w:hint="eastAsia" w:ascii="Times New Roman" w:hAnsi="宋体" w:eastAsia="宋体" w:cs="宋体"/>
          <w:b/>
          <w:bCs/>
          <w:color w:val="auto"/>
          <w:kern w:val="2"/>
          <w:sz w:val="21"/>
          <w:szCs w:val="21"/>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6"/>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9"/>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4"/>
        <w:tblW w:w="1074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582"/>
        <w:gridCol w:w="8462"/>
        <w:gridCol w:w="834"/>
        <w:gridCol w:w="864"/>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742"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lang w:val="en-US" w:eastAsia="zh-CN" w:bidi="ar-SA"/>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320F0F">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仿宋" w:hAnsi="仿宋" w:eastAsia="仿宋" w:cs="仿宋"/>
                <w:color w:val="000000" w:themeColor="text1"/>
                <w:sz w:val="24"/>
                <w14:textFill>
                  <w14:solidFill>
                    <w14:schemeClr w14:val="tx1"/>
                  </w14:solidFill>
                </w14:textFill>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90C236">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仿宋" w:hAnsi="仿宋" w:eastAsia="仿宋" w:cs="仿宋"/>
                <w:color w:val="000000" w:themeColor="text1"/>
                <w:sz w:val="24"/>
                <w14:textFill>
                  <w14:solidFill>
                    <w14:schemeClr w14:val="tx1"/>
                  </w14:solidFill>
                </w14:textFill>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C29994D">
            <w:pPr>
              <w:spacing w:line="440" w:lineRule="exact"/>
              <w:rPr>
                <w:rFonts w:hint="eastAsia" w:ascii="宋体" w:hAnsi="宋体" w:cs="宋体"/>
                <w:color w:val="auto"/>
                <w:szCs w:val="21"/>
                <w:highlight w:val="none"/>
                <w:lang w:val="en-US" w:eastAsia="zh-CN"/>
              </w:rPr>
            </w:pPr>
            <w:r>
              <w:rPr>
                <w:rFonts w:hint="eastAsia" w:ascii="仿宋" w:hAnsi="仿宋" w:eastAsia="仿宋" w:cs="仿宋"/>
                <w:color w:val="000000" w:themeColor="text1"/>
                <w:sz w:val="24"/>
                <w14:textFill>
                  <w14:solidFill>
                    <w14:schemeClr w14:val="tx1"/>
                  </w14:solidFill>
                </w14:textFill>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Fonts w:hint="eastAsia" w:ascii="宋体" w:hAnsi="宋体" w:eastAsia="宋体" w:cs="宋体"/>
                <w:color w:val="auto"/>
                <w:szCs w:val="21"/>
                <w:highlight w:val="none"/>
              </w:rPr>
              <w:t>★</w:t>
            </w:r>
            <w:r>
              <w:rPr>
                <w:rStyle w:val="19"/>
                <w:rFonts w:hint="eastAsia" w:ascii="宋体" w:hAnsi="宋体" w:eastAsia="宋体" w:cs="宋体"/>
                <w:b w:val="0"/>
                <w:bCs w:val="0"/>
                <w:color w:val="auto"/>
                <w:kern w:val="2"/>
                <w:sz w:val="21"/>
                <w:szCs w:val="21"/>
                <w:lang w:val="en-US" w:eastAsia="zh-CN"/>
              </w:rPr>
              <w:t>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FE9830E">
            <w:pPr>
              <w:spacing w:line="440" w:lineRule="exact"/>
              <w:rPr>
                <w:rFonts w:hint="eastAsia" w:ascii="宋体" w:hAnsi="宋体" w:eastAsia="宋体" w:cs="宋体"/>
                <w:color w:val="auto"/>
                <w:kern w:val="0"/>
                <w:sz w:val="21"/>
                <w:szCs w:val="21"/>
                <w:lang w:val="en-US" w:eastAsia="zh-CN" w:bidi="ar"/>
              </w:rPr>
            </w:pPr>
            <w:r>
              <w:rPr>
                <w:rFonts w:hint="eastAsia" w:ascii="仿宋" w:hAnsi="仿宋" w:eastAsia="仿宋" w:cs="仿宋"/>
                <w:color w:val="000000" w:themeColor="text1"/>
                <w:sz w:val="24"/>
                <w14:textFill>
                  <w14:solidFill>
                    <w14:schemeClr w14:val="tx1"/>
                  </w14:solidFill>
                </w14:textFill>
              </w:rPr>
              <w:t>4.本文的“质保期”是指中标标的物经约定的验收机构完成验收之日起算，截止承诺的期限。</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二</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2A972E">
            <w:pPr>
              <w:numPr>
                <w:ilvl w:val="0"/>
                <w:numId w:val="0"/>
              </w:numPr>
              <w:spacing w:line="440" w:lineRule="exact"/>
              <w:rPr>
                <w:rFonts w:hint="eastAsia" w:ascii="宋体" w:hAnsi="宋体" w:eastAsia="宋体" w:cs="宋体"/>
                <w:b/>
                <w:color w:val="auto"/>
                <w:szCs w:val="21"/>
                <w:highlight w:val="none"/>
                <w:lang w:eastAsia="zh-CN"/>
              </w:rPr>
            </w:pPr>
            <w:r>
              <w:rPr>
                <w:rFonts w:hint="eastAsia" w:ascii="仿宋" w:hAnsi="仿宋" w:eastAsia="仿宋" w:cs="仿宋"/>
                <w:b/>
                <w:color w:val="auto"/>
                <w:sz w:val="24"/>
              </w:rPr>
              <w:t>基本需求</w:t>
            </w:r>
          </w:p>
          <w:tbl>
            <w:tblPr>
              <w:tblStyle w:val="15"/>
              <w:tblpPr w:leftFromText="180" w:rightFromText="180" w:vertAnchor="text" w:horzAnchor="page" w:tblpX="1" w:tblpY="42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1776"/>
              <w:gridCol w:w="1416"/>
            </w:tblGrid>
            <w:tr w14:paraId="701E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0" w:type="auto"/>
                </w:tcPr>
                <w:p w14:paraId="58C46F34">
                  <w:pPr>
                    <w:spacing w:line="440" w:lineRule="exac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0" w:type="auto"/>
                </w:tcPr>
                <w:p w14:paraId="2E3E5978">
                  <w:pPr>
                    <w:spacing w:line="440" w:lineRule="exac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0" w:type="auto"/>
                </w:tcPr>
                <w:p w14:paraId="335168C4">
                  <w:pPr>
                    <w:spacing w:line="440" w:lineRule="exac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70A1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0" w:type="auto"/>
                </w:tcPr>
                <w:p w14:paraId="2C388169">
                  <w:pPr>
                    <w:spacing w:line="720"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全自动免散瞳眼底照相仪</w:t>
                  </w:r>
                </w:p>
              </w:tc>
              <w:tc>
                <w:tcPr>
                  <w:tcW w:w="0" w:type="auto"/>
                </w:tcPr>
                <w:p w14:paraId="4F6F320E">
                  <w:pPr>
                    <w:spacing w:line="720"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体检中心</w:t>
                  </w:r>
                </w:p>
              </w:tc>
              <w:tc>
                <w:tcPr>
                  <w:tcW w:w="0" w:type="auto"/>
                </w:tcPr>
                <w:p w14:paraId="4D782522">
                  <w:pPr>
                    <w:spacing w:line="720" w:lineRule="auto"/>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一套</w:t>
                  </w:r>
                </w:p>
              </w:tc>
            </w:tr>
          </w:tbl>
          <w:p w14:paraId="77C786B9">
            <w:pPr>
              <w:numPr>
                <w:numId w:val="0"/>
              </w:numPr>
              <w:spacing w:line="440" w:lineRule="exact"/>
              <w:rPr>
                <w:rFonts w:hint="eastAsia" w:ascii="仿宋" w:hAnsi="仿宋" w:eastAsia="仿宋" w:cs="仿宋"/>
                <w:b/>
                <w:color w:val="000000" w:themeColor="text1"/>
                <w:sz w:val="24"/>
                <w14:textFill>
                  <w14:solidFill>
                    <w14:schemeClr w14:val="tx1"/>
                  </w14:solidFill>
                </w14:textFill>
              </w:rPr>
            </w:pPr>
          </w:p>
          <w:p w14:paraId="3A45328A">
            <w:pPr>
              <w:spacing w:line="440" w:lineRule="exact"/>
              <w:rPr>
                <w:rFonts w:hint="eastAsia" w:ascii="仿宋" w:hAnsi="仿宋" w:eastAsia="仿宋" w:cs="仿宋"/>
                <w:b/>
                <w:bCs/>
                <w:color w:val="000000" w:themeColor="text1"/>
                <w:sz w:val="24"/>
                <w14:textFill>
                  <w14:solidFill>
                    <w14:schemeClr w14:val="tx1"/>
                  </w14:solidFill>
                </w14:textFill>
              </w:rPr>
            </w:pPr>
          </w:p>
          <w:p w14:paraId="1FF3739C">
            <w:pPr>
              <w:spacing w:line="440" w:lineRule="exact"/>
              <w:rPr>
                <w:rFonts w:hint="eastAsia" w:ascii="仿宋" w:hAnsi="仿宋" w:eastAsia="仿宋" w:cs="仿宋"/>
                <w:b/>
                <w:bCs/>
                <w:color w:val="000000" w:themeColor="text1"/>
                <w:sz w:val="24"/>
                <w14:textFill>
                  <w14:solidFill>
                    <w14:schemeClr w14:val="tx1"/>
                  </w14:solidFill>
                </w14:textFill>
              </w:rPr>
            </w:pPr>
          </w:p>
          <w:p w14:paraId="4CB0FDB9">
            <w:pPr>
              <w:spacing w:line="440" w:lineRule="exact"/>
              <w:rPr>
                <w:rFonts w:hint="eastAsia" w:ascii="仿宋" w:hAnsi="仿宋" w:eastAsia="仿宋" w:cs="仿宋"/>
                <w:b/>
                <w:bCs/>
                <w:color w:val="000000" w:themeColor="text1"/>
                <w:sz w:val="24"/>
                <w14:textFill>
                  <w14:solidFill>
                    <w14:schemeClr w14:val="tx1"/>
                  </w14:solidFill>
                </w14:textFill>
              </w:rPr>
            </w:pPr>
          </w:p>
          <w:p w14:paraId="23CCDAF4">
            <w:pPr>
              <w:spacing w:line="440" w:lineRule="exact"/>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核心产品： </w:t>
            </w:r>
          </w:p>
          <w:p w14:paraId="34777EC1">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全自动免散瞳眼底照相仪</w:t>
            </w:r>
          </w:p>
          <w:p w14:paraId="46C969F6">
            <w:pPr>
              <w:spacing w:line="440" w:lineRule="exact"/>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用途：</w:t>
            </w:r>
          </w:p>
          <w:p w14:paraId="1B300BDF">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设备名称：</w:t>
            </w:r>
          </w:p>
          <w:p w14:paraId="12EBFACD">
            <w:pPr>
              <w:spacing w:line="440" w:lineRule="exact"/>
              <w:ind w:firstLine="480" w:firstLineChars="200"/>
              <w:rPr>
                <w:rFonts w:hint="eastAsia" w:ascii="仿宋" w:hAnsi="仿宋" w:eastAsia="仿宋" w:cs="仿宋"/>
                <w:b w:val="0"/>
                <w:bCs w:val="0"/>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全自动免散瞳眼底照</w:t>
            </w:r>
            <w:r>
              <w:rPr>
                <w:rFonts w:hint="eastAsia" w:ascii="仿宋" w:hAnsi="仿宋" w:eastAsia="仿宋" w:cs="仿宋"/>
                <w:b w:val="0"/>
                <w:bCs w:val="0"/>
                <w:color w:val="000000" w:themeColor="text1"/>
                <w:sz w:val="24"/>
                <w14:textFill>
                  <w14:solidFill>
                    <w14:schemeClr w14:val="tx1"/>
                  </w14:solidFill>
                </w14:textFill>
              </w:rPr>
              <w:t>相仪+</w:t>
            </w:r>
            <w:r>
              <w:rPr>
                <w:rFonts w:hint="eastAsia" w:ascii="仿宋" w:hAnsi="仿宋" w:eastAsia="仿宋" w:cs="仿宋"/>
                <w:b w:val="0"/>
                <w:bCs w:val="0"/>
                <w:color w:val="000000" w:themeColor="text1"/>
                <w:sz w:val="24"/>
                <w:lang w:val="en-US" w:eastAsia="zh-CN"/>
                <w14:textFill>
                  <w14:solidFill>
                    <w14:schemeClr w14:val="tx1"/>
                  </w14:solidFill>
                </w14:textFill>
              </w:rPr>
              <w:t>人工智能辅助诊断系统</w:t>
            </w:r>
          </w:p>
          <w:p w14:paraId="0C6CFBEB">
            <w:pPr>
              <w:spacing w:line="44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 w:val="0"/>
                <w:bCs w:val="0"/>
                <w:color w:val="000000" w:themeColor="text1"/>
                <w:sz w:val="24"/>
                <w:lang w:val="en-US" w:eastAsia="zh-CN"/>
                <w14:textFill>
                  <w14:solidFill>
                    <w14:schemeClr w14:val="tx1"/>
                  </w14:solidFill>
                </w14:textFill>
              </w:rPr>
              <w:t>人工智能辅助诊断系统</w:t>
            </w:r>
            <w:r>
              <w:rPr>
                <w:rFonts w:hint="eastAsia" w:ascii="仿宋" w:hAnsi="仿宋" w:eastAsia="仿宋" w:cs="仿宋"/>
                <w:b w:val="0"/>
                <w:bCs w:val="0"/>
                <w:color w:val="000000" w:themeColor="text1"/>
                <w:sz w:val="24"/>
                <w14:textFill>
                  <w14:solidFill>
                    <w14:schemeClr w14:val="tx1"/>
                  </w14:solidFill>
                </w14:textFill>
              </w:rPr>
              <w:t>：</w:t>
            </w:r>
            <w:r>
              <w:rPr>
                <w:rFonts w:hint="eastAsia" w:ascii="仿宋" w:hAnsi="仿宋" w:eastAsia="仿宋" w:cs="仿宋"/>
                <w:bCs/>
                <w:color w:val="000000" w:themeColor="text1"/>
                <w:sz w:val="24"/>
                <w14:textFill>
                  <w14:solidFill>
                    <w14:schemeClr w14:val="tx1"/>
                  </w14:solidFill>
                </w14:textFill>
              </w:rPr>
              <w:t>国家药监局注册</w:t>
            </w:r>
            <w:r>
              <w:rPr>
                <w:rFonts w:hint="eastAsia" w:ascii="仿宋" w:hAnsi="仿宋" w:eastAsia="仿宋" w:cs="仿宋"/>
                <w:bCs/>
                <w:color w:val="000000" w:themeColor="text1"/>
                <w:sz w:val="24"/>
                <w:lang w:val="en-US" w:eastAsia="zh-CN"/>
                <w14:textFill>
                  <w14:solidFill>
                    <w14:schemeClr w14:val="tx1"/>
                  </w14:solidFill>
                </w14:textFill>
              </w:rPr>
              <w:t>证</w:t>
            </w:r>
            <w:r>
              <w:rPr>
                <w:rFonts w:hint="eastAsia" w:ascii="仿宋" w:hAnsi="仿宋" w:eastAsia="仿宋" w:cs="仿宋"/>
                <w:bCs/>
                <w:color w:val="000000" w:themeColor="text1"/>
                <w:sz w:val="24"/>
                <w14:textFill>
                  <w14:solidFill>
                    <w14:schemeClr w14:val="tx1"/>
                  </w14:solidFill>
                </w14:textFill>
              </w:rPr>
              <w:t>，涵盖</w:t>
            </w:r>
            <w:r>
              <w:rPr>
                <w:rFonts w:hint="eastAsia" w:ascii="仿宋" w:hAnsi="仿宋" w:eastAsia="仿宋" w:cs="仿宋"/>
                <w:bCs/>
                <w:color w:val="000000" w:themeColor="text1"/>
                <w:sz w:val="24"/>
                <w:lang w:val="en-US" w:eastAsia="zh-CN"/>
                <w14:textFill>
                  <w14:solidFill>
                    <w14:schemeClr w14:val="tx1"/>
                  </w14:solidFill>
                </w14:textFill>
              </w:rPr>
              <w:t>至少</w:t>
            </w:r>
            <w:r>
              <w:rPr>
                <w:rFonts w:hint="eastAsia" w:ascii="仿宋" w:hAnsi="仿宋" w:eastAsia="仿宋" w:cs="仿宋"/>
                <w:bCs/>
                <w:color w:val="000000" w:themeColor="text1"/>
                <w:sz w:val="24"/>
                <w14:textFill>
                  <w14:solidFill>
                    <w14:schemeClr w14:val="tx1"/>
                  </w14:solidFill>
                </w14:textFill>
              </w:rPr>
              <w:t>达1</w:t>
            </w:r>
            <w:r>
              <w:rPr>
                <w:rFonts w:hint="eastAsia" w:ascii="仿宋" w:hAnsi="仿宋" w:eastAsia="仿宋" w:cs="仿宋"/>
                <w:bCs/>
                <w:color w:val="000000" w:themeColor="text1"/>
                <w:sz w:val="24"/>
                <w:lang w:val="en-US" w:eastAsia="zh-CN"/>
                <w14:textFill>
                  <w14:solidFill>
                    <w14:schemeClr w14:val="tx1"/>
                  </w14:solidFill>
                </w14:textFill>
              </w:rPr>
              <w:t>0</w:t>
            </w:r>
            <w:r>
              <w:rPr>
                <w:rFonts w:hint="eastAsia" w:ascii="仿宋" w:hAnsi="仿宋" w:eastAsia="仿宋" w:cs="仿宋"/>
                <w:bCs/>
                <w:color w:val="000000" w:themeColor="text1"/>
                <w:sz w:val="24"/>
                <w14:textFill>
                  <w14:solidFill>
                    <w14:schemeClr w14:val="tx1"/>
                  </w14:solidFill>
                </w14:textFill>
              </w:rPr>
              <w:t>种眼底病症监管</w:t>
            </w:r>
          </w:p>
          <w:p w14:paraId="4C092D8D">
            <w:pPr>
              <w:spacing w:line="44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应用场景：可用于DR（糖网）筛查以及其它眼底疾病的辅助诊断：</w:t>
            </w:r>
          </w:p>
          <w:p w14:paraId="1725697E">
            <w:pPr>
              <w:spacing w:line="44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a)</w:t>
            </w:r>
            <w:r>
              <w:rPr>
                <w:rFonts w:hint="eastAsia" w:ascii="仿宋" w:hAnsi="仿宋" w:eastAsia="仿宋" w:cs="仿宋"/>
                <w:bCs/>
                <w:color w:val="000000" w:themeColor="text1"/>
                <w:sz w:val="24"/>
                <w14:textFill>
                  <w14:solidFill>
                    <w14:schemeClr w14:val="tx1"/>
                  </w14:solidFill>
                </w14:textFill>
              </w:rPr>
              <w:tab/>
            </w:r>
            <w:r>
              <w:rPr>
                <w:rFonts w:hint="eastAsia" w:ascii="仿宋" w:hAnsi="仿宋" w:eastAsia="仿宋" w:cs="仿宋"/>
                <w:bCs/>
                <w:color w:val="000000" w:themeColor="text1"/>
                <w:sz w:val="24"/>
                <w14:textFill>
                  <w14:solidFill>
                    <w14:schemeClr w14:val="tx1"/>
                  </w14:solidFill>
                </w14:textFill>
              </w:rPr>
              <w:t>移动筛查场景：体检筛查、集团眼健康筛查、义诊筛查、社区筛查、城市基础公共卫生健康服务,体检车移动筛查等现场</w:t>
            </w:r>
          </w:p>
          <w:p w14:paraId="4BCDAA2A">
            <w:pPr>
              <w:spacing w:line="44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b)</w:t>
            </w:r>
            <w:r>
              <w:rPr>
                <w:rFonts w:hint="eastAsia" w:ascii="仿宋" w:hAnsi="仿宋" w:eastAsia="仿宋" w:cs="仿宋"/>
                <w:bCs/>
                <w:color w:val="000000" w:themeColor="text1"/>
                <w:sz w:val="24"/>
                <w14:textFill>
                  <w14:solidFill>
                    <w14:schemeClr w14:val="tx1"/>
                  </w14:solidFill>
                </w14:textFill>
              </w:rPr>
              <w:tab/>
            </w:r>
            <w:r>
              <w:rPr>
                <w:rFonts w:hint="eastAsia" w:ascii="仿宋" w:hAnsi="仿宋" w:eastAsia="仿宋" w:cs="仿宋"/>
                <w:bCs/>
                <w:color w:val="000000" w:themeColor="text1"/>
                <w:sz w:val="24"/>
                <w14:textFill>
                  <w14:solidFill>
                    <w14:schemeClr w14:val="tx1"/>
                  </w14:solidFill>
                </w14:textFill>
              </w:rPr>
              <w:t>固定辅诊场景：体检中心、内分泌门诊、视光诊所、住院部、社区医院</w:t>
            </w:r>
          </w:p>
          <w:p w14:paraId="7C50FB4A">
            <w:pPr>
              <w:spacing w:line="44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检测方式：10秒内自动出具完整眼底报告（含糖网，青光眼，高血压，黄斑病变，视网膜病变等多达1</w:t>
            </w:r>
            <w:r>
              <w:rPr>
                <w:rFonts w:hint="eastAsia" w:ascii="仿宋" w:hAnsi="仿宋" w:eastAsia="仿宋" w:cs="仿宋"/>
                <w:bCs/>
                <w:color w:val="000000" w:themeColor="text1"/>
                <w:sz w:val="24"/>
                <w:lang w:val="en-US" w:eastAsia="zh-CN"/>
                <w14:textFill>
                  <w14:solidFill>
                    <w14:schemeClr w14:val="tx1"/>
                  </w14:solidFill>
                </w14:textFill>
              </w:rPr>
              <w:t>0</w:t>
            </w:r>
            <w:r>
              <w:rPr>
                <w:rFonts w:hint="eastAsia" w:ascii="仿宋" w:hAnsi="仿宋" w:eastAsia="仿宋" w:cs="仿宋"/>
                <w:bCs/>
                <w:color w:val="000000" w:themeColor="text1"/>
                <w:sz w:val="24"/>
                <w14:textFill>
                  <w14:solidFill>
                    <w14:schemeClr w14:val="tx1"/>
                  </w14:solidFill>
                </w14:textFill>
              </w:rPr>
              <w:t>种诊断报告，</w:t>
            </w:r>
            <w:r>
              <w:rPr>
                <w:rFonts w:hint="eastAsia" w:ascii="仿宋" w:hAnsi="仿宋" w:eastAsia="仿宋" w:cs="仿宋"/>
                <w:bCs/>
                <w:color w:val="000000" w:themeColor="text1"/>
                <w:sz w:val="24"/>
                <w:lang w:val="en-US" w:eastAsia="zh-CN"/>
                <w14:textFill>
                  <w14:solidFill>
                    <w14:schemeClr w14:val="tx1"/>
                  </w14:solidFill>
                </w14:textFill>
              </w:rPr>
              <w:t>可</w:t>
            </w:r>
            <w:r>
              <w:rPr>
                <w:rFonts w:hint="eastAsia" w:ascii="仿宋" w:hAnsi="仿宋" w:eastAsia="仿宋" w:cs="仿宋"/>
                <w:bCs/>
                <w:color w:val="000000" w:themeColor="text1"/>
                <w:sz w:val="24"/>
                <w14:textFill>
                  <w14:solidFill>
                    <w14:schemeClr w14:val="tx1"/>
                  </w14:solidFill>
                </w14:textFill>
              </w:rPr>
              <w:t>扩展70多种）</w:t>
            </w:r>
          </w:p>
          <w:p w14:paraId="74F93F91">
            <w:pPr>
              <w:spacing w:line="440" w:lineRule="exact"/>
              <w:rPr>
                <w:rFonts w:hint="eastAsia"/>
                <w:lang w:val="en-US" w:eastAsia="zh-CN"/>
              </w:rPr>
            </w:pPr>
            <w:r>
              <w:rPr>
                <w:rFonts w:hint="eastAsia" w:ascii="仿宋" w:hAnsi="仿宋" w:eastAsia="仿宋" w:cs="仿宋"/>
                <w:bCs/>
                <w:color w:val="000000" w:themeColor="text1"/>
                <w:sz w:val="24"/>
                <w14:textFill>
                  <w14:solidFill>
                    <w14:schemeClr w14:val="tx1"/>
                  </w14:solidFill>
                </w14:textFill>
              </w:rPr>
              <w:t>临床意义：利用人工智能（AI）眼底筛查系统的技术优势，有利于人工智能免散瞳眼底相机对眼底疾病进行筛查，特别是糖尿病高血压等慢性病引起的眼底疾病，帮助</w:t>
            </w:r>
            <w:r>
              <w:rPr>
                <w:rFonts w:hint="eastAsia" w:ascii="仿宋" w:hAnsi="仿宋" w:eastAsia="仿宋" w:cs="仿宋"/>
                <w:b w:val="0"/>
                <w:bCs/>
                <w:color w:val="000000" w:themeColor="text1"/>
                <w:sz w:val="24"/>
                <w:u w:val="none"/>
                <w14:textFill>
                  <w14:solidFill>
                    <w14:schemeClr w14:val="tx1"/>
                  </w14:solidFill>
                </w14:textFill>
              </w:rPr>
              <w:t>体检客户</w:t>
            </w:r>
            <w:r>
              <w:rPr>
                <w:rFonts w:hint="eastAsia" w:ascii="仿宋" w:hAnsi="仿宋" w:eastAsia="仿宋" w:cs="仿宋"/>
                <w:bCs/>
                <w:color w:val="000000" w:themeColor="text1"/>
                <w:sz w:val="24"/>
                <w14:textFill>
                  <w14:solidFill>
                    <w14:schemeClr w14:val="tx1"/>
                  </w14:solidFill>
                </w14:textFill>
              </w:rPr>
              <w:t>更早发现、更早诊断、更早治疗，提高体检客户满意度；降低群众的疾病负担和糖尿病，高血压，青光眼，黄斑病变，视网膜病变的致盲率；同时也可以有效节约社会医疗费用支付，符合国家政策要求。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宋体" w:hAnsi="宋体" w:eastAsia="宋体" w:cs="宋体"/>
                <w:color w:val="auto"/>
                <w:kern w:val="0"/>
                <w:sz w:val="21"/>
                <w:szCs w:val="21"/>
                <w:lang w:val="en-US" w:eastAsia="zh-CN" w:bidi="ar"/>
              </w:rPr>
            </w:pPr>
            <w:r>
              <w:rPr>
                <w:rFonts w:hint="eastAsia" w:ascii="仿宋" w:hAnsi="仿宋" w:eastAsia="仿宋" w:cs="仿宋"/>
                <w:b/>
                <w:color w:val="auto"/>
                <w:sz w:val="24"/>
                <w:lang w:val="en-US" w:eastAsia="zh-CN"/>
              </w:rPr>
              <w:t>三、</w:t>
            </w:r>
            <w:r>
              <w:rPr>
                <w:rFonts w:hint="eastAsia" w:ascii="仿宋" w:hAnsi="仿宋" w:eastAsia="仿宋" w:cs="仿宋"/>
                <w:b/>
                <w:color w:val="auto"/>
                <w:sz w:val="24"/>
              </w:rPr>
              <w:t>技术参数：</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53866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BBED38">
            <w:pPr>
              <w:numPr>
                <w:ilvl w:val="0"/>
                <w:numId w:val="4"/>
              </w:num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b/>
                <w:color w:val="000000" w:themeColor="text1"/>
                <w:sz w:val="24"/>
                <w:lang w:val="en-US" w:eastAsia="zh-CN"/>
                <w14:textFill>
                  <w14:solidFill>
                    <w14:schemeClr w14:val="tx1"/>
                  </w14:solidFill>
                </w14:textFill>
              </w:rPr>
              <w:t>设备参数需求</w:t>
            </w:r>
            <w:r>
              <w:rPr>
                <w:rFonts w:hint="eastAsia" w:ascii="仿宋" w:hAnsi="仿宋" w:eastAsia="仿宋" w:cs="仿宋"/>
                <w:b/>
                <w:color w:val="000000" w:themeColor="text1"/>
                <w:sz w:val="24"/>
                <w14:textFill>
                  <w14:solidFill>
                    <w14:schemeClr w14:val="tx1"/>
                  </w14:solidFill>
                </w14:textFill>
              </w:rPr>
              <w:t>:</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F0E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A67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98A71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设备如有接入我院系统的需求：</w:t>
            </w:r>
          </w:p>
          <w:p w14:paraId="4287DC5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★设备支持与医院体检科信息系统（HIS系统-杭州创业股份有限公司）的数据互通，对接费用包含在本项目预算中</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942E40D">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★设备使用年限≥5年</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3B3611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类型:免散瞳型</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3C4B4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观察角度:45度</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CF861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(5)▲有效像素:≥2420万像素</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A52DD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(6)▲最小瞳孔直径φ4mm(SP模式:约φ3.3mm)</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2B6A6C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(7)工作距离:物镜前35mm</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546E6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(8)无补偿透镜:-10D到+15D 负补偿透镜:-7D到-31D</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43158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(9)正补偿透镜:+11D到+33D</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1ADC8F">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(10)▲工作距离调整:</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9B5E6F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(11)眼前部指示 劈裂线整 视网膜指示 工作距离点</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C12B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8B95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(12)曝光补偿:自动</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F0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489D6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940EE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4E437A">
            <w:pPr>
              <w:spacing w:line="440" w:lineRule="exact"/>
              <w:rPr>
                <w:rFonts w:hint="eastAsia" w:ascii="宋体" w:hAnsi="宋体" w:eastAsia="宋体" w:cs="宋体"/>
                <w:color w:val="auto"/>
                <w:sz w:val="24"/>
                <w:highlight w:val="none"/>
                <w:lang w:val="en-US" w:eastAsia="zh-CN"/>
              </w:rPr>
            </w:pPr>
            <w:r>
              <w:rPr>
                <w:rFonts w:hint="eastAsia"/>
              </w:rPr>
              <w:t>(13)对焦方式:直线式劈裂线对焦、自动对焦</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217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478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D0E46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7778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94883BA">
            <w:pPr>
              <w:spacing w:line="44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(14)外眼显示:分离瞳孔调节:;视网膜显示:工作距离点调节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0AD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8D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628F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5370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8E5CE5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(15)▲内固视目标:70个LED点矩阵,绿色</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E76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A1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4EFB1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15E5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D9B018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(16)光源:红外LED/白色 LED</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6D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CB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E0C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6B1D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94078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(17)ISO:400/800/1600/3200/6400 具有低闪光模式</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F4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CA9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40BA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43C3">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07D452">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(18)具有红外眼前节拍照功能，检查睑板腺状态</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1F29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416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242A7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F389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86B96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(19)具有降浊功能，使屈光间质的混浊的透明度增强。</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0E3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5DB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12F71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D7256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(二)人工智能辅助诊断系统参数需求：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41B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9B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069D6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4DE7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2E62A2">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(1)软件部分</w:t>
            </w:r>
            <w:r>
              <w:rPr>
                <w:rFonts w:hint="eastAsia" w:ascii="宋体" w:hAnsi="宋体" w:eastAsia="宋体" w:cs="宋体"/>
                <w:color w:val="auto"/>
                <w:sz w:val="24"/>
                <w:highlight w:val="none"/>
                <w:lang w:val="en-US" w:eastAsia="zh-CN"/>
              </w:rPr>
              <w:tab/>
            </w:r>
          </w:p>
          <w:p w14:paraId="413BD87D">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①▲眼底图像管理软件具备国家医疗器械注册证</w:t>
            </w:r>
          </w:p>
          <w:p w14:paraId="761640F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②▲糖尿病视网膜病变辅助诊断软件具备国家医疗器械注册证</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F3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3A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5220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DFCF1">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343E5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(2)数据传输与管理</w:t>
            </w:r>
            <w:r>
              <w:rPr>
                <w:rFonts w:hint="eastAsia" w:ascii="宋体" w:hAnsi="宋体" w:eastAsia="宋体" w:cs="宋体"/>
                <w:color w:val="auto"/>
                <w:sz w:val="24"/>
                <w:highlight w:val="none"/>
                <w:lang w:val="en-US" w:eastAsia="zh-CN"/>
              </w:rPr>
              <w:tab/>
            </w:r>
          </w:p>
          <w:p w14:paraId="0981502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①支持患者信息的新增、查看、修改、查找、排序</w:t>
            </w:r>
          </w:p>
          <w:p w14:paraId="0809656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②支持相机端及Web端直接上传患者信息与眼底照片</w:t>
            </w:r>
          </w:p>
          <w:p w14:paraId="1375DD1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③满足相机端及Web端患者病史、主诉等信息的点选录入功能</w:t>
            </w:r>
          </w:p>
          <w:p w14:paraId="410E7A0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④▲支持小程序端直接创建患者记录并快速导入相机端或Web端</w:t>
            </w:r>
          </w:p>
          <w:p w14:paraId="0B2077CF">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⑤支持Web端创建患者检查预约记录并快速导入相机端或Web端</w:t>
            </w:r>
          </w:p>
          <w:p w14:paraId="6C2EFC2F">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⑥支持根据不同应用场景配置定制化的数据采集模板</w:t>
            </w:r>
          </w:p>
          <w:p w14:paraId="1DAB89C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⑦▲满足非眼底多模态数据录入功能，包括视光参数(视光检查)/常规体格检查（身高、体重、BMI等）、生化检查（血压、血糖、血脂）数据录入</w:t>
            </w:r>
          </w:p>
          <w:p w14:paraId="26CED324">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⑧▲支持自动化输入，在适配扫码枪、身份证读卡器的情况下，可以自动录入患者基本信息</w:t>
            </w:r>
          </w:p>
          <w:p w14:paraId="41A9925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⑨▲支持患者的多级转诊、审核与管理</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716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837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85DC1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8B24B">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6041D4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(3)影像显示与审阅</w:t>
            </w:r>
            <w:r>
              <w:rPr>
                <w:rFonts w:hint="eastAsia" w:ascii="宋体" w:hAnsi="宋体" w:eastAsia="宋体" w:cs="宋体"/>
                <w:color w:val="auto"/>
                <w:sz w:val="24"/>
                <w:highlight w:val="none"/>
                <w:lang w:val="en-US" w:eastAsia="zh-CN"/>
              </w:rPr>
              <w:tab/>
            </w:r>
          </w:p>
          <w:p w14:paraId="566F61A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①支持AI自动评估眼底图像质量，自动识别非眼底图像</w:t>
            </w:r>
          </w:p>
          <w:p w14:paraId="728F0CF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②支持自动分割并输出眼底图像动静脉血管、视杯视盘、黄斑区相关量化分析参数</w:t>
            </w:r>
          </w:p>
          <w:p w14:paraId="706BDE6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③▲支持AI自动圈画并给出各类病灶位置、轮廓、面积信息。界面中使用不同颜色对病灶区域进行全覆盖高亮提醒，同时可在报告上可视化展示，便于医患沟通及宣教</w:t>
            </w:r>
          </w:p>
          <w:p w14:paraId="0E36CCA8">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④支持辅助线功能，实现一键生成黄斑定位辅助线、视盘盘沿定位辅助线、动静脉分割辅助线</w:t>
            </w:r>
          </w:p>
          <w:p w14:paraId="792F7B0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⑤提供眼底图像的缩放、测量、病灶标记、亮度及对比度调节等工具</w:t>
            </w:r>
          </w:p>
          <w:p w14:paraId="40B6957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⑥▲支持以下病种在内的至少10个病种</w:t>
            </w:r>
          </w:p>
          <w:p w14:paraId="3035104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1)支持AI自动分析并向阅片医生给出糖尿病视网膜病变分级(5级)建议</w:t>
            </w:r>
          </w:p>
          <w:p w14:paraId="7C573C04">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2)支持AI自动分析并向阅片医生给出糖尿病黄斑水肿分级（3级）建议</w:t>
            </w:r>
          </w:p>
          <w:p w14:paraId="5CC22E2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3)支持AI自动分析并向阅片医生给出年龄相关性黄斑变性分级(3级)建议</w:t>
            </w:r>
          </w:p>
          <w:p w14:paraId="76051EB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4)支持AI自动分析并向阅片医生给出黄斑前膜(2级)建议</w:t>
            </w:r>
          </w:p>
          <w:p w14:paraId="21D6CC3F">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5)支持AI自动分析并向阅片医生给出病理性近视(2级)建议</w:t>
            </w:r>
          </w:p>
          <w:p w14:paraId="1CA5FF2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6)支持AI自动分析并向阅片医生给出豹纹状眼底改变(2级)建议</w:t>
            </w:r>
          </w:p>
          <w:p w14:paraId="0F498AB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7)支持AI自动分析并向阅片医生给出青光眼样眼底改变(2级)建议</w:t>
            </w:r>
          </w:p>
          <w:p w14:paraId="52FCFF4D">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8)支持AI自动分析并向阅片医生给出视网膜静脉阻塞(3级)建议</w:t>
            </w:r>
          </w:p>
          <w:p w14:paraId="4D684E7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9)支持AI自动分析并向阅片医生给出高血压性视网膜病变建议</w:t>
            </w:r>
          </w:p>
          <w:p w14:paraId="7258A98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10)支持AI自动分析并向阅片医生给出动脉硬化病变建议</w:t>
            </w:r>
          </w:p>
          <w:p w14:paraId="3045BF7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11)支持AI自动分析并向阅片医生给出其他眼底病变(2级)建议</w:t>
            </w:r>
          </w:p>
          <w:p w14:paraId="4DAF9F3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支持AI自动检出并向阅片医生给出14种眼底相关病灶结果及相关定量参数，包括微血管瘤、视网膜内出血、硬性渗出、棉絮斑、玻璃膜疣、豹纹状眼底、新生血管或增殖膜、视网膜前出血或玻璃体积血、激光斑、视网膜内微血管异常、近视弧形斑、动静脉比异常、银丝或铜丝征、动静脉交叉压迹等</w:t>
            </w:r>
          </w:p>
          <w:p w14:paraId="2DADC44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13)支持同一机构下或不同机构间的在线远程实时审核</w:t>
            </w:r>
          </w:p>
          <w:p w14:paraId="5252C8D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14)支持同一机构下的不同科室间的在线远程实时审核</w:t>
            </w:r>
          </w:p>
          <w:p w14:paraId="2726860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15)支持同一机构下或不同机构间的在线远程实时多级复核</w:t>
            </w:r>
          </w:p>
          <w:p w14:paraId="01C2E14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16)支持同一机构下的不同科室间的在线远程实时多级复核</w:t>
            </w:r>
          </w:p>
          <w:p w14:paraId="633DF16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▲支持医师人工修改图像质控结果、疾病结果、病灶结果、动静脉及视杯视盘相关量化参数，并给出转诊&amp;复查建议及补充医嘱</w:t>
            </w:r>
          </w:p>
          <w:p w14:paraId="6EFF3EB4">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18)▲支持同一患者历史检查的查看及影像对比</w:t>
            </w:r>
          </w:p>
          <w:p w14:paraId="1E06958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支持包括糖尿病及其并发症风险指数、脑梗风险指数等5项风险预测功能</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D1E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949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A25B3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5192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28B92B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(4)结构化报告</w:t>
            </w:r>
          </w:p>
          <w:p w14:paraId="4652F9C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①支持AI结果直接生成报告，并以PDF格式下载到本地、打印</w:t>
            </w:r>
          </w:p>
          <w:p w14:paraId="4222831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②支持人工审核结果自动生成报告，并以PDF格式下载到本地、打印</w:t>
            </w:r>
          </w:p>
          <w:p w14:paraId="07154C8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③支持批量导出PDF格式、EXCEL格式报告</w:t>
            </w:r>
          </w:p>
          <w:p w14:paraId="133ED5FD">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④支持根据不同应用场景配置定制化的报告模板，包括常规版、糖筛版、体检版、视光版、英语版，每个版本大类可以再针对页面/模块进行配置</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84E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143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7A185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58FB7">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1B3FD7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(5)后台管理</w:t>
            </w:r>
            <w:r>
              <w:rPr>
                <w:rFonts w:hint="eastAsia" w:ascii="宋体" w:hAnsi="宋体" w:eastAsia="宋体" w:cs="宋体"/>
                <w:color w:val="auto"/>
                <w:sz w:val="24"/>
                <w:highlight w:val="none"/>
                <w:lang w:val="en-US" w:eastAsia="zh-CN"/>
              </w:rPr>
              <w:tab/>
            </w:r>
          </w:p>
          <w:p w14:paraId="774DD524">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①支持对机构、科室的查看、创建、编辑及删除</w:t>
            </w:r>
          </w:p>
          <w:p w14:paraId="6D5D7D52">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②支持对用户以及用户权限的查看、创建、编辑、启用/禁用及删除</w:t>
            </w:r>
          </w:p>
          <w:p w14:paraId="1FDF896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③支持对设备以及设备配置的查看、创建、编辑、激活、启用/禁用及删除</w:t>
            </w:r>
          </w:p>
          <w:p w14:paraId="073B1EBF">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④支持对检查项的查看、创建、编辑及删除</w:t>
            </w:r>
          </w:p>
          <w:p w14:paraId="68EAED0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⑤支持对审核关系/复核关系/转诊关系的查看、创建、编辑及删除</w:t>
            </w:r>
          </w:p>
          <w:p w14:paraId="4E8087B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⑥支持对数据采集模板及报告展示模板进行定制化配置</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44E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A0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C2744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62F3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8D216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(6)性能指标</w:t>
            </w:r>
          </w:p>
          <w:p w14:paraId="596F020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①系统支持并发用户数大于50人</w:t>
            </w:r>
          </w:p>
          <w:p w14:paraId="099C1962">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②系统支持大于50000名患者的信息与影像管理</w:t>
            </w:r>
          </w:p>
          <w:p w14:paraId="27046A9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③眼底照片上传后初始结果反馈时间小于5s</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0CD0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B81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706D0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BD56EB">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82199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(7)安全保障</w:t>
            </w:r>
            <w:r>
              <w:rPr>
                <w:rFonts w:hint="eastAsia" w:ascii="宋体" w:hAnsi="宋体" w:eastAsia="宋体" w:cs="宋体"/>
                <w:color w:val="auto"/>
                <w:sz w:val="24"/>
                <w:highlight w:val="none"/>
                <w:lang w:val="en-US" w:eastAsia="zh-CN"/>
              </w:rPr>
              <w:tab/>
            </w:r>
          </w:p>
          <w:p w14:paraId="4F5C204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①支持数据库定期自动备份，支持异常情况下后台数据恢复</w:t>
            </w:r>
          </w:p>
          <w:p w14:paraId="0F8E48E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②支持机构内用户权限管理</w:t>
            </w:r>
          </w:p>
          <w:p w14:paraId="6517DC4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③▲提供“公安部信息系统安全等级保护三级别备案”证明</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7F66F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967B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F8693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E4F4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四</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364CD5">
            <w:pPr>
              <w:numPr>
                <w:ilvl w:val="0"/>
                <w:numId w:val="0"/>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 w:val="21"/>
                <w:highlight w:val="none"/>
                <w:lang w:val="en-US" w:eastAsia="zh-CN"/>
              </w:rPr>
              <w:t>每套设备配置要求（</w:t>
            </w:r>
            <w:r>
              <w:rPr>
                <w:rFonts w:ascii="宋体" w:hAnsi="宋体" w:eastAsia="宋体" w:cs="宋体"/>
                <w:b/>
                <w:color w:val="auto"/>
                <w:sz w:val="21"/>
                <w:highlight w:val="none"/>
              </w:rPr>
              <w:t>标准套至少包含以下内容</w:t>
            </w:r>
            <w:r>
              <w:rPr>
                <w:rFonts w:hint="eastAsia" w:ascii="宋体" w:hAnsi="宋体" w:eastAsia="宋体" w:cs="宋体"/>
                <w:b/>
                <w:color w:val="auto"/>
                <w:sz w:val="21"/>
                <w:highlight w:val="none"/>
                <w:lang w:val="en-US" w:eastAsia="zh-CN"/>
              </w:rPr>
              <w:t>）</w:t>
            </w:r>
          </w:p>
          <w:tbl>
            <w:tblPr>
              <w:tblStyle w:val="14"/>
              <w:tblW w:w="8302" w:type="dxa"/>
              <w:tblInd w:w="0" w:type="dxa"/>
              <w:tblLayout w:type="autofit"/>
              <w:tblCellMar>
                <w:top w:w="0" w:type="dxa"/>
                <w:left w:w="108" w:type="dxa"/>
                <w:bottom w:w="0" w:type="dxa"/>
                <w:right w:w="108" w:type="dxa"/>
              </w:tblCellMar>
            </w:tblPr>
            <w:tblGrid>
              <w:gridCol w:w="972"/>
              <w:gridCol w:w="5518"/>
              <w:gridCol w:w="1812"/>
            </w:tblGrid>
            <w:tr w14:paraId="62D71764">
              <w:tblPrEx>
                <w:tblCellMar>
                  <w:top w:w="0" w:type="dxa"/>
                  <w:left w:w="108" w:type="dxa"/>
                  <w:bottom w:w="0" w:type="dxa"/>
                  <w:right w:w="108" w:type="dxa"/>
                </w:tblCellMar>
              </w:tblPrEx>
              <w:trPr>
                <w:trHeight w:val="670" w:hRule="atLeast"/>
              </w:trPr>
              <w:tc>
                <w:tcPr>
                  <w:tcW w:w="972" w:type="dxa"/>
                  <w:tcBorders>
                    <w:top w:val="single" w:color="auto" w:sz="4" w:space="0"/>
                    <w:left w:val="single" w:color="auto" w:sz="4" w:space="0"/>
                    <w:bottom w:val="single" w:color="auto" w:sz="4" w:space="0"/>
                    <w:right w:val="single" w:color="auto" w:sz="4" w:space="0"/>
                  </w:tcBorders>
                  <w:vAlign w:val="center"/>
                </w:tcPr>
                <w:p w14:paraId="5E24B66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序号</w:t>
                  </w:r>
                </w:p>
              </w:tc>
              <w:tc>
                <w:tcPr>
                  <w:tcW w:w="5518" w:type="dxa"/>
                  <w:tcBorders>
                    <w:top w:val="single" w:color="auto" w:sz="4" w:space="0"/>
                    <w:left w:val="nil"/>
                    <w:bottom w:val="single" w:color="auto" w:sz="4" w:space="0"/>
                    <w:right w:val="single" w:color="auto" w:sz="4" w:space="0"/>
                  </w:tcBorders>
                  <w:vAlign w:val="center"/>
                </w:tcPr>
                <w:p w14:paraId="41765F3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名称</w:t>
                  </w:r>
                </w:p>
              </w:tc>
              <w:tc>
                <w:tcPr>
                  <w:tcW w:w="1812" w:type="dxa"/>
                  <w:tcBorders>
                    <w:top w:val="single" w:color="auto" w:sz="4" w:space="0"/>
                    <w:left w:val="nil"/>
                    <w:bottom w:val="single" w:color="auto" w:sz="4" w:space="0"/>
                    <w:right w:val="single" w:color="auto" w:sz="4" w:space="0"/>
                  </w:tcBorders>
                  <w:vAlign w:val="center"/>
                </w:tcPr>
                <w:p w14:paraId="75308E7C">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数量</w:t>
                  </w:r>
                </w:p>
              </w:tc>
            </w:tr>
            <w:tr w14:paraId="16A9B8BC">
              <w:tblPrEx>
                <w:tblCellMar>
                  <w:top w:w="0" w:type="dxa"/>
                  <w:left w:w="108" w:type="dxa"/>
                  <w:bottom w:w="0" w:type="dxa"/>
                  <w:right w:w="108" w:type="dxa"/>
                </w:tblCellMar>
              </w:tblPrEx>
              <w:trPr>
                <w:trHeight w:val="241" w:hRule="atLeast"/>
              </w:trPr>
              <w:tc>
                <w:tcPr>
                  <w:tcW w:w="972" w:type="dxa"/>
                  <w:tcBorders>
                    <w:top w:val="nil"/>
                    <w:left w:val="single" w:color="auto" w:sz="4" w:space="0"/>
                    <w:bottom w:val="single" w:color="auto" w:sz="4" w:space="0"/>
                    <w:right w:val="single" w:color="auto" w:sz="4" w:space="0"/>
                  </w:tcBorders>
                  <w:vAlign w:val="center"/>
                </w:tcPr>
                <w:p w14:paraId="47A125CF">
                  <w:pPr>
                    <w:widowControl/>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一</w:t>
                  </w:r>
                </w:p>
              </w:tc>
              <w:tc>
                <w:tcPr>
                  <w:tcW w:w="5518" w:type="dxa"/>
                  <w:tcBorders>
                    <w:top w:val="nil"/>
                    <w:left w:val="nil"/>
                    <w:bottom w:val="single" w:color="auto" w:sz="4" w:space="0"/>
                    <w:right w:val="single" w:color="auto" w:sz="4" w:space="0"/>
                  </w:tcBorders>
                  <w:vAlign w:val="center"/>
                </w:tcPr>
                <w:p w14:paraId="0C3459A2">
                  <w:pPr>
                    <w:widowControl/>
                    <w:jc w:val="center"/>
                    <w:rPr>
                      <w:rFonts w:hint="eastAsia" w:ascii="宋体" w:hAnsi="宋体" w:eastAsia="宋体" w:cs="宋体"/>
                      <w:b/>
                      <w:bCs/>
                      <w:color w:val="000000"/>
                      <w:kern w:val="0"/>
                      <w:sz w:val="24"/>
                    </w:rPr>
                  </w:pPr>
                  <w:r>
                    <w:rPr>
                      <w:rFonts w:hint="eastAsia" w:ascii="仿宋" w:hAnsi="仿宋" w:eastAsia="仿宋" w:cs="仿宋"/>
                      <w:b/>
                      <w:color w:val="000000" w:themeColor="text1"/>
                      <w:sz w:val="24"/>
                      <w:lang w:val="en-US" w:eastAsia="zh-CN"/>
                      <w14:textFill>
                        <w14:solidFill>
                          <w14:schemeClr w14:val="tx1"/>
                        </w14:solidFill>
                      </w14:textFill>
                    </w:rPr>
                    <w:t>全自动免散瞳眼底照相仪</w:t>
                  </w:r>
                </w:p>
              </w:tc>
              <w:tc>
                <w:tcPr>
                  <w:tcW w:w="1812" w:type="dxa"/>
                  <w:tcBorders>
                    <w:top w:val="nil"/>
                    <w:left w:val="nil"/>
                    <w:bottom w:val="single" w:color="auto" w:sz="4" w:space="0"/>
                    <w:right w:val="single" w:color="auto" w:sz="4" w:space="0"/>
                  </w:tcBorders>
                  <w:vAlign w:val="center"/>
                </w:tcPr>
                <w:p w14:paraId="4F5F50C0">
                  <w:pPr>
                    <w:widowControl/>
                    <w:jc w:val="center"/>
                    <w:rPr>
                      <w:rFonts w:hint="eastAsia" w:ascii="宋体" w:hAnsi="宋体" w:eastAsia="宋体" w:cs="宋体"/>
                      <w:b/>
                      <w:bCs/>
                      <w:color w:val="000000"/>
                      <w:kern w:val="0"/>
                      <w:sz w:val="24"/>
                    </w:rPr>
                  </w:pPr>
                </w:p>
              </w:tc>
            </w:tr>
            <w:tr w14:paraId="1684CD50">
              <w:tblPrEx>
                <w:tblCellMar>
                  <w:top w:w="0" w:type="dxa"/>
                  <w:left w:w="108" w:type="dxa"/>
                  <w:bottom w:w="0" w:type="dxa"/>
                  <w:right w:w="108" w:type="dxa"/>
                </w:tblCellMar>
              </w:tblPrEx>
              <w:trPr>
                <w:trHeight w:val="241" w:hRule="atLeast"/>
              </w:trPr>
              <w:tc>
                <w:tcPr>
                  <w:tcW w:w="972" w:type="dxa"/>
                  <w:tcBorders>
                    <w:top w:val="nil"/>
                    <w:left w:val="single" w:color="auto" w:sz="4" w:space="0"/>
                    <w:bottom w:val="single" w:color="auto" w:sz="4" w:space="0"/>
                    <w:right w:val="single" w:color="auto" w:sz="4" w:space="0"/>
                  </w:tcBorders>
                  <w:vAlign w:val="center"/>
                </w:tcPr>
                <w:p w14:paraId="70A94A57">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5518" w:type="dxa"/>
                  <w:tcBorders>
                    <w:top w:val="nil"/>
                    <w:left w:val="nil"/>
                    <w:bottom w:val="single" w:color="auto" w:sz="4" w:space="0"/>
                    <w:right w:val="single" w:color="auto" w:sz="4" w:space="0"/>
                  </w:tcBorders>
                  <w:vAlign w:val="center"/>
                </w:tcPr>
                <w:p w14:paraId="2995E4D7">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主机</w:t>
                  </w:r>
                </w:p>
              </w:tc>
              <w:tc>
                <w:tcPr>
                  <w:tcW w:w="1812" w:type="dxa"/>
                  <w:tcBorders>
                    <w:top w:val="nil"/>
                    <w:left w:val="nil"/>
                    <w:bottom w:val="single" w:color="auto" w:sz="4" w:space="0"/>
                    <w:right w:val="single" w:color="auto" w:sz="4" w:space="0"/>
                  </w:tcBorders>
                  <w:vAlign w:val="center"/>
                </w:tcPr>
                <w:p w14:paraId="7678E20C">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1台</w:t>
                  </w:r>
                </w:p>
              </w:tc>
            </w:tr>
            <w:tr w14:paraId="627B570E">
              <w:tblPrEx>
                <w:tblCellMar>
                  <w:top w:w="0" w:type="dxa"/>
                  <w:left w:w="108" w:type="dxa"/>
                  <w:bottom w:w="0" w:type="dxa"/>
                  <w:right w:w="108" w:type="dxa"/>
                </w:tblCellMar>
              </w:tblPrEx>
              <w:trPr>
                <w:trHeight w:val="261" w:hRule="atLeast"/>
              </w:trPr>
              <w:tc>
                <w:tcPr>
                  <w:tcW w:w="972" w:type="dxa"/>
                  <w:tcBorders>
                    <w:top w:val="nil"/>
                    <w:left w:val="single" w:color="auto" w:sz="4" w:space="0"/>
                    <w:bottom w:val="single" w:color="auto" w:sz="4" w:space="0"/>
                    <w:right w:val="single" w:color="auto" w:sz="4" w:space="0"/>
                  </w:tcBorders>
                  <w:vAlign w:val="center"/>
                </w:tcPr>
                <w:p w14:paraId="7FC53FB7">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2</w:t>
                  </w:r>
                </w:p>
              </w:tc>
              <w:tc>
                <w:tcPr>
                  <w:tcW w:w="5518" w:type="dxa"/>
                  <w:tcBorders>
                    <w:top w:val="nil"/>
                    <w:left w:val="nil"/>
                    <w:bottom w:val="single" w:color="auto" w:sz="4" w:space="0"/>
                    <w:right w:val="single" w:color="auto" w:sz="4" w:space="0"/>
                  </w:tcBorders>
                  <w:vAlign w:val="center"/>
                </w:tcPr>
                <w:p w14:paraId="4D2A3E8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头托</w:t>
                  </w:r>
                </w:p>
              </w:tc>
              <w:tc>
                <w:tcPr>
                  <w:tcW w:w="1812" w:type="dxa"/>
                  <w:tcBorders>
                    <w:top w:val="nil"/>
                    <w:left w:val="nil"/>
                    <w:bottom w:val="single" w:color="auto" w:sz="4" w:space="0"/>
                    <w:right w:val="single" w:color="auto" w:sz="4" w:space="0"/>
                  </w:tcBorders>
                  <w:vAlign w:val="center"/>
                </w:tcPr>
                <w:p w14:paraId="68AD7C02">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1个</w:t>
                  </w:r>
                </w:p>
              </w:tc>
            </w:tr>
            <w:tr w14:paraId="66DAA2DA">
              <w:tblPrEx>
                <w:tblCellMar>
                  <w:top w:w="0" w:type="dxa"/>
                  <w:left w:w="108" w:type="dxa"/>
                  <w:bottom w:w="0" w:type="dxa"/>
                  <w:right w:w="108" w:type="dxa"/>
                </w:tblCellMar>
              </w:tblPrEx>
              <w:trPr>
                <w:trHeight w:val="281" w:hRule="atLeast"/>
              </w:trPr>
              <w:tc>
                <w:tcPr>
                  <w:tcW w:w="972" w:type="dxa"/>
                  <w:tcBorders>
                    <w:top w:val="nil"/>
                    <w:left w:val="single" w:color="auto" w:sz="4" w:space="0"/>
                    <w:bottom w:val="single" w:color="auto" w:sz="4" w:space="0"/>
                    <w:right w:val="single" w:color="auto" w:sz="4" w:space="0"/>
                  </w:tcBorders>
                  <w:vAlign w:val="center"/>
                </w:tcPr>
                <w:p w14:paraId="30C7975E">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3</w:t>
                  </w:r>
                </w:p>
              </w:tc>
              <w:tc>
                <w:tcPr>
                  <w:tcW w:w="5518" w:type="dxa"/>
                  <w:tcBorders>
                    <w:top w:val="nil"/>
                    <w:left w:val="nil"/>
                    <w:bottom w:val="single" w:color="auto" w:sz="4" w:space="0"/>
                    <w:right w:val="single" w:color="auto" w:sz="4" w:space="0"/>
                  </w:tcBorders>
                  <w:vAlign w:val="center"/>
                </w:tcPr>
                <w:p w14:paraId="7406BE79">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底座支架</w:t>
                  </w:r>
                </w:p>
              </w:tc>
              <w:tc>
                <w:tcPr>
                  <w:tcW w:w="1812" w:type="dxa"/>
                  <w:tcBorders>
                    <w:top w:val="nil"/>
                    <w:left w:val="nil"/>
                    <w:bottom w:val="single" w:color="auto" w:sz="4" w:space="0"/>
                    <w:right w:val="single" w:color="auto" w:sz="4" w:space="0"/>
                  </w:tcBorders>
                  <w:vAlign w:val="center"/>
                </w:tcPr>
                <w:p w14:paraId="41C6132E">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1个</w:t>
                  </w:r>
                </w:p>
              </w:tc>
            </w:tr>
            <w:tr w14:paraId="52F5C866">
              <w:tblPrEx>
                <w:tblCellMar>
                  <w:top w:w="0" w:type="dxa"/>
                  <w:left w:w="108" w:type="dxa"/>
                  <w:bottom w:w="0" w:type="dxa"/>
                  <w:right w:w="108" w:type="dxa"/>
                </w:tblCellMar>
              </w:tblPrEx>
              <w:trPr>
                <w:trHeight w:val="243" w:hRule="atLeast"/>
              </w:trPr>
              <w:tc>
                <w:tcPr>
                  <w:tcW w:w="972" w:type="dxa"/>
                  <w:tcBorders>
                    <w:top w:val="nil"/>
                    <w:left w:val="single" w:color="auto" w:sz="4" w:space="0"/>
                    <w:bottom w:val="single" w:color="auto" w:sz="4" w:space="0"/>
                    <w:right w:val="single" w:color="auto" w:sz="4" w:space="0"/>
                  </w:tcBorders>
                  <w:vAlign w:val="center"/>
                </w:tcPr>
                <w:p w14:paraId="6CA6688C">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4</w:t>
                  </w:r>
                </w:p>
              </w:tc>
              <w:tc>
                <w:tcPr>
                  <w:tcW w:w="5518" w:type="dxa"/>
                  <w:tcBorders>
                    <w:top w:val="nil"/>
                    <w:left w:val="nil"/>
                    <w:bottom w:val="single" w:color="auto" w:sz="4" w:space="0"/>
                    <w:right w:val="single" w:color="auto" w:sz="4" w:space="0"/>
                  </w:tcBorders>
                  <w:vAlign w:val="center"/>
                </w:tcPr>
                <w:p w14:paraId="4705BD84">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电源适配器</w:t>
                  </w:r>
                </w:p>
              </w:tc>
              <w:tc>
                <w:tcPr>
                  <w:tcW w:w="1812" w:type="dxa"/>
                  <w:tcBorders>
                    <w:top w:val="nil"/>
                    <w:left w:val="nil"/>
                    <w:bottom w:val="single" w:color="auto" w:sz="4" w:space="0"/>
                    <w:right w:val="single" w:color="auto" w:sz="4" w:space="0"/>
                  </w:tcBorders>
                  <w:vAlign w:val="center"/>
                </w:tcPr>
                <w:p w14:paraId="42445821">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1个</w:t>
                  </w:r>
                </w:p>
              </w:tc>
            </w:tr>
            <w:tr w14:paraId="1596CC5D">
              <w:tblPrEx>
                <w:tblCellMar>
                  <w:top w:w="0" w:type="dxa"/>
                  <w:left w:w="108" w:type="dxa"/>
                  <w:bottom w:w="0" w:type="dxa"/>
                  <w:right w:w="108" w:type="dxa"/>
                </w:tblCellMar>
              </w:tblPrEx>
              <w:trPr>
                <w:trHeight w:val="347" w:hRule="atLeast"/>
              </w:trPr>
              <w:tc>
                <w:tcPr>
                  <w:tcW w:w="972" w:type="dxa"/>
                  <w:tcBorders>
                    <w:top w:val="nil"/>
                    <w:left w:val="single" w:color="auto" w:sz="4" w:space="0"/>
                    <w:bottom w:val="single" w:color="auto" w:sz="4" w:space="0"/>
                    <w:right w:val="single" w:color="auto" w:sz="4" w:space="0"/>
                  </w:tcBorders>
                  <w:vAlign w:val="center"/>
                </w:tcPr>
                <w:p w14:paraId="3A15C5C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5</w:t>
                  </w:r>
                </w:p>
              </w:tc>
              <w:tc>
                <w:tcPr>
                  <w:tcW w:w="5518" w:type="dxa"/>
                  <w:tcBorders>
                    <w:top w:val="nil"/>
                    <w:left w:val="nil"/>
                    <w:bottom w:val="single" w:color="auto" w:sz="4" w:space="0"/>
                    <w:right w:val="single" w:color="auto" w:sz="4" w:space="0"/>
                  </w:tcBorders>
                  <w:vAlign w:val="center"/>
                </w:tcPr>
                <w:p w14:paraId="70520DA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下巴纸垫</w:t>
                  </w:r>
                </w:p>
              </w:tc>
              <w:tc>
                <w:tcPr>
                  <w:tcW w:w="1812" w:type="dxa"/>
                  <w:tcBorders>
                    <w:top w:val="nil"/>
                    <w:left w:val="nil"/>
                    <w:bottom w:val="single" w:color="auto" w:sz="4" w:space="0"/>
                    <w:right w:val="single" w:color="auto" w:sz="4" w:space="0"/>
                  </w:tcBorders>
                  <w:vAlign w:val="center"/>
                </w:tcPr>
                <w:p w14:paraId="16E2CB1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100张</w:t>
                  </w:r>
                </w:p>
              </w:tc>
            </w:tr>
            <w:tr w14:paraId="0D4D65CB">
              <w:tblPrEx>
                <w:tblCellMar>
                  <w:top w:w="0" w:type="dxa"/>
                  <w:left w:w="108" w:type="dxa"/>
                  <w:bottom w:w="0" w:type="dxa"/>
                  <w:right w:w="108" w:type="dxa"/>
                </w:tblCellMar>
              </w:tblPrEx>
              <w:trPr>
                <w:trHeight w:val="267" w:hRule="atLeast"/>
              </w:trPr>
              <w:tc>
                <w:tcPr>
                  <w:tcW w:w="972" w:type="dxa"/>
                  <w:tcBorders>
                    <w:top w:val="nil"/>
                    <w:left w:val="single" w:color="auto" w:sz="4" w:space="0"/>
                    <w:bottom w:val="single" w:color="auto" w:sz="4" w:space="0"/>
                    <w:right w:val="single" w:color="auto" w:sz="4" w:space="0"/>
                  </w:tcBorders>
                  <w:vAlign w:val="center"/>
                </w:tcPr>
                <w:p w14:paraId="552AC16F">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6</w:t>
                  </w:r>
                </w:p>
              </w:tc>
              <w:tc>
                <w:tcPr>
                  <w:tcW w:w="5518" w:type="dxa"/>
                  <w:tcBorders>
                    <w:top w:val="nil"/>
                    <w:left w:val="nil"/>
                    <w:bottom w:val="single" w:color="auto" w:sz="4" w:space="0"/>
                    <w:right w:val="single" w:color="auto" w:sz="4" w:space="0"/>
                  </w:tcBorders>
                  <w:vAlign w:val="center"/>
                </w:tcPr>
                <w:p w14:paraId="644B9B42">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擦镜纸</w:t>
                  </w:r>
                </w:p>
              </w:tc>
              <w:tc>
                <w:tcPr>
                  <w:tcW w:w="1812" w:type="dxa"/>
                  <w:tcBorders>
                    <w:top w:val="nil"/>
                    <w:left w:val="nil"/>
                    <w:bottom w:val="single" w:color="auto" w:sz="4" w:space="0"/>
                    <w:right w:val="single" w:color="auto" w:sz="4" w:space="0"/>
                  </w:tcBorders>
                  <w:vAlign w:val="center"/>
                </w:tcPr>
                <w:p w14:paraId="43902E4F">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10张</w:t>
                  </w:r>
                </w:p>
              </w:tc>
            </w:tr>
            <w:tr w14:paraId="64C1018A">
              <w:tblPrEx>
                <w:tblCellMar>
                  <w:top w:w="0" w:type="dxa"/>
                  <w:left w:w="108" w:type="dxa"/>
                  <w:bottom w:w="0" w:type="dxa"/>
                  <w:right w:w="108" w:type="dxa"/>
                </w:tblCellMar>
              </w:tblPrEx>
              <w:trPr>
                <w:trHeight w:val="371" w:hRule="atLeast"/>
              </w:trPr>
              <w:tc>
                <w:tcPr>
                  <w:tcW w:w="972" w:type="dxa"/>
                  <w:tcBorders>
                    <w:top w:val="nil"/>
                    <w:left w:val="single" w:color="auto" w:sz="4" w:space="0"/>
                    <w:bottom w:val="single" w:color="auto" w:sz="4" w:space="0"/>
                    <w:right w:val="single" w:color="auto" w:sz="4" w:space="0"/>
                  </w:tcBorders>
                  <w:vAlign w:val="center"/>
                </w:tcPr>
                <w:p w14:paraId="6D46CF1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7</w:t>
                  </w:r>
                </w:p>
              </w:tc>
              <w:tc>
                <w:tcPr>
                  <w:tcW w:w="5518" w:type="dxa"/>
                  <w:tcBorders>
                    <w:top w:val="nil"/>
                    <w:left w:val="nil"/>
                    <w:bottom w:val="single" w:color="auto" w:sz="4" w:space="0"/>
                    <w:right w:val="single" w:color="auto" w:sz="4" w:space="0"/>
                  </w:tcBorders>
                  <w:vAlign w:val="center"/>
                </w:tcPr>
                <w:p w14:paraId="5083CE51">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镜头盖</w:t>
                  </w:r>
                </w:p>
              </w:tc>
              <w:tc>
                <w:tcPr>
                  <w:tcW w:w="1812" w:type="dxa"/>
                  <w:tcBorders>
                    <w:top w:val="nil"/>
                    <w:left w:val="nil"/>
                    <w:bottom w:val="single" w:color="auto" w:sz="4" w:space="0"/>
                    <w:right w:val="single" w:color="auto" w:sz="4" w:space="0"/>
                  </w:tcBorders>
                  <w:vAlign w:val="center"/>
                </w:tcPr>
                <w:p w14:paraId="6B8EEA57">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1个</w:t>
                  </w:r>
                </w:p>
              </w:tc>
            </w:tr>
            <w:tr w14:paraId="51949A8C">
              <w:tblPrEx>
                <w:tblCellMar>
                  <w:top w:w="0" w:type="dxa"/>
                  <w:left w:w="108" w:type="dxa"/>
                  <w:bottom w:w="0" w:type="dxa"/>
                  <w:right w:w="108" w:type="dxa"/>
                </w:tblCellMar>
              </w:tblPrEx>
              <w:trPr>
                <w:trHeight w:val="277" w:hRule="atLeast"/>
              </w:trPr>
              <w:tc>
                <w:tcPr>
                  <w:tcW w:w="972" w:type="dxa"/>
                  <w:tcBorders>
                    <w:top w:val="nil"/>
                    <w:left w:val="single" w:color="auto" w:sz="4" w:space="0"/>
                    <w:bottom w:val="single" w:color="auto" w:sz="4" w:space="0"/>
                    <w:right w:val="single" w:color="auto" w:sz="4" w:space="0"/>
                  </w:tcBorders>
                  <w:vAlign w:val="center"/>
                </w:tcPr>
                <w:p w14:paraId="5B6507B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8</w:t>
                  </w:r>
                </w:p>
              </w:tc>
              <w:tc>
                <w:tcPr>
                  <w:tcW w:w="5518" w:type="dxa"/>
                  <w:tcBorders>
                    <w:top w:val="nil"/>
                    <w:left w:val="nil"/>
                    <w:bottom w:val="single" w:color="auto" w:sz="4" w:space="0"/>
                    <w:right w:val="single" w:color="auto" w:sz="4" w:space="0"/>
                  </w:tcBorders>
                  <w:vAlign w:val="center"/>
                </w:tcPr>
                <w:p w14:paraId="4DE6BA1F">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遮挡布</w:t>
                  </w:r>
                </w:p>
              </w:tc>
              <w:tc>
                <w:tcPr>
                  <w:tcW w:w="1812" w:type="dxa"/>
                  <w:tcBorders>
                    <w:top w:val="nil"/>
                    <w:left w:val="nil"/>
                    <w:bottom w:val="single" w:color="auto" w:sz="4" w:space="0"/>
                    <w:right w:val="single" w:color="auto" w:sz="4" w:space="0"/>
                  </w:tcBorders>
                  <w:vAlign w:val="center"/>
                </w:tcPr>
                <w:p w14:paraId="277F16A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1个</w:t>
                  </w:r>
                </w:p>
              </w:tc>
            </w:tr>
            <w:tr w14:paraId="65C93926">
              <w:tblPrEx>
                <w:tblCellMar>
                  <w:top w:w="0" w:type="dxa"/>
                  <w:left w:w="108" w:type="dxa"/>
                  <w:bottom w:w="0" w:type="dxa"/>
                  <w:right w:w="108" w:type="dxa"/>
                </w:tblCellMar>
              </w:tblPrEx>
              <w:trPr>
                <w:trHeight w:val="239" w:hRule="atLeast"/>
              </w:trPr>
              <w:tc>
                <w:tcPr>
                  <w:tcW w:w="972" w:type="dxa"/>
                  <w:tcBorders>
                    <w:top w:val="nil"/>
                    <w:left w:val="single" w:color="auto" w:sz="4" w:space="0"/>
                    <w:bottom w:val="single" w:color="auto" w:sz="4" w:space="0"/>
                    <w:right w:val="single" w:color="auto" w:sz="4" w:space="0"/>
                  </w:tcBorders>
                  <w:vAlign w:val="center"/>
                </w:tcPr>
                <w:p w14:paraId="4CF9C832">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9</w:t>
                  </w:r>
                </w:p>
              </w:tc>
              <w:tc>
                <w:tcPr>
                  <w:tcW w:w="5518" w:type="dxa"/>
                  <w:tcBorders>
                    <w:top w:val="nil"/>
                    <w:left w:val="nil"/>
                    <w:bottom w:val="single" w:color="auto" w:sz="4" w:space="0"/>
                    <w:right w:val="single" w:color="auto" w:sz="4" w:space="0"/>
                  </w:tcBorders>
                  <w:shd w:val="clear" w:color="000000" w:fill="FFFFFF"/>
                  <w:vAlign w:val="center"/>
                </w:tcPr>
                <w:p w14:paraId="2582101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使用说明书</w:t>
                  </w:r>
                </w:p>
              </w:tc>
              <w:tc>
                <w:tcPr>
                  <w:tcW w:w="1812" w:type="dxa"/>
                  <w:tcBorders>
                    <w:top w:val="nil"/>
                    <w:left w:val="nil"/>
                    <w:bottom w:val="single" w:color="auto" w:sz="4" w:space="0"/>
                    <w:right w:val="single" w:color="auto" w:sz="4" w:space="0"/>
                  </w:tcBorders>
                  <w:vAlign w:val="center"/>
                </w:tcPr>
                <w:p w14:paraId="09B0FC3C">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1份</w:t>
                  </w:r>
                </w:p>
              </w:tc>
            </w:tr>
            <w:tr w14:paraId="207DF94C">
              <w:tblPrEx>
                <w:tblCellMar>
                  <w:top w:w="0" w:type="dxa"/>
                  <w:left w:w="108" w:type="dxa"/>
                  <w:bottom w:w="0" w:type="dxa"/>
                  <w:right w:w="108" w:type="dxa"/>
                </w:tblCellMar>
              </w:tblPrEx>
              <w:trPr>
                <w:trHeight w:val="329" w:hRule="atLeast"/>
              </w:trPr>
              <w:tc>
                <w:tcPr>
                  <w:tcW w:w="972" w:type="dxa"/>
                  <w:tcBorders>
                    <w:top w:val="nil"/>
                    <w:left w:val="single" w:color="auto" w:sz="4" w:space="0"/>
                    <w:bottom w:val="single" w:color="auto" w:sz="4" w:space="0"/>
                    <w:right w:val="single" w:color="auto" w:sz="4" w:space="0"/>
                  </w:tcBorders>
                  <w:vAlign w:val="center"/>
                </w:tcPr>
                <w:p w14:paraId="73A25F3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10</w:t>
                  </w:r>
                </w:p>
              </w:tc>
              <w:tc>
                <w:tcPr>
                  <w:tcW w:w="5518" w:type="dxa"/>
                  <w:tcBorders>
                    <w:top w:val="nil"/>
                    <w:left w:val="nil"/>
                    <w:bottom w:val="single" w:color="auto" w:sz="4" w:space="0"/>
                    <w:right w:val="single" w:color="auto" w:sz="4" w:space="0"/>
                  </w:tcBorders>
                  <w:vAlign w:val="center"/>
                </w:tcPr>
                <w:p w14:paraId="372B96D9">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产品验收单</w:t>
                  </w:r>
                </w:p>
              </w:tc>
              <w:tc>
                <w:tcPr>
                  <w:tcW w:w="1812" w:type="dxa"/>
                  <w:tcBorders>
                    <w:top w:val="nil"/>
                    <w:left w:val="nil"/>
                    <w:bottom w:val="single" w:color="auto" w:sz="4" w:space="0"/>
                    <w:right w:val="single" w:color="auto" w:sz="4" w:space="0"/>
                  </w:tcBorders>
                  <w:vAlign w:val="center"/>
                </w:tcPr>
                <w:p w14:paraId="1E46E2F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1份</w:t>
                  </w:r>
                </w:p>
              </w:tc>
            </w:tr>
            <w:tr w14:paraId="597A8461">
              <w:tblPrEx>
                <w:tblCellMar>
                  <w:top w:w="0" w:type="dxa"/>
                  <w:left w:w="108" w:type="dxa"/>
                  <w:bottom w:w="0" w:type="dxa"/>
                  <w:right w:w="108" w:type="dxa"/>
                </w:tblCellMar>
              </w:tblPrEx>
              <w:trPr>
                <w:trHeight w:val="291" w:hRule="atLeast"/>
              </w:trPr>
              <w:tc>
                <w:tcPr>
                  <w:tcW w:w="972" w:type="dxa"/>
                  <w:tcBorders>
                    <w:top w:val="nil"/>
                    <w:left w:val="single" w:color="auto" w:sz="4" w:space="0"/>
                    <w:bottom w:val="single" w:color="auto" w:sz="4" w:space="0"/>
                    <w:right w:val="single" w:color="auto" w:sz="4" w:space="0"/>
                  </w:tcBorders>
                  <w:vAlign w:val="center"/>
                </w:tcPr>
                <w:p w14:paraId="1BD18AB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11</w:t>
                  </w:r>
                </w:p>
              </w:tc>
              <w:tc>
                <w:tcPr>
                  <w:tcW w:w="5518" w:type="dxa"/>
                  <w:tcBorders>
                    <w:top w:val="nil"/>
                    <w:left w:val="nil"/>
                    <w:bottom w:val="single" w:color="auto" w:sz="4" w:space="0"/>
                    <w:right w:val="single" w:color="auto" w:sz="4" w:space="0"/>
                  </w:tcBorders>
                  <w:vAlign w:val="center"/>
                </w:tcPr>
                <w:p w14:paraId="50C43BFE">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保修卡</w:t>
                  </w:r>
                </w:p>
              </w:tc>
              <w:tc>
                <w:tcPr>
                  <w:tcW w:w="1812" w:type="dxa"/>
                  <w:tcBorders>
                    <w:top w:val="nil"/>
                    <w:left w:val="nil"/>
                    <w:bottom w:val="single" w:color="auto" w:sz="4" w:space="0"/>
                    <w:right w:val="single" w:color="auto" w:sz="4" w:space="0"/>
                  </w:tcBorders>
                  <w:vAlign w:val="center"/>
                </w:tcPr>
                <w:p w14:paraId="133E561E">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1份</w:t>
                  </w:r>
                </w:p>
              </w:tc>
            </w:tr>
            <w:tr w14:paraId="16414C99">
              <w:tblPrEx>
                <w:tblCellMar>
                  <w:top w:w="0" w:type="dxa"/>
                  <w:left w:w="108" w:type="dxa"/>
                  <w:bottom w:w="0" w:type="dxa"/>
                  <w:right w:w="108" w:type="dxa"/>
                </w:tblCellMar>
              </w:tblPrEx>
              <w:trPr>
                <w:trHeight w:val="381" w:hRule="atLeast"/>
              </w:trPr>
              <w:tc>
                <w:tcPr>
                  <w:tcW w:w="972" w:type="dxa"/>
                  <w:tcBorders>
                    <w:top w:val="nil"/>
                    <w:left w:val="single" w:color="auto" w:sz="4" w:space="0"/>
                    <w:bottom w:val="single" w:color="auto" w:sz="4" w:space="0"/>
                    <w:right w:val="single" w:color="auto" w:sz="4" w:space="0"/>
                  </w:tcBorders>
                  <w:vAlign w:val="center"/>
                </w:tcPr>
                <w:p w14:paraId="4C356204">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12</w:t>
                  </w:r>
                </w:p>
              </w:tc>
              <w:tc>
                <w:tcPr>
                  <w:tcW w:w="5518" w:type="dxa"/>
                  <w:tcBorders>
                    <w:top w:val="nil"/>
                    <w:left w:val="nil"/>
                    <w:bottom w:val="single" w:color="auto" w:sz="4" w:space="0"/>
                    <w:right w:val="single" w:color="auto" w:sz="4" w:space="0"/>
                  </w:tcBorders>
                  <w:vAlign w:val="center"/>
                </w:tcPr>
                <w:p w14:paraId="36FE190F">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合格证</w:t>
                  </w:r>
                </w:p>
              </w:tc>
              <w:tc>
                <w:tcPr>
                  <w:tcW w:w="1812" w:type="dxa"/>
                  <w:tcBorders>
                    <w:top w:val="nil"/>
                    <w:left w:val="nil"/>
                    <w:bottom w:val="single" w:color="auto" w:sz="4" w:space="0"/>
                    <w:right w:val="single" w:color="auto" w:sz="4" w:space="0"/>
                  </w:tcBorders>
                  <w:vAlign w:val="center"/>
                </w:tcPr>
                <w:p w14:paraId="4D14139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1份</w:t>
                  </w:r>
                </w:p>
              </w:tc>
            </w:tr>
            <w:tr w14:paraId="1D201CD2">
              <w:tblPrEx>
                <w:tblCellMar>
                  <w:top w:w="0" w:type="dxa"/>
                  <w:left w:w="108" w:type="dxa"/>
                  <w:bottom w:w="0" w:type="dxa"/>
                  <w:right w:w="108" w:type="dxa"/>
                </w:tblCellMar>
              </w:tblPrEx>
              <w:trPr>
                <w:trHeight w:val="273" w:hRule="atLeast"/>
              </w:trPr>
              <w:tc>
                <w:tcPr>
                  <w:tcW w:w="972" w:type="dxa"/>
                  <w:tcBorders>
                    <w:top w:val="nil"/>
                    <w:left w:val="single" w:color="auto" w:sz="4" w:space="0"/>
                    <w:bottom w:val="single" w:color="auto" w:sz="4" w:space="0"/>
                    <w:right w:val="single" w:color="auto" w:sz="4" w:space="0"/>
                  </w:tcBorders>
                  <w:vAlign w:val="center"/>
                </w:tcPr>
                <w:p w14:paraId="622445E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13</w:t>
                  </w:r>
                </w:p>
              </w:tc>
              <w:tc>
                <w:tcPr>
                  <w:tcW w:w="5518" w:type="dxa"/>
                  <w:tcBorders>
                    <w:top w:val="nil"/>
                    <w:left w:val="nil"/>
                    <w:bottom w:val="single" w:color="auto" w:sz="4" w:space="0"/>
                    <w:right w:val="single" w:color="auto" w:sz="4" w:space="0"/>
                  </w:tcBorders>
                  <w:vAlign w:val="center"/>
                </w:tcPr>
                <w:p w14:paraId="249A6ADD">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TF卡</w:t>
                  </w:r>
                </w:p>
              </w:tc>
              <w:tc>
                <w:tcPr>
                  <w:tcW w:w="1812" w:type="dxa"/>
                  <w:tcBorders>
                    <w:top w:val="nil"/>
                    <w:left w:val="nil"/>
                    <w:bottom w:val="single" w:color="auto" w:sz="4" w:space="0"/>
                    <w:right w:val="single" w:color="auto" w:sz="4" w:space="0"/>
                  </w:tcBorders>
                  <w:vAlign w:val="center"/>
                </w:tcPr>
                <w:p w14:paraId="53025FC0">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1个</w:t>
                  </w:r>
                </w:p>
              </w:tc>
            </w:tr>
            <w:tr w14:paraId="1D7A8591">
              <w:tblPrEx>
                <w:tblCellMar>
                  <w:top w:w="0" w:type="dxa"/>
                  <w:left w:w="108" w:type="dxa"/>
                  <w:bottom w:w="0" w:type="dxa"/>
                  <w:right w:w="108" w:type="dxa"/>
                </w:tblCellMar>
              </w:tblPrEx>
              <w:trPr>
                <w:trHeight w:val="249" w:hRule="atLeast"/>
              </w:trPr>
              <w:tc>
                <w:tcPr>
                  <w:tcW w:w="972" w:type="dxa"/>
                  <w:tcBorders>
                    <w:top w:val="nil"/>
                    <w:left w:val="single" w:color="auto" w:sz="4" w:space="0"/>
                    <w:bottom w:val="single" w:color="auto" w:sz="4" w:space="0"/>
                    <w:right w:val="single" w:color="auto" w:sz="4" w:space="0"/>
                  </w:tcBorders>
                  <w:vAlign w:val="center"/>
                </w:tcPr>
                <w:p w14:paraId="73FE767C">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14</w:t>
                  </w:r>
                </w:p>
              </w:tc>
              <w:tc>
                <w:tcPr>
                  <w:tcW w:w="5518" w:type="dxa"/>
                  <w:tcBorders>
                    <w:top w:val="nil"/>
                    <w:left w:val="nil"/>
                    <w:bottom w:val="single" w:color="auto" w:sz="4" w:space="0"/>
                    <w:right w:val="single" w:color="auto" w:sz="4" w:space="0"/>
                  </w:tcBorders>
                  <w:vAlign w:val="center"/>
                </w:tcPr>
                <w:p w14:paraId="041456DB">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读卡器</w:t>
                  </w:r>
                </w:p>
              </w:tc>
              <w:tc>
                <w:tcPr>
                  <w:tcW w:w="1812" w:type="dxa"/>
                  <w:tcBorders>
                    <w:top w:val="nil"/>
                    <w:left w:val="nil"/>
                    <w:bottom w:val="single" w:color="auto" w:sz="4" w:space="0"/>
                    <w:right w:val="single" w:color="auto" w:sz="4" w:space="0"/>
                  </w:tcBorders>
                  <w:vAlign w:val="center"/>
                </w:tcPr>
                <w:p w14:paraId="1B54C0F0">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1个</w:t>
                  </w:r>
                </w:p>
              </w:tc>
            </w:tr>
            <w:tr w14:paraId="57FDDD57">
              <w:tblPrEx>
                <w:tblCellMar>
                  <w:top w:w="0" w:type="dxa"/>
                  <w:left w:w="108" w:type="dxa"/>
                  <w:bottom w:w="0" w:type="dxa"/>
                  <w:right w:w="108" w:type="dxa"/>
                </w:tblCellMar>
              </w:tblPrEx>
              <w:trPr>
                <w:trHeight w:val="339" w:hRule="atLeast"/>
              </w:trPr>
              <w:tc>
                <w:tcPr>
                  <w:tcW w:w="972" w:type="dxa"/>
                  <w:tcBorders>
                    <w:top w:val="nil"/>
                    <w:left w:val="single" w:color="auto" w:sz="4" w:space="0"/>
                    <w:bottom w:val="single" w:color="auto" w:sz="4" w:space="0"/>
                    <w:right w:val="single" w:color="auto" w:sz="4" w:space="0"/>
                  </w:tcBorders>
                  <w:vAlign w:val="center"/>
                </w:tcPr>
                <w:p w14:paraId="0062BF02">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15</w:t>
                  </w:r>
                </w:p>
              </w:tc>
              <w:tc>
                <w:tcPr>
                  <w:tcW w:w="5518" w:type="dxa"/>
                  <w:tcBorders>
                    <w:top w:val="nil"/>
                    <w:left w:val="nil"/>
                    <w:bottom w:val="single" w:color="auto" w:sz="4" w:space="0"/>
                    <w:right w:val="single" w:color="auto" w:sz="4" w:space="0"/>
                  </w:tcBorders>
                  <w:vAlign w:val="center"/>
                </w:tcPr>
                <w:p w14:paraId="67464D19">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USB转网卡</w:t>
                  </w:r>
                </w:p>
              </w:tc>
              <w:tc>
                <w:tcPr>
                  <w:tcW w:w="1812" w:type="dxa"/>
                  <w:tcBorders>
                    <w:top w:val="nil"/>
                    <w:left w:val="nil"/>
                    <w:bottom w:val="single" w:color="auto" w:sz="4" w:space="0"/>
                    <w:right w:val="single" w:color="auto" w:sz="4" w:space="0"/>
                  </w:tcBorders>
                  <w:vAlign w:val="center"/>
                </w:tcPr>
                <w:p w14:paraId="0F0899B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1个</w:t>
                  </w:r>
                </w:p>
              </w:tc>
            </w:tr>
            <w:tr w14:paraId="1009119C">
              <w:tblPrEx>
                <w:tblCellMar>
                  <w:top w:w="0" w:type="dxa"/>
                  <w:left w:w="108" w:type="dxa"/>
                  <w:bottom w:w="0" w:type="dxa"/>
                  <w:right w:w="108" w:type="dxa"/>
                </w:tblCellMar>
              </w:tblPrEx>
              <w:trPr>
                <w:trHeight w:val="273" w:hRule="atLeast"/>
              </w:trPr>
              <w:tc>
                <w:tcPr>
                  <w:tcW w:w="972" w:type="dxa"/>
                  <w:tcBorders>
                    <w:top w:val="nil"/>
                    <w:left w:val="single" w:color="auto" w:sz="4" w:space="0"/>
                    <w:bottom w:val="single" w:color="auto" w:sz="4" w:space="0"/>
                    <w:right w:val="single" w:color="auto" w:sz="4" w:space="0"/>
                  </w:tcBorders>
                  <w:vAlign w:val="center"/>
                </w:tcPr>
                <w:p w14:paraId="412146F8">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16</w:t>
                  </w:r>
                </w:p>
              </w:tc>
              <w:tc>
                <w:tcPr>
                  <w:tcW w:w="5518" w:type="dxa"/>
                  <w:tcBorders>
                    <w:top w:val="nil"/>
                    <w:left w:val="nil"/>
                    <w:bottom w:val="single" w:color="auto" w:sz="4" w:space="0"/>
                    <w:right w:val="single" w:color="auto" w:sz="4" w:space="0"/>
                  </w:tcBorders>
                  <w:vAlign w:val="center"/>
                </w:tcPr>
                <w:p w14:paraId="34AC754E">
                  <w:pPr>
                    <w:widowControl/>
                    <w:jc w:val="center"/>
                    <w:rPr>
                      <w:rFonts w:hint="eastAsia" w:ascii="宋体" w:hAnsi="宋体" w:eastAsia="宋体" w:cs="宋体"/>
                      <w:kern w:val="0"/>
                      <w:sz w:val="24"/>
                    </w:rPr>
                  </w:pPr>
                  <w:r>
                    <w:rPr>
                      <w:rFonts w:hint="eastAsia" w:ascii="宋体" w:hAnsi="宋体" w:eastAsia="宋体" w:cs="宋体"/>
                      <w:kern w:val="0"/>
                      <w:sz w:val="24"/>
                    </w:rPr>
                    <w:t>OTG线</w:t>
                  </w:r>
                </w:p>
              </w:tc>
              <w:tc>
                <w:tcPr>
                  <w:tcW w:w="1812" w:type="dxa"/>
                  <w:tcBorders>
                    <w:top w:val="nil"/>
                    <w:left w:val="nil"/>
                    <w:bottom w:val="single" w:color="auto" w:sz="4" w:space="0"/>
                    <w:right w:val="single" w:color="auto" w:sz="4" w:space="0"/>
                  </w:tcBorders>
                  <w:vAlign w:val="center"/>
                </w:tcPr>
                <w:p w14:paraId="571D09AD">
                  <w:pPr>
                    <w:widowControl/>
                    <w:jc w:val="center"/>
                    <w:rPr>
                      <w:rFonts w:hint="eastAsia" w:ascii="宋体" w:hAnsi="宋体" w:eastAsia="宋体" w:cs="宋体"/>
                      <w:kern w:val="0"/>
                      <w:sz w:val="24"/>
                    </w:rPr>
                  </w:pPr>
                  <w:r>
                    <w:rPr>
                      <w:rFonts w:hint="eastAsia" w:ascii="宋体" w:hAnsi="宋体" w:eastAsia="宋体" w:cs="宋体"/>
                      <w:kern w:val="0"/>
                      <w:sz w:val="24"/>
                    </w:rPr>
                    <w:t>1根</w:t>
                  </w:r>
                </w:p>
              </w:tc>
            </w:tr>
            <w:tr w14:paraId="350D1F89">
              <w:tblPrEx>
                <w:tblCellMar>
                  <w:top w:w="0" w:type="dxa"/>
                  <w:left w:w="108" w:type="dxa"/>
                  <w:bottom w:w="0" w:type="dxa"/>
                  <w:right w:w="108" w:type="dxa"/>
                </w:tblCellMar>
              </w:tblPrEx>
              <w:trPr>
                <w:trHeight w:val="391" w:hRule="atLeast"/>
              </w:trPr>
              <w:tc>
                <w:tcPr>
                  <w:tcW w:w="972" w:type="dxa"/>
                  <w:tcBorders>
                    <w:top w:val="nil"/>
                    <w:left w:val="single" w:color="auto" w:sz="4" w:space="0"/>
                    <w:bottom w:val="single" w:color="auto" w:sz="4" w:space="0"/>
                    <w:right w:val="single" w:color="auto" w:sz="4" w:space="0"/>
                  </w:tcBorders>
                  <w:vAlign w:val="center"/>
                </w:tcPr>
                <w:p w14:paraId="46F54664">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17</w:t>
                  </w:r>
                </w:p>
              </w:tc>
              <w:tc>
                <w:tcPr>
                  <w:tcW w:w="5518" w:type="dxa"/>
                  <w:tcBorders>
                    <w:top w:val="nil"/>
                    <w:left w:val="nil"/>
                    <w:bottom w:val="single" w:color="auto" w:sz="4" w:space="0"/>
                    <w:right w:val="single" w:color="auto" w:sz="4" w:space="0"/>
                  </w:tcBorders>
                  <w:vAlign w:val="center"/>
                </w:tcPr>
                <w:p w14:paraId="4A9A576C">
                  <w:pPr>
                    <w:widowControl/>
                    <w:jc w:val="center"/>
                    <w:rPr>
                      <w:rFonts w:hint="eastAsia" w:ascii="宋体" w:hAnsi="宋体" w:eastAsia="宋体" w:cs="宋体"/>
                      <w:kern w:val="0"/>
                      <w:sz w:val="24"/>
                    </w:rPr>
                  </w:pPr>
                  <w:r>
                    <w:rPr>
                      <w:rFonts w:hint="eastAsia" w:ascii="宋体" w:hAnsi="宋体" w:eastAsia="宋体" w:cs="宋体"/>
                      <w:kern w:val="0"/>
                      <w:sz w:val="24"/>
                    </w:rPr>
                    <w:t>操作指南</w:t>
                  </w:r>
                </w:p>
              </w:tc>
              <w:tc>
                <w:tcPr>
                  <w:tcW w:w="1812" w:type="dxa"/>
                  <w:tcBorders>
                    <w:top w:val="nil"/>
                    <w:left w:val="nil"/>
                    <w:bottom w:val="single" w:color="auto" w:sz="4" w:space="0"/>
                    <w:right w:val="single" w:color="auto" w:sz="4" w:space="0"/>
                  </w:tcBorders>
                  <w:vAlign w:val="center"/>
                </w:tcPr>
                <w:p w14:paraId="1E18B60F">
                  <w:pPr>
                    <w:widowControl/>
                    <w:jc w:val="center"/>
                    <w:rPr>
                      <w:rFonts w:hint="eastAsia" w:ascii="宋体" w:hAnsi="宋体" w:eastAsia="宋体" w:cs="宋体"/>
                      <w:kern w:val="0"/>
                      <w:sz w:val="24"/>
                    </w:rPr>
                  </w:pPr>
                  <w:r>
                    <w:rPr>
                      <w:rFonts w:hint="eastAsia" w:ascii="宋体" w:hAnsi="宋体" w:eastAsia="宋体" w:cs="宋体"/>
                      <w:kern w:val="0"/>
                      <w:sz w:val="24"/>
                    </w:rPr>
                    <w:t>1份</w:t>
                  </w:r>
                </w:p>
              </w:tc>
            </w:tr>
            <w:tr w14:paraId="55E04B46">
              <w:tblPrEx>
                <w:tblCellMar>
                  <w:top w:w="0" w:type="dxa"/>
                  <w:left w:w="108" w:type="dxa"/>
                  <w:bottom w:w="0" w:type="dxa"/>
                  <w:right w:w="108" w:type="dxa"/>
                </w:tblCellMar>
              </w:tblPrEx>
              <w:trPr>
                <w:trHeight w:val="391" w:hRule="atLeast"/>
              </w:trPr>
              <w:tc>
                <w:tcPr>
                  <w:tcW w:w="972" w:type="dxa"/>
                  <w:tcBorders>
                    <w:top w:val="nil"/>
                    <w:left w:val="single" w:color="auto" w:sz="4" w:space="0"/>
                    <w:bottom w:val="single" w:color="auto" w:sz="4" w:space="0"/>
                    <w:right w:val="single" w:color="auto" w:sz="4" w:space="0"/>
                  </w:tcBorders>
                  <w:vAlign w:val="center"/>
                </w:tcPr>
                <w:p w14:paraId="3D7626A5">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18</w:t>
                  </w:r>
                </w:p>
              </w:tc>
              <w:tc>
                <w:tcPr>
                  <w:tcW w:w="5518" w:type="dxa"/>
                  <w:tcBorders>
                    <w:top w:val="nil"/>
                    <w:left w:val="nil"/>
                    <w:bottom w:val="single" w:color="auto" w:sz="4" w:space="0"/>
                    <w:right w:val="single" w:color="auto" w:sz="4" w:space="0"/>
                  </w:tcBorders>
                  <w:vAlign w:val="center"/>
                </w:tcPr>
                <w:p w14:paraId="78B56034">
                  <w:pPr>
                    <w:widowControl/>
                    <w:jc w:val="center"/>
                    <w:rPr>
                      <w:rFonts w:hint="eastAsia" w:ascii="宋体" w:hAnsi="宋体" w:eastAsia="宋体" w:cs="宋体"/>
                      <w:kern w:val="0"/>
                      <w:sz w:val="24"/>
                    </w:rPr>
                  </w:pPr>
                  <w:r>
                    <w:rPr>
                      <w:rFonts w:hint="eastAsia" w:ascii="宋体" w:hAnsi="宋体" w:eastAsia="宋体" w:cs="宋体"/>
                      <w:kern w:val="0"/>
                      <w:sz w:val="24"/>
                    </w:rPr>
                    <w:t>升降台</w:t>
                  </w:r>
                </w:p>
              </w:tc>
              <w:tc>
                <w:tcPr>
                  <w:tcW w:w="1812" w:type="dxa"/>
                  <w:tcBorders>
                    <w:top w:val="nil"/>
                    <w:left w:val="nil"/>
                    <w:bottom w:val="single" w:color="auto" w:sz="4" w:space="0"/>
                    <w:right w:val="single" w:color="auto" w:sz="4" w:space="0"/>
                  </w:tcBorders>
                  <w:vAlign w:val="center"/>
                </w:tcPr>
                <w:p w14:paraId="6138AA0B">
                  <w:pPr>
                    <w:widowControl/>
                    <w:jc w:val="center"/>
                    <w:rPr>
                      <w:rFonts w:hint="eastAsia" w:ascii="宋体" w:hAnsi="宋体" w:eastAsia="宋体" w:cs="宋体"/>
                      <w:kern w:val="0"/>
                      <w:sz w:val="24"/>
                    </w:rPr>
                  </w:pPr>
                  <w:r>
                    <w:rPr>
                      <w:rFonts w:hint="eastAsia" w:ascii="宋体" w:hAnsi="宋体" w:eastAsia="宋体" w:cs="宋体"/>
                      <w:kern w:val="0"/>
                      <w:sz w:val="24"/>
                    </w:rPr>
                    <w:t>1台</w:t>
                  </w:r>
                </w:p>
              </w:tc>
            </w:tr>
            <w:tr w14:paraId="54DD3842">
              <w:tblPrEx>
                <w:tblCellMar>
                  <w:top w:w="0" w:type="dxa"/>
                  <w:left w:w="108" w:type="dxa"/>
                  <w:bottom w:w="0" w:type="dxa"/>
                  <w:right w:w="108" w:type="dxa"/>
                </w:tblCellMar>
              </w:tblPrEx>
              <w:trPr>
                <w:trHeight w:val="391" w:hRule="atLeast"/>
              </w:trPr>
              <w:tc>
                <w:tcPr>
                  <w:tcW w:w="972" w:type="dxa"/>
                  <w:tcBorders>
                    <w:top w:val="nil"/>
                    <w:left w:val="single" w:color="auto" w:sz="4" w:space="0"/>
                    <w:bottom w:val="single" w:color="auto" w:sz="4" w:space="0"/>
                    <w:right w:val="single" w:color="auto" w:sz="4" w:space="0"/>
                  </w:tcBorders>
                  <w:vAlign w:val="center"/>
                </w:tcPr>
                <w:p w14:paraId="03DC2481">
                  <w:pPr>
                    <w:widowControl/>
                    <w:jc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19</w:t>
                  </w:r>
                </w:p>
              </w:tc>
              <w:tc>
                <w:tcPr>
                  <w:tcW w:w="5518" w:type="dxa"/>
                  <w:tcBorders>
                    <w:top w:val="nil"/>
                    <w:left w:val="nil"/>
                    <w:bottom w:val="single" w:color="auto" w:sz="4" w:space="0"/>
                    <w:right w:val="single" w:color="auto" w:sz="4" w:space="0"/>
                  </w:tcBorders>
                  <w:vAlign w:val="center"/>
                </w:tcPr>
                <w:p w14:paraId="0F9BADFF">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彩色打印机</w:t>
                  </w:r>
                </w:p>
              </w:tc>
              <w:tc>
                <w:tcPr>
                  <w:tcW w:w="1812" w:type="dxa"/>
                  <w:tcBorders>
                    <w:top w:val="nil"/>
                    <w:left w:val="nil"/>
                    <w:bottom w:val="single" w:color="auto" w:sz="4" w:space="0"/>
                    <w:right w:val="single" w:color="auto" w:sz="4" w:space="0"/>
                  </w:tcBorders>
                  <w:vAlign w:val="center"/>
                </w:tcPr>
                <w:p w14:paraId="7720AF6B">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1台</w:t>
                  </w:r>
                </w:p>
              </w:tc>
            </w:tr>
            <w:tr w14:paraId="34B73265">
              <w:tblPrEx>
                <w:tblCellMar>
                  <w:top w:w="0" w:type="dxa"/>
                  <w:left w:w="108" w:type="dxa"/>
                  <w:bottom w:w="0" w:type="dxa"/>
                  <w:right w:w="108" w:type="dxa"/>
                </w:tblCellMar>
              </w:tblPrEx>
              <w:trPr>
                <w:trHeight w:val="391" w:hRule="atLeast"/>
              </w:trPr>
              <w:tc>
                <w:tcPr>
                  <w:tcW w:w="972" w:type="dxa"/>
                  <w:tcBorders>
                    <w:top w:val="nil"/>
                    <w:left w:val="single" w:color="auto" w:sz="4" w:space="0"/>
                    <w:bottom w:val="single" w:color="auto" w:sz="4" w:space="0"/>
                    <w:right w:val="single" w:color="auto" w:sz="4" w:space="0"/>
                  </w:tcBorders>
                  <w:vAlign w:val="center"/>
                </w:tcPr>
                <w:p w14:paraId="0E12359E">
                  <w:pPr>
                    <w:widowControl/>
                    <w:jc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20</w:t>
                  </w:r>
                </w:p>
              </w:tc>
              <w:tc>
                <w:tcPr>
                  <w:tcW w:w="5518" w:type="dxa"/>
                  <w:tcBorders>
                    <w:top w:val="nil"/>
                    <w:left w:val="nil"/>
                    <w:bottom w:val="single" w:color="auto" w:sz="4" w:space="0"/>
                    <w:right w:val="single" w:color="auto" w:sz="4" w:space="0"/>
                  </w:tcBorders>
                  <w:vAlign w:val="center"/>
                </w:tcPr>
                <w:p w14:paraId="1417FD9A">
                  <w:pPr>
                    <w:widowControl/>
                    <w:jc w:val="center"/>
                    <w:rPr>
                      <w:rFonts w:hint="default" w:ascii="宋体" w:hAnsi="宋体" w:eastAsia="宋体" w:cs="宋体"/>
                      <w:b w:val="0"/>
                      <w:bCs w:val="0"/>
                      <w:kern w:val="0"/>
                      <w:sz w:val="24"/>
                      <w:lang w:val="en-US" w:eastAsia="zh-CN"/>
                    </w:rPr>
                  </w:pPr>
                  <w:r>
                    <w:rPr>
                      <w:rFonts w:hint="eastAsia" w:ascii="宋体" w:hAnsi="宋体" w:eastAsia="宋体" w:cs="宋体"/>
                      <w:b w:val="0"/>
                      <w:bCs w:val="0"/>
                      <w:kern w:val="0"/>
                      <w:sz w:val="24"/>
                      <w:lang w:val="en-US" w:eastAsia="zh-CN"/>
                    </w:rPr>
                    <w:t>电脑</w:t>
                  </w:r>
                </w:p>
              </w:tc>
              <w:tc>
                <w:tcPr>
                  <w:tcW w:w="1812" w:type="dxa"/>
                  <w:tcBorders>
                    <w:top w:val="nil"/>
                    <w:left w:val="nil"/>
                    <w:bottom w:val="single" w:color="auto" w:sz="4" w:space="0"/>
                    <w:right w:val="single" w:color="auto" w:sz="4" w:space="0"/>
                  </w:tcBorders>
                  <w:vAlign w:val="center"/>
                </w:tcPr>
                <w:p w14:paraId="5EFE893C">
                  <w:pPr>
                    <w:widowControl/>
                    <w:jc w:val="center"/>
                    <w:rPr>
                      <w:rFonts w:hint="default" w:ascii="宋体" w:hAnsi="宋体" w:eastAsia="宋体" w:cs="宋体"/>
                      <w:b w:val="0"/>
                      <w:bCs w:val="0"/>
                      <w:kern w:val="0"/>
                      <w:sz w:val="24"/>
                      <w:lang w:val="en-US" w:eastAsia="zh-CN"/>
                    </w:rPr>
                  </w:pPr>
                  <w:r>
                    <w:rPr>
                      <w:rFonts w:hint="eastAsia" w:ascii="宋体" w:hAnsi="宋体" w:eastAsia="宋体" w:cs="宋体"/>
                      <w:b w:val="0"/>
                      <w:bCs w:val="0"/>
                      <w:kern w:val="0"/>
                      <w:sz w:val="24"/>
                      <w:lang w:val="en-US" w:eastAsia="zh-CN"/>
                    </w:rPr>
                    <w:t>1套</w:t>
                  </w:r>
                </w:p>
              </w:tc>
            </w:tr>
            <w:tr w14:paraId="3C5DBA46">
              <w:tblPrEx>
                <w:tblCellMar>
                  <w:top w:w="0" w:type="dxa"/>
                  <w:left w:w="108" w:type="dxa"/>
                  <w:bottom w:w="0" w:type="dxa"/>
                  <w:right w:w="108" w:type="dxa"/>
                </w:tblCellMar>
              </w:tblPrEx>
              <w:trPr>
                <w:trHeight w:val="391" w:hRule="atLeast"/>
              </w:trPr>
              <w:tc>
                <w:tcPr>
                  <w:tcW w:w="972" w:type="dxa"/>
                  <w:tcBorders>
                    <w:top w:val="nil"/>
                    <w:left w:val="single" w:color="auto" w:sz="4" w:space="0"/>
                    <w:bottom w:val="single" w:color="auto" w:sz="4" w:space="0"/>
                    <w:right w:val="single" w:color="auto" w:sz="4" w:space="0"/>
                  </w:tcBorders>
                  <w:vAlign w:val="center"/>
                </w:tcPr>
                <w:p w14:paraId="6FD128E6">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二</w:t>
                  </w:r>
                </w:p>
              </w:tc>
              <w:tc>
                <w:tcPr>
                  <w:tcW w:w="5518" w:type="dxa"/>
                  <w:tcBorders>
                    <w:top w:val="nil"/>
                    <w:left w:val="nil"/>
                    <w:bottom w:val="single" w:color="auto" w:sz="4" w:space="0"/>
                    <w:right w:val="single" w:color="auto" w:sz="4" w:space="0"/>
                  </w:tcBorders>
                  <w:vAlign w:val="center"/>
                </w:tcPr>
                <w:p w14:paraId="461AFE55">
                  <w:pPr>
                    <w:widowControl/>
                    <w:jc w:val="center"/>
                    <w:rPr>
                      <w:rFonts w:hint="eastAsia" w:ascii="宋体" w:hAnsi="宋体" w:eastAsia="宋体" w:cs="宋体"/>
                      <w:b/>
                      <w:bCs/>
                      <w:kern w:val="0"/>
                      <w:sz w:val="24"/>
                    </w:rPr>
                  </w:pPr>
                  <w:r>
                    <w:rPr>
                      <w:rFonts w:hint="eastAsia" w:ascii="宋体" w:hAnsi="宋体" w:eastAsia="宋体" w:cs="宋体"/>
                      <w:b/>
                      <w:bCs/>
                      <w:kern w:val="0"/>
                      <w:sz w:val="24"/>
                    </w:rPr>
                    <w:t>软件配置</w:t>
                  </w:r>
                </w:p>
              </w:tc>
              <w:tc>
                <w:tcPr>
                  <w:tcW w:w="1812" w:type="dxa"/>
                  <w:tcBorders>
                    <w:top w:val="nil"/>
                    <w:left w:val="nil"/>
                    <w:bottom w:val="single" w:color="auto" w:sz="4" w:space="0"/>
                    <w:right w:val="single" w:color="auto" w:sz="4" w:space="0"/>
                  </w:tcBorders>
                  <w:vAlign w:val="center"/>
                </w:tcPr>
                <w:p w14:paraId="149BE99C">
                  <w:pPr>
                    <w:widowControl/>
                    <w:jc w:val="center"/>
                    <w:rPr>
                      <w:rFonts w:hint="eastAsia" w:ascii="宋体" w:hAnsi="宋体" w:eastAsia="宋体" w:cs="宋体"/>
                      <w:kern w:val="0"/>
                      <w:sz w:val="24"/>
                    </w:rPr>
                  </w:pPr>
                </w:p>
              </w:tc>
            </w:tr>
            <w:tr w14:paraId="5860D94F">
              <w:tblPrEx>
                <w:tblCellMar>
                  <w:top w:w="0" w:type="dxa"/>
                  <w:left w:w="108" w:type="dxa"/>
                  <w:bottom w:w="0" w:type="dxa"/>
                  <w:right w:w="108" w:type="dxa"/>
                </w:tblCellMar>
              </w:tblPrEx>
              <w:trPr>
                <w:trHeight w:val="411" w:hRule="atLeast"/>
              </w:trPr>
              <w:tc>
                <w:tcPr>
                  <w:tcW w:w="972" w:type="dxa"/>
                  <w:tcBorders>
                    <w:top w:val="nil"/>
                    <w:left w:val="single" w:color="auto" w:sz="4" w:space="0"/>
                    <w:bottom w:val="single" w:color="auto" w:sz="4" w:space="0"/>
                    <w:right w:val="single" w:color="auto" w:sz="4" w:space="0"/>
                  </w:tcBorders>
                </w:tcPr>
                <w:p w14:paraId="209CAF4E">
                  <w:pPr>
                    <w:widowControl/>
                    <w:jc w:val="center"/>
                    <w:rPr>
                      <w:rFonts w:hint="eastAsia" w:ascii="宋体" w:hAnsi="宋体" w:eastAsia="宋体" w:cs="宋体"/>
                      <w:color w:val="000000"/>
                      <w:kern w:val="0"/>
                      <w:sz w:val="24"/>
                    </w:rPr>
                  </w:pPr>
                  <w:r>
                    <w:rPr>
                      <w:rFonts w:hint="eastAsia"/>
                    </w:rPr>
                    <w:t>1</w:t>
                  </w:r>
                </w:p>
              </w:tc>
              <w:tc>
                <w:tcPr>
                  <w:tcW w:w="5518" w:type="dxa"/>
                  <w:tcBorders>
                    <w:top w:val="nil"/>
                    <w:left w:val="nil"/>
                    <w:bottom w:val="single" w:color="auto" w:sz="4" w:space="0"/>
                    <w:right w:val="single" w:color="auto" w:sz="4" w:space="0"/>
                  </w:tcBorders>
                </w:tcPr>
                <w:p w14:paraId="35FE0EB7">
                  <w:pPr>
                    <w:widowControl/>
                    <w:jc w:val="center"/>
                    <w:rPr>
                      <w:rFonts w:hint="eastAsia" w:ascii="宋体" w:hAnsi="宋体" w:eastAsia="宋体" w:cs="宋体"/>
                      <w:kern w:val="0"/>
                      <w:sz w:val="24"/>
                    </w:rPr>
                  </w:pPr>
                  <w:r>
                    <w:rPr>
                      <w:rFonts w:hint="eastAsia" w:ascii="仿宋" w:hAnsi="仿宋" w:eastAsia="仿宋" w:cs="仿宋"/>
                      <w:b/>
                      <w:color w:val="000000" w:themeColor="text1"/>
                      <w:sz w:val="24"/>
                      <w:lang w:val="en-US" w:eastAsia="zh-CN"/>
                      <w14:textFill>
                        <w14:solidFill>
                          <w14:schemeClr w14:val="tx1"/>
                        </w14:solidFill>
                      </w14:textFill>
                    </w:rPr>
                    <w:t>人工智能辅助诊断系统</w:t>
                  </w:r>
                </w:p>
              </w:tc>
              <w:tc>
                <w:tcPr>
                  <w:tcW w:w="1812" w:type="dxa"/>
                  <w:tcBorders>
                    <w:top w:val="nil"/>
                    <w:left w:val="nil"/>
                    <w:bottom w:val="single" w:color="auto" w:sz="4" w:space="0"/>
                    <w:right w:val="single" w:color="auto" w:sz="4" w:space="0"/>
                  </w:tcBorders>
                </w:tcPr>
                <w:p w14:paraId="6E8751FA">
                  <w:pPr>
                    <w:widowControl/>
                    <w:jc w:val="center"/>
                    <w:rPr>
                      <w:rFonts w:hint="eastAsia" w:ascii="宋体" w:hAnsi="宋体" w:eastAsia="宋体" w:cs="宋体"/>
                      <w:kern w:val="0"/>
                      <w:sz w:val="24"/>
                    </w:rPr>
                  </w:pPr>
                  <w:r>
                    <w:rPr>
                      <w:rFonts w:hint="eastAsia"/>
                    </w:rPr>
                    <w:t>1套</w:t>
                  </w:r>
                </w:p>
              </w:tc>
            </w:tr>
          </w:tbl>
          <w:p w14:paraId="45DF206F">
            <w:pPr>
              <w:numPr>
                <w:ilvl w:val="0"/>
                <w:numId w:val="0"/>
              </w:numPr>
              <w:spacing w:line="440" w:lineRule="exact"/>
              <w:ind w:leftChars="0"/>
              <w:rPr>
                <w:rFonts w:hint="eastAsia" w:ascii="宋体" w:hAnsi="宋体" w:eastAsia="宋体" w:cs="宋体"/>
                <w:color w:val="auto"/>
                <w:szCs w:val="21"/>
                <w:highlight w:val="none"/>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90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2BE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default" w:ascii="仿宋" w:hAnsi="仿宋" w:eastAsia="仿宋" w:cs="仿宋"/>
                <w:color w:val="auto"/>
                <w:sz w:val="24"/>
                <w:lang w:val="en-US" w:eastAsia="zh-CN"/>
              </w:rPr>
            </w:pPr>
            <w:r>
              <w:rPr>
                <w:rFonts w:hint="eastAsia" w:ascii="仿宋" w:hAnsi="仿宋" w:eastAsia="仿宋" w:cs="仿宋"/>
                <w:b/>
                <w:bCs/>
                <w:color w:val="auto"/>
                <w:sz w:val="24"/>
                <w:lang w:val="en-US" w:eastAsia="zh-CN"/>
              </w:rPr>
              <w:t>五、商务要求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D40CCE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1.交货及安装、验收要求</w:t>
            </w:r>
          </w:p>
          <w:p w14:paraId="31BF49C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1.1交货地点：采购人指定地点。</w:t>
            </w:r>
          </w:p>
          <w:p w14:paraId="575F906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1.2交货期：中标供应商应当在中标通知书发出之日起30日内按采购需求及的投标文件确定的事项与采购人签订合同，签订合同后  30  日内完成设备的安装调试。</w:t>
            </w:r>
          </w:p>
          <w:p w14:paraId="728ECDD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1.3中标供应商须保证中标后所提供的设备为原装、全新合格的产品；且原装进口产品生产日期与交货日期差值≤6个月；国产产品生产日期与交货日期差值≤3个月。</w:t>
            </w:r>
          </w:p>
          <w:p w14:paraId="4CCC344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1.5验收方式：按《小榄镇公立医院政府采购和验收办法》。</w:t>
            </w:r>
          </w:p>
          <w:p w14:paraId="700EEA7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★1.6投标供应商须在投标文件提供该项目完整的授权书。</w:t>
            </w:r>
          </w:p>
          <w:p w14:paraId="7DA7DA8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★1.7若乙方所投设备属于计量仪器的，需通过具有国家部门颁发专业检测资质证书的第三方计量检测单位检测并提供合格报告。</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934CCEF">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2.售后服务要求</w:t>
            </w:r>
          </w:p>
          <w:p w14:paraId="5209F01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2.1中标供应商必须在中国境内有售后服务机构，并附有售后服务能力说明。</w:t>
            </w:r>
          </w:p>
          <w:p w14:paraId="7CC16FE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★2.2中标供应商须提供设备原厂质保（设备原厂质量保修范围和保修期）至少为  3  年。</w:t>
            </w:r>
          </w:p>
          <w:p w14:paraId="0AB0BFF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2.3在售后期内，中标供应商在接到用户的维修通知，响应时间为半小时内，工程师到达现场时间为4小时内，排除故障时限为到达现场后8小时内。</w:t>
            </w:r>
          </w:p>
          <w:p w14:paraId="0E1FF378">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2.4如果产品故障在检修12小时后仍无法排除，中标供应商应在24小时内提供不低于故障产品规格型号档次的备用产品供采购人使用，直至故障产品修复。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533462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★3.付款方式</w:t>
            </w:r>
          </w:p>
          <w:p w14:paraId="1BE3E54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3.1本合同的每笔款项以人民币转账方式支付。</w:t>
            </w:r>
          </w:p>
          <w:p w14:paraId="2E9A839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合同签订后，中标供应商按合同协议时间提供货物或服务完成后，经采购人规定的验收人员书面确认验收合格，中标供应商即开具有效发票，发票加盖发票专用章（增值税普通发票），采购人确认发票无误后，在收到发票之日起   30  日内，支付合同总金额的95%；合同总金额的5%，作为第二期款项，在 质保期满后一次性无息支付。</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8AC0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9BA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六</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DA0642">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其他商务需求</w:t>
            </w:r>
          </w:p>
          <w:p w14:paraId="1A20EF3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★投标供应商须在设备报价时，同时对系统作出报价，按每例报告、每年、终身形式报价，且系统报价须包含后续维护的费用。</w:t>
            </w:r>
          </w:p>
          <w:p w14:paraId="48737D6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涉及专机专用耗材、试剂、易损件等需填列报价，且承诺至少在质保期内按此价格执行。若投标人所投产品不涉及专机专用耗材、试剂、易损件等，提供不涉及专机专用耗材、试剂及易损件的声明函。</w:t>
            </w:r>
          </w:p>
          <w:p w14:paraId="68C61D8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投标人同意采购人以任何形式对其投标文件内容及采购人认为有必要的相关资料的真实性和有效性进行审查、验证。</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066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688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4623CFE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7B8B2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8DDBBB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E446F7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937730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382D41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7AC7DA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27585A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70B302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A9FE8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2E6C73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E7B5B7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7924D8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DC528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B6FB5E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145A2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5E905E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FA7F74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11C2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162268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53CB1D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3E7EC0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AA049A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8117B3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44C1A87">
      <w:pPr>
        <w:spacing w:line="440" w:lineRule="exact"/>
        <w:ind w:firstLine="420" w:firstLineChars="0"/>
        <w:rPr>
          <w:rStyle w:val="19"/>
          <w:rFonts w:hint="default" w:ascii="Times New Roman" w:hAnsi="宋体" w:eastAsia="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十二、售后服务承诺</w:t>
      </w:r>
      <w:r>
        <w:rPr>
          <w:rStyle w:val="19"/>
          <w:rFonts w:hint="eastAsia" w:ascii="Times New Roman" w:hAnsi="宋体" w:eastAsia="宋体" w:cs="宋体"/>
          <w:b/>
          <w:bCs/>
          <w:color w:val="auto"/>
          <w:kern w:val="2"/>
          <w:sz w:val="21"/>
          <w:szCs w:val="21"/>
          <w:lang w:val="en-US" w:eastAsia="zh-CN"/>
        </w:rPr>
        <w:t>（★2.2中标供应商须提供设备原厂质保（设备原厂质量保修范围和保修期）至少为  3  年。）</w:t>
      </w:r>
    </w:p>
    <w:p w14:paraId="5E86F5D4">
      <w:pPr>
        <w:spacing w:line="440" w:lineRule="exact"/>
        <w:ind w:firstLine="420" w:firstLineChars="0"/>
        <w:rPr>
          <w:rStyle w:val="19"/>
          <w:rFonts w:hint="default" w:ascii="Times New Roman" w:hAnsi="宋体" w:eastAsia="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F089FBC">
      <w:pPr>
        <w:pStyle w:val="18"/>
        <w:numPr>
          <w:ilvl w:val="0"/>
          <w:numId w:val="0"/>
        </w:numPr>
        <w:ind w:leftChars="0"/>
        <w:rPr>
          <w:rStyle w:val="19"/>
          <w:rFonts w:hint="eastAsia" w:hAnsi="宋体" w:cs="宋体" w:asciiTheme="minorHAnsi"/>
          <w:b/>
          <w:bCs/>
          <w:color w:val="auto"/>
          <w:kern w:val="2"/>
          <w:sz w:val="21"/>
          <w:szCs w:val="21"/>
          <w:lang w:val="en-US" w:eastAsia="zh-CN"/>
        </w:rPr>
      </w:pPr>
    </w:p>
    <w:p w14:paraId="376BECBB">
      <w:pPr>
        <w:pStyle w:val="18"/>
        <w:numPr>
          <w:ilvl w:val="0"/>
          <w:numId w:val="0"/>
        </w:numPr>
        <w:ind w:leftChars="0"/>
        <w:rPr>
          <w:rStyle w:val="19"/>
          <w:rFonts w:hint="eastAsia" w:hAnsi="宋体" w:cs="宋体" w:asciiTheme="minorHAnsi"/>
          <w:b/>
          <w:bCs/>
          <w:color w:val="auto"/>
          <w:kern w:val="2"/>
          <w:sz w:val="21"/>
          <w:szCs w:val="21"/>
          <w:lang w:val="en-US" w:eastAsia="zh-CN"/>
        </w:rPr>
      </w:pPr>
    </w:p>
    <w:p w14:paraId="38BDFA11">
      <w:pPr>
        <w:pStyle w:val="18"/>
        <w:numPr>
          <w:ilvl w:val="0"/>
          <w:numId w:val="0"/>
        </w:numPr>
        <w:ind w:leftChars="0"/>
        <w:rPr>
          <w:rStyle w:val="19"/>
          <w:rFonts w:hint="eastAsia" w:hAnsi="宋体" w:cs="宋体" w:asciiTheme="minorHAnsi"/>
          <w:b/>
          <w:bCs/>
          <w:color w:val="auto"/>
          <w:kern w:val="2"/>
          <w:sz w:val="21"/>
          <w:szCs w:val="21"/>
          <w:lang w:val="en-US" w:eastAsia="zh-CN"/>
        </w:rPr>
      </w:pPr>
    </w:p>
    <w:p w14:paraId="4EA5600C">
      <w:pPr>
        <w:pStyle w:val="18"/>
        <w:numPr>
          <w:ilvl w:val="0"/>
          <w:numId w:val="0"/>
        </w:numPr>
        <w:ind w:leftChars="0"/>
        <w:rPr>
          <w:rStyle w:val="19"/>
          <w:rFonts w:hint="eastAsia" w:hAnsi="宋体" w:cs="宋体" w:asciiTheme="minorHAnsi"/>
          <w:b/>
          <w:bCs/>
          <w:color w:val="auto"/>
          <w:kern w:val="2"/>
          <w:sz w:val="21"/>
          <w:szCs w:val="21"/>
          <w:lang w:val="en-US" w:eastAsia="zh-CN"/>
        </w:rPr>
      </w:pPr>
    </w:p>
    <w:p w14:paraId="0C546999">
      <w:pPr>
        <w:pStyle w:val="18"/>
        <w:numPr>
          <w:ilvl w:val="0"/>
          <w:numId w:val="0"/>
        </w:numPr>
        <w:ind w:leftChars="0"/>
        <w:rPr>
          <w:rStyle w:val="19"/>
          <w:rFonts w:hint="eastAsia" w:hAnsi="宋体" w:cs="宋体" w:asciiTheme="minorHAnsi"/>
          <w:b/>
          <w:bCs/>
          <w:color w:val="auto"/>
          <w:kern w:val="2"/>
          <w:sz w:val="21"/>
          <w:szCs w:val="21"/>
          <w:lang w:val="en-US" w:eastAsia="zh-CN"/>
        </w:rPr>
      </w:pPr>
    </w:p>
    <w:p w14:paraId="5862514A">
      <w:pPr>
        <w:pStyle w:val="18"/>
        <w:numPr>
          <w:ilvl w:val="0"/>
          <w:numId w:val="0"/>
        </w:numPr>
        <w:ind w:leftChars="0"/>
        <w:rPr>
          <w:rStyle w:val="19"/>
          <w:rFonts w:hint="eastAsia" w:hAnsi="宋体" w:cs="宋体" w:asciiTheme="minorHAnsi"/>
          <w:b/>
          <w:bCs/>
          <w:color w:val="auto"/>
          <w:kern w:val="2"/>
          <w:sz w:val="21"/>
          <w:szCs w:val="21"/>
          <w:lang w:val="en-US" w:eastAsia="zh-CN"/>
        </w:rPr>
      </w:pPr>
    </w:p>
    <w:p w14:paraId="2A5E05B8">
      <w:pPr>
        <w:pStyle w:val="18"/>
        <w:numPr>
          <w:ilvl w:val="0"/>
          <w:numId w:val="0"/>
        </w:numPr>
        <w:ind w:leftChars="0"/>
        <w:rPr>
          <w:rStyle w:val="19"/>
          <w:rFonts w:hint="eastAsia" w:hAnsi="宋体" w:cs="宋体" w:asciiTheme="minorHAnsi"/>
          <w:b/>
          <w:bCs/>
          <w:color w:val="auto"/>
          <w:kern w:val="2"/>
          <w:sz w:val="21"/>
          <w:szCs w:val="21"/>
          <w:lang w:val="en-US" w:eastAsia="zh-CN"/>
        </w:rPr>
      </w:pPr>
    </w:p>
    <w:p w14:paraId="289EF2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4C2764">
      <w:pPr>
        <w:pStyle w:val="18"/>
        <w:numPr>
          <w:ilvl w:val="0"/>
          <w:numId w:val="0"/>
        </w:numPr>
        <w:ind w:leftChars="0"/>
        <w:rPr>
          <w:rStyle w:val="19"/>
          <w:rFonts w:hint="eastAsia" w:hAnsi="宋体" w:cs="宋体" w:asciiTheme="minorHAnsi"/>
          <w:b/>
          <w:bCs/>
          <w:color w:val="auto"/>
          <w:kern w:val="2"/>
          <w:sz w:val="21"/>
          <w:szCs w:val="21"/>
          <w:lang w:val="en-US" w:eastAsia="zh-CN"/>
        </w:rPr>
      </w:pPr>
    </w:p>
    <w:p w14:paraId="2D95AE40">
      <w:pPr>
        <w:pStyle w:val="18"/>
        <w:numPr>
          <w:ilvl w:val="0"/>
          <w:numId w:val="0"/>
        </w:numPr>
        <w:ind w:leftChars="0"/>
        <w:rPr>
          <w:rStyle w:val="19"/>
          <w:rFonts w:hint="eastAsia" w:hAnsi="宋体" w:cs="宋体" w:asciiTheme="minorHAnsi"/>
          <w:b/>
          <w:bCs/>
          <w:color w:val="auto"/>
          <w:kern w:val="2"/>
          <w:sz w:val="21"/>
          <w:szCs w:val="21"/>
          <w:lang w:val="en-US" w:eastAsia="zh-CN"/>
        </w:rPr>
      </w:pPr>
    </w:p>
    <w:p w14:paraId="7A30CD32">
      <w:pPr>
        <w:pStyle w:val="18"/>
        <w:numPr>
          <w:ilvl w:val="0"/>
          <w:numId w:val="0"/>
        </w:numPr>
        <w:ind w:leftChars="0"/>
        <w:rPr>
          <w:rStyle w:val="19"/>
          <w:rFonts w:hint="eastAsia" w:hAnsi="宋体" w:cs="宋体" w:asciiTheme="minorHAnsi"/>
          <w:b/>
          <w:bCs/>
          <w:color w:val="auto"/>
          <w:kern w:val="2"/>
          <w:sz w:val="21"/>
          <w:szCs w:val="21"/>
          <w:lang w:val="en-US" w:eastAsia="zh-CN"/>
        </w:rPr>
      </w:pPr>
    </w:p>
    <w:p w14:paraId="55D8456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C90BCE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E955168">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777175">
      <w:pPr>
        <w:pStyle w:val="18"/>
        <w:numPr>
          <w:ilvl w:val="0"/>
          <w:numId w:val="0"/>
        </w:numPr>
        <w:ind w:leftChars="0"/>
        <w:rPr>
          <w:rStyle w:val="19"/>
          <w:rFonts w:hint="eastAsia" w:hAnsi="宋体" w:cs="宋体" w:asciiTheme="minorHAnsi"/>
          <w:b/>
          <w:bCs/>
          <w:color w:val="auto"/>
          <w:kern w:val="2"/>
          <w:sz w:val="21"/>
          <w:szCs w:val="21"/>
          <w:lang w:val="en-US" w:eastAsia="zh-CN"/>
        </w:rPr>
      </w:pPr>
    </w:p>
    <w:p w14:paraId="7E42B699">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809DBD">
      <w:pPr>
        <w:pStyle w:val="18"/>
        <w:numPr>
          <w:ilvl w:val="0"/>
          <w:numId w:val="0"/>
        </w:numPr>
        <w:ind w:leftChars="0"/>
        <w:rPr>
          <w:rStyle w:val="19"/>
          <w:rFonts w:hint="eastAsia" w:hAnsi="宋体" w:cs="宋体" w:asciiTheme="minorHAnsi"/>
          <w:b/>
          <w:bCs/>
          <w:color w:val="auto"/>
          <w:kern w:val="2"/>
          <w:sz w:val="21"/>
          <w:szCs w:val="21"/>
          <w:lang w:val="en-US" w:eastAsia="zh-CN"/>
        </w:rPr>
      </w:pPr>
    </w:p>
    <w:p w14:paraId="69B8376E">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B3868D">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6"/>
        <w:spacing w:line="360" w:lineRule="auto"/>
        <w:jc w:val="center"/>
        <w:rPr>
          <w:rFonts w:hint="eastAsia" w:ascii="宋体" w:hAnsi="宋体" w:eastAsia="宋体" w:cs="宋体"/>
        </w:rPr>
      </w:pPr>
    </w:p>
    <w:p w14:paraId="10B18D41">
      <w:pPr>
        <w:pStyle w:val="6"/>
        <w:spacing w:line="360" w:lineRule="auto"/>
        <w:jc w:val="center"/>
        <w:rPr>
          <w:rFonts w:hint="eastAsia" w:ascii="宋体" w:hAnsi="宋体" w:eastAsia="宋体" w:cs="宋体"/>
        </w:rPr>
      </w:pPr>
    </w:p>
    <w:p w14:paraId="0CC13FA1">
      <w:pPr>
        <w:pStyle w:val="6"/>
        <w:spacing w:line="360" w:lineRule="auto"/>
        <w:jc w:val="center"/>
        <w:rPr>
          <w:rFonts w:hint="eastAsia" w:ascii="宋体" w:hAnsi="宋体" w:eastAsia="宋体" w:cs="宋体"/>
        </w:rPr>
      </w:pPr>
    </w:p>
    <w:p w14:paraId="09EE7C41">
      <w:pPr>
        <w:pStyle w:val="6"/>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9"/>
          <w:rFonts w:hint="eastAsia" w:ascii="宋体" w:hAnsi="宋体" w:eastAsia="宋体" w:cs="宋体"/>
          <w:b/>
          <w:bCs/>
          <w:sz w:val="21"/>
          <w:szCs w:val="21"/>
          <w:lang w:val="en-US" w:eastAsia="zh-CN"/>
        </w:rPr>
      </w:pPr>
    </w:p>
    <w:p w14:paraId="04E19955">
      <w:pPr>
        <w:pStyle w:val="18"/>
        <w:numPr>
          <w:ilvl w:val="0"/>
          <w:numId w:val="0"/>
        </w:numPr>
        <w:ind w:leftChars="0"/>
        <w:rPr>
          <w:rStyle w:val="19"/>
          <w:rFonts w:hint="eastAsia" w:hAnsi="宋体" w:eastAsia="宋体" w:cs="宋体" w:asciiTheme="minorHAnsi"/>
          <w:b/>
          <w:bCs/>
          <w:color w:val="auto"/>
          <w:kern w:val="2"/>
          <w:sz w:val="21"/>
          <w:szCs w:val="21"/>
          <w:lang w:val="zh-TW" w:eastAsia="zh-TW"/>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四</w:t>
      </w:r>
      <w:r>
        <w:rPr>
          <w:rStyle w:val="19"/>
          <w:rFonts w:hint="eastAsia" w:hAnsi="宋体" w:eastAsia="宋体" w:cs="宋体" w:asciiTheme="minorHAnsi"/>
          <w:b/>
          <w:bCs/>
          <w:color w:val="auto"/>
          <w:kern w:val="2"/>
          <w:sz w:val="21"/>
          <w:szCs w:val="21"/>
          <w:lang w:val="zh-TW" w:eastAsia="zh-TW"/>
        </w:rPr>
        <w:t>、报价单</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w:t>
      </w:r>
      <w:bookmarkStart w:id="17" w:name="_GoBack"/>
      <w:bookmarkEnd w:id="17"/>
    </w:p>
    <w:tbl>
      <w:tblPr>
        <w:tblStyle w:val="1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themeColor="text1"/>
                <w:sz w:val="24"/>
                <w14:textFill>
                  <w14:solidFill>
                    <w14:schemeClr w14:val="tx1"/>
                  </w14:solidFill>
                </w14:textFill>
              </w:rPr>
              <w:t>全自动免散瞳眼底照相仪</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1</w:t>
            </w:r>
          </w:p>
        </w:tc>
        <w:tc>
          <w:tcPr>
            <w:tcW w:w="1001"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4EA9A440">
      <w:pPr>
        <w:spacing w:line="360" w:lineRule="auto"/>
        <w:jc w:val="left"/>
        <w:rPr>
          <w:rFonts w:hint="eastAsia" w:ascii="宋体" w:hAnsi="宋体" w:eastAsia="宋体" w:cs="宋体"/>
          <w:sz w:val="24"/>
          <w:szCs w:val="24"/>
          <w:u w:val="none"/>
          <w:lang w:val="en-US" w:eastAsia="zh-CN"/>
        </w:rPr>
      </w:pPr>
    </w:p>
    <w:p w14:paraId="70CD024B">
      <w:pPr>
        <w:pStyle w:val="8"/>
        <w:ind w:left="0" w:leftChars="0" w:firstLine="0" w:firstLineChars="0"/>
        <w:rPr>
          <w:rFonts w:hint="eastAsia"/>
          <w:lang w:val="en-US" w:eastAsia="zh-CN"/>
        </w:rPr>
      </w:pPr>
    </w:p>
    <w:p w14:paraId="7781B77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五</w:t>
      </w:r>
      <w:r>
        <w:rPr>
          <w:rStyle w:val="19"/>
          <w:rFonts w:hint="eastAsia" w:hAnsi="宋体" w:eastAsia="宋体" w:cs="宋体" w:asciiTheme="minorHAnsi"/>
          <w:b/>
          <w:bCs/>
          <w:color w:val="auto"/>
          <w:kern w:val="2"/>
          <w:sz w:val="21"/>
          <w:szCs w:val="21"/>
          <w:lang w:val="zh-TW" w:eastAsia="zh-TW"/>
        </w:rPr>
        <w:t>、</w:t>
      </w:r>
      <w:r>
        <w:rPr>
          <w:rStyle w:val="19"/>
          <w:rFonts w:hint="eastAsia" w:hAnsi="宋体" w:eastAsia="宋体" w:cs="宋体" w:asciiTheme="minorHAnsi"/>
          <w:b/>
          <w:bCs/>
          <w:color w:val="auto"/>
          <w:kern w:val="2"/>
          <w:sz w:val="21"/>
          <w:szCs w:val="21"/>
          <w:lang w:val="en-US" w:eastAsia="zh-CN"/>
        </w:rPr>
        <w:t>配置清单</w:t>
      </w:r>
    </w:p>
    <w:p w14:paraId="655C25F8">
      <w:pPr>
        <w:pStyle w:val="6"/>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DD5AE0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十六、：医用耗材报价表</w:t>
      </w:r>
    </w:p>
    <w:p w14:paraId="5C1B260F">
      <w:pPr>
        <w:bidi w:val="0"/>
        <w:jc w:val="left"/>
        <w:rPr>
          <w:rFonts w:hint="default" w:ascii="宋体" w:hAnsi="宋体" w:eastAsia="宋体" w:cs="宋体"/>
          <w:b/>
          <w:color w:val="000000" w:themeColor="text1"/>
          <w:sz w:val="28"/>
          <w:szCs w:val="28"/>
          <w:lang w:val="en-US" w:eastAsia="zh-CN"/>
          <w14:textFill>
            <w14:solidFill>
              <w14:schemeClr w14:val="tx1"/>
            </w14:solidFill>
          </w14:textFill>
        </w:rPr>
      </w:pPr>
    </w:p>
    <w:p w14:paraId="5A8F746B">
      <w:pPr>
        <w:numPr>
          <w:ilvl w:val="0"/>
          <w:numId w:val="0"/>
        </w:numPr>
        <w:tabs>
          <w:tab w:val="left" w:pos="780"/>
        </w:tabs>
        <w:spacing w:line="360" w:lineRule="exact"/>
        <w:ind w:firstLine="3092" w:firstLineChars="1100"/>
        <w:jc w:val="both"/>
        <w:rPr>
          <w:rFonts w:hint="default" w:ascii="楷体_GB2312" w:hAnsi="楷体_GB2312" w:eastAsia="楷体_GB2312" w:cs="楷体_GB2312"/>
          <w:b/>
          <w:sz w:val="28"/>
          <w:szCs w:val="28"/>
          <w:u w:val="single"/>
          <w:lang w:val="en-US" w:eastAsia="zh-CN"/>
        </w:rPr>
      </w:pPr>
      <w:r>
        <w:rPr>
          <w:rFonts w:hint="eastAsia" w:ascii="楷体_GB2312" w:hAnsi="楷体_GB2312" w:eastAsia="楷体_GB2312" w:cs="楷体_GB2312"/>
          <w:b/>
          <w:sz w:val="28"/>
          <w:szCs w:val="28"/>
          <w:u w:val="single"/>
          <w:lang w:val="en-US" w:eastAsia="zh-CN"/>
        </w:rPr>
        <w:t>医用耗材报价表</w:t>
      </w:r>
    </w:p>
    <w:tbl>
      <w:tblPr>
        <w:tblStyle w:val="14"/>
        <w:tblpPr w:leftFromText="180" w:rightFromText="180" w:vertAnchor="text" w:horzAnchor="page" w:tblpX="1124" w:tblpY="411"/>
        <w:tblOverlap w:val="never"/>
        <w:tblW w:w="9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8"/>
        <w:gridCol w:w="1110"/>
        <w:gridCol w:w="669"/>
        <w:gridCol w:w="1343"/>
        <w:gridCol w:w="891"/>
        <w:gridCol w:w="609"/>
        <w:gridCol w:w="858"/>
        <w:gridCol w:w="512"/>
        <w:gridCol w:w="820"/>
        <w:gridCol w:w="890"/>
        <w:gridCol w:w="932"/>
        <w:gridCol w:w="673"/>
      </w:tblGrid>
      <w:tr w14:paraId="0F06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3"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26F02BB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4C53F9E4">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国家医保医用耗材编码（27位）</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C40B72E">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药交ID</w:t>
            </w: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626C778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耗材/试剂中文名称</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3108C5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型号/规格</w:t>
            </w: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011A9DD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生产企业</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6D1281BC">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产品注册证</w:t>
            </w: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53C83AF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16BCFAB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FF"/>
                <w:kern w:val="0"/>
                <w:sz w:val="21"/>
                <w:szCs w:val="21"/>
                <w:u w:val="none"/>
                <w:lang w:val="en-US" w:eastAsia="zh-CN" w:bidi="ar"/>
              </w:rPr>
              <w:t>线上</w:t>
            </w:r>
            <w:r>
              <w:rPr>
                <w:rFonts w:hint="eastAsia" w:ascii="宋体" w:hAnsi="宋体" w:eastAsia="宋体" w:cs="宋体"/>
                <w:b/>
                <w:bCs/>
                <w:i w:val="0"/>
                <w:iCs w:val="0"/>
                <w:color w:val="000000"/>
                <w:kern w:val="0"/>
                <w:sz w:val="21"/>
                <w:szCs w:val="21"/>
                <w:u w:val="none"/>
                <w:lang w:val="en-US" w:eastAsia="zh-CN" w:bidi="ar"/>
              </w:rPr>
              <w:t>限价（元）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A1A7F29">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FF"/>
                <w:kern w:val="0"/>
                <w:sz w:val="21"/>
                <w:szCs w:val="21"/>
                <w:u w:val="none"/>
                <w:lang w:val="en-US" w:eastAsia="zh-CN" w:bidi="ar"/>
              </w:rPr>
              <w:t>线下</w:t>
            </w:r>
            <w:r>
              <w:rPr>
                <w:rFonts w:hint="eastAsia" w:ascii="宋体" w:hAnsi="宋体" w:eastAsia="宋体" w:cs="宋体"/>
                <w:b/>
                <w:bCs/>
                <w:i w:val="0"/>
                <w:iCs w:val="0"/>
                <w:color w:val="000000"/>
                <w:kern w:val="0"/>
                <w:sz w:val="21"/>
                <w:szCs w:val="21"/>
                <w:u w:val="none"/>
                <w:lang w:val="en-US" w:eastAsia="zh-CN" w:bidi="ar"/>
              </w:rPr>
              <w:t>供货单价（元）</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C6CD72D">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rPr>
            </w:pPr>
            <w:r>
              <w:rPr>
                <w:rFonts w:hint="eastAsia" w:ascii="宋体" w:hAnsi="宋体" w:cs="宋体"/>
                <w:b/>
                <w:bCs/>
                <w:i w:val="0"/>
                <w:iCs w:val="0"/>
                <w:color w:val="000000"/>
                <w:kern w:val="0"/>
                <w:sz w:val="21"/>
                <w:szCs w:val="21"/>
                <w:u w:val="none"/>
                <w:lang w:val="en-US" w:eastAsia="zh-CN" w:bidi="ar"/>
              </w:rPr>
              <w:t>耗材类别：</w:t>
            </w:r>
            <w:r>
              <w:rPr>
                <w:rFonts w:hint="eastAsia" w:ascii="宋体" w:hAnsi="宋体" w:cs="宋体"/>
                <w:b/>
                <w:bCs/>
                <w:i w:val="0"/>
                <w:iCs w:val="0"/>
                <w:color w:val="0000FF"/>
                <w:kern w:val="0"/>
                <w:sz w:val="21"/>
                <w:szCs w:val="21"/>
                <w:u w:val="none"/>
                <w:lang w:val="en-US" w:eastAsia="zh-CN" w:bidi="ar"/>
              </w:rPr>
              <w:t>通用/专机</w:t>
            </w: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27A85061">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备注</w:t>
            </w:r>
          </w:p>
        </w:tc>
      </w:tr>
      <w:tr w14:paraId="3C078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07FF866F">
            <w:pPr>
              <w:jc w:val="center"/>
              <w:rPr>
                <w:rFonts w:hint="eastAsia" w:ascii="宋体" w:hAnsi="宋体" w:eastAsia="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1</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558BBB3A">
            <w:pPr>
              <w:jc w:val="center"/>
              <w:rPr>
                <w:rFonts w:hint="eastAsia" w:ascii="宋体" w:hAnsi="宋体" w:eastAsia="宋体" w:cs="宋体"/>
                <w:b/>
                <w:bCs/>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9EDA8B9">
            <w:pPr>
              <w:jc w:val="center"/>
              <w:rPr>
                <w:rFonts w:hint="eastAsia" w:ascii="宋体" w:hAnsi="宋体" w:eastAsia="宋体" w:cs="宋体"/>
                <w:b/>
                <w:bCs/>
                <w:i w:val="0"/>
                <w:iCs w:val="0"/>
                <w:color w:val="000000"/>
                <w:sz w:val="21"/>
                <w:szCs w:val="21"/>
                <w:u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BAF8905">
            <w:pPr>
              <w:jc w:val="center"/>
              <w:rPr>
                <w:rFonts w:hint="eastAsia" w:ascii="宋体" w:hAnsi="宋体" w:eastAsia="宋体" w:cs="宋体"/>
                <w:b/>
                <w:bCs/>
                <w:i w:val="0"/>
                <w:iCs w:val="0"/>
                <w:color w:val="000000"/>
                <w:sz w:val="21"/>
                <w:szCs w:val="21"/>
                <w:u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0AF7C1FC">
            <w:pPr>
              <w:jc w:val="center"/>
              <w:rPr>
                <w:rFonts w:hint="eastAsia" w:ascii="宋体" w:hAnsi="宋体" w:eastAsia="宋体" w:cs="宋体"/>
                <w:b/>
                <w:bCs/>
                <w:i w:val="0"/>
                <w:iCs w:val="0"/>
                <w:color w:val="000000"/>
                <w:sz w:val="21"/>
                <w:szCs w:val="21"/>
                <w:u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2ACF5038">
            <w:pPr>
              <w:jc w:val="center"/>
              <w:rPr>
                <w:rFonts w:hint="eastAsia" w:ascii="宋体" w:hAnsi="宋体" w:eastAsia="宋体" w:cs="宋体"/>
                <w:b/>
                <w:bCs/>
                <w:i w:val="0"/>
                <w:iCs w:val="0"/>
                <w:color w:val="000000"/>
                <w:sz w:val="21"/>
                <w:szCs w:val="21"/>
                <w:u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2D790E4A">
            <w:pPr>
              <w:jc w:val="center"/>
              <w:rPr>
                <w:rFonts w:hint="eastAsia" w:ascii="宋体" w:hAnsi="宋体" w:eastAsia="宋体" w:cs="宋体"/>
                <w:b/>
                <w:bCs/>
                <w:i w:val="0"/>
                <w:iCs w:val="0"/>
                <w:color w:val="000000"/>
                <w:sz w:val="21"/>
                <w:szCs w:val="21"/>
                <w:u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10728AF9">
            <w:pPr>
              <w:jc w:val="center"/>
              <w:rPr>
                <w:rFonts w:hint="eastAsia" w:ascii="宋体" w:hAnsi="宋体" w:eastAsia="宋体" w:cs="宋体"/>
                <w:b/>
                <w:bCs/>
                <w:i w:val="0"/>
                <w:iCs w:val="0"/>
                <w:color w:val="000000"/>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764936B3">
            <w:pPr>
              <w:jc w:val="center"/>
              <w:rPr>
                <w:rFonts w:hint="eastAsia" w:ascii="宋体" w:hAnsi="宋体" w:eastAsia="宋体" w:cs="宋体"/>
                <w:b/>
                <w:bCs/>
                <w:i w:val="0"/>
                <w:iCs w:val="0"/>
                <w:color w:val="000000"/>
                <w:sz w:val="21"/>
                <w:szCs w:val="21"/>
                <w:u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03E8D51D">
            <w:pPr>
              <w:jc w:val="center"/>
              <w:rPr>
                <w:rFonts w:hint="eastAsia" w:ascii="宋体" w:hAnsi="宋体" w:eastAsia="宋体" w:cs="宋体"/>
                <w:b/>
                <w:bCs/>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307E7BC">
            <w:pPr>
              <w:jc w:val="center"/>
              <w:rPr>
                <w:rFonts w:hint="eastAsia" w:ascii="宋体" w:hAnsi="宋体" w:eastAsia="宋体" w:cs="宋体"/>
                <w:b/>
                <w:bCs/>
                <w:i w:val="0"/>
                <w:iCs w:val="0"/>
                <w:color w:val="000000"/>
                <w:sz w:val="21"/>
                <w:szCs w:val="21"/>
                <w:u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0B9C48CD">
            <w:pPr>
              <w:jc w:val="center"/>
              <w:rPr>
                <w:rFonts w:hint="eastAsia" w:ascii="宋体" w:hAnsi="宋体" w:eastAsia="宋体" w:cs="宋体"/>
                <w:b/>
                <w:bCs/>
                <w:i w:val="0"/>
                <w:iCs w:val="0"/>
                <w:color w:val="000000"/>
                <w:sz w:val="21"/>
                <w:szCs w:val="21"/>
                <w:u w:val="none"/>
              </w:rPr>
            </w:pPr>
          </w:p>
        </w:tc>
      </w:tr>
    </w:tbl>
    <w:p w14:paraId="6226F8FB">
      <w:pPr>
        <w:bidi w:val="0"/>
        <w:rPr>
          <w:rFonts w:hint="eastAsia" w:asciiTheme="minorHAnsi" w:hAnsiTheme="minorHAnsi" w:eastAsiaTheme="minorEastAsia" w:cstheme="minorBidi"/>
          <w:kern w:val="2"/>
          <w:sz w:val="21"/>
          <w:szCs w:val="22"/>
          <w:lang w:val="en-US" w:eastAsia="zh-CN" w:bidi="ar-SA"/>
        </w:rPr>
      </w:pPr>
    </w:p>
    <w:p w14:paraId="43828A4D">
      <w:pPr>
        <w:bidi w:val="0"/>
        <w:rPr>
          <w:rFonts w:hint="eastAsia"/>
          <w:lang w:val="en-US" w:eastAsia="zh-CN"/>
        </w:rPr>
      </w:pPr>
    </w:p>
    <w:p w14:paraId="2920B927">
      <w:pPr>
        <w:bidi w:val="0"/>
        <w:rPr>
          <w:rFonts w:hint="eastAsia"/>
          <w:lang w:val="en-US" w:eastAsia="zh-CN"/>
        </w:rPr>
      </w:pPr>
    </w:p>
    <w:p w14:paraId="6C0FB408">
      <w:pPr>
        <w:bidi w:val="0"/>
        <w:rPr>
          <w:rFonts w:hint="eastAsia"/>
          <w:lang w:val="en-US" w:eastAsia="zh-CN"/>
        </w:rPr>
      </w:pPr>
    </w:p>
    <w:p w14:paraId="3C66271E">
      <w:pPr>
        <w:bidi w:val="0"/>
        <w:rPr>
          <w:rFonts w:hint="eastAsia"/>
          <w:lang w:val="en-US" w:eastAsia="zh-CN"/>
        </w:rPr>
      </w:pPr>
    </w:p>
    <w:p w14:paraId="23D2217C">
      <w:pPr>
        <w:bidi w:val="0"/>
        <w:rPr>
          <w:rFonts w:hint="eastAsia"/>
          <w:lang w:val="en-US" w:eastAsia="zh-CN"/>
        </w:rPr>
      </w:pPr>
    </w:p>
    <w:p w14:paraId="01A2C6B6">
      <w:pPr>
        <w:bidi w:val="0"/>
        <w:rPr>
          <w:rFonts w:hint="eastAsia"/>
          <w:lang w:val="en-US" w:eastAsia="zh-CN"/>
        </w:rPr>
      </w:pPr>
    </w:p>
    <w:p w14:paraId="7F6FAE16">
      <w:pPr>
        <w:bidi w:val="0"/>
        <w:rPr>
          <w:rFonts w:hint="eastAsia"/>
          <w:lang w:val="en-US" w:eastAsia="zh-CN"/>
        </w:rPr>
      </w:pPr>
    </w:p>
    <w:p w14:paraId="16EC7219">
      <w:pPr>
        <w:bidi w:val="0"/>
        <w:rPr>
          <w:rFonts w:hint="eastAsia"/>
          <w:lang w:val="en-US" w:eastAsia="zh-CN"/>
        </w:rPr>
      </w:pPr>
    </w:p>
    <w:p w14:paraId="797F72E9">
      <w:pPr>
        <w:pStyle w:val="6"/>
        <w:rPr>
          <w:rFonts w:hint="eastAsia"/>
          <w:lang w:val="en-US" w:eastAsia="zh-CN"/>
        </w:rPr>
      </w:pPr>
    </w:p>
    <w:p w14:paraId="1843EA4C">
      <w:pPr>
        <w:pStyle w:val="6"/>
        <w:rPr>
          <w:rFonts w:hint="eastAsia"/>
          <w:lang w:val="en-US" w:eastAsia="zh-CN"/>
        </w:rPr>
      </w:pPr>
    </w:p>
    <w:p w14:paraId="5B4DBEB7">
      <w:pPr>
        <w:pStyle w:val="6"/>
        <w:rPr>
          <w:rFonts w:hint="eastAsia"/>
          <w:lang w:val="en-US" w:eastAsia="zh-CN"/>
        </w:rPr>
      </w:pPr>
    </w:p>
    <w:p w14:paraId="661295BD">
      <w:pPr>
        <w:pStyle w:val="6"/>
        <w:rPr>
          <w:rFonts w:hint="eastAsia"/>
          <w:lang w:val="en-US" w:eastAsia="zh-CN"/>
        </w:rPr>
      </w:pPr>
    </w:p>
    <w:p w14:paraId="48FDAD0A">
      <w:pPr>
        <w:bidi w:val="0"/>
        <w:rPr>
          <w:rFonts w:hint="eastAsia"/>
          <w:lang w:val="en-US" w:eastAsia="zh-CN"/>
        </w:rPr>
      </w:pPr>
    </w:p>
    <w:p w14:paraId="7924C684">
      <w:pPr>
        <w:bidi w:val="0"/>
        <w:rPr>
          <w:rFonts w:hint="eastAsia"/>
          <w:lang w:val="en-US" w:eastAsia="zh-CN"/>
        </w:rPr>
      </w:pPr>
    </w:p>
    <w:p w14:paraId="676CCB04">
      <w:pPr>
        <w:bidi w:val="0"/>
        <w:rPr>
          <w:rFonts w:hint="eastAsia"/>
          <w:lang w:val="en-US" w:eastAsia="zh-CN"/>
        </w:rPr>
      </w:pPr>
    </w:p>
    <w:p w14:paraId="45E1EC92">
      <w:pPr>
        <w:tabs>
          <w:tab w:val="left" w:pos="1760"/>
        </w:tabs>
        <w:bidi w:val="0"/>
        <w:jc w:val="left"/>
        <w:rPr>
          <w:rFonts w:hint="eastAsia"/>
          <w:lang w:val="en-US" w:eastAsia="zh-CN"/>
        </w:rPr>
      </w:pPr>
      <w:r>
        <w:rPr>
          <w:rFonts w:hint="eastAsia"/>
          <w:lang w:val="en-US" w:eastAsia="zh-CN"/>
        </w:rPr>
        <w:tab/>
      </w:r>
    </w:p>
    <w:p w14:paraId="463C8450">
      <w:pPr>
        <w:pStyle w:val="6"/>
        <w:rPr>
          <w:rFonts w:hint="eastAsia"/>
          <w:lang w:val="en-US" w:eastAsia="zh-CN"/>
        </w:rPr>
      </w:pPr>
    </w:p>
    <w:p w14:paraId="551D7D97">
      <w:pPr>
        <w:pStyle w:val="6"/>
        <w:rPr>
          <w:rFonts w:hint="eastAsia"/>
          <w:lang w:val="en-US" w:eastAsia="zh-CN"/>
        </w:rPr>
      </w:pPr>
    </w:p>
    <w:p w14:paraId="75B660E9">
      <w:pPr>
        <w:pStyle w:val="6"/>
        <w:rPr>
          <w:rFonts w:hint="eastAsia"/>
          <w:lang w:val="en-US" w:eastAsia="zh-CN"/>
        </w:rPr>
      </w:pPr>
    </w:p>
    <w:p w14:paraId="478F6AE2">
      <w:pPr>
        <w:pStyle w:val="6"/>
        <w:rPr>
          <w:rFonts w:hint="eastAsia"/>
          <w:lang w:val="en-US" w:eastAsia="zh-CN"/>
        </w:rPr>
      </w:pPr>
    </w:p>
    <w:p w14:paraId="1A17BC47">
      <w:pPr>
        <w:pStyle w:val="6"/>
        <w:rPr>
          <w:rFonts w:hint="eastAsia"/>
          <w:lang w:val="en-US" w:eastAsia="zh-CN"/>
        </w:rPr>
      </w:pPr>
    </w:p>
    <w:p w14:paraId="0825F423">
      <w:pPr>
        <w:pStyle w:val="6"/>
        <w:rPr>
          <w:rFonts w:hint="eastAsia"/>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9A9ACD6D"/>
    <w:multiLevelType w:val="singleLevel"/>
    <w:tmpl w:val="9A9ACD6D"/>
    <w:lvl w:ilvl="0" w:tentative="0">
      <w:start w:val="1"/>
      <w:numFmt w:val="chineseCounting"/>
      <w:lvlText w:val="(%1)"/>
      <w:lvlJc w:val="left"/>
      <w:pPr>
        <w:tabs>
          <w:tab w:val="left" w:pos="312"/>
        </w:tabs>
      </w:pPr>
      <w:rPr>
        <w:rFonts w:hint="eastAsia"/>
      </w:rPr>
    </w:lvl>
  </w:abstractNum>
  <w:abstractNum w:abstractNumId="2">
    <w:nsid w:val="07CE4D1B"/>
    <w:multiLevelType w:val="singleLevel"/>
    <w:tmpl w:val="07CE4D1B"/>
    <w:lvl w:ilvl="0" w:tentative="0">
      <w:start w:val="1"/>
      <w:numFmt w:val="decimal"/>
      <w:suff w:val="nothing"/>
      <w:lvlText w:val="%1、"/>
      <w:lvlJc w:val="left"/>
    </w:lvl>
  </w:abstractNum>
  <w:abstractNum w:abstractNumId="3">
    <w:nsid w:val="6FEF5E58"/>
    <w:multiLevelType w:val="singleLevel"/>
    <w:tmpl w:val="6FEF5E58"/>
    <w:lvl w:ilvl="0" w:tentative="0">
      <w:start w:val="1"/>
      <w:numFmt w:val="decimal"/>
      <w:lvlText w:val="%1."/>
      <w:lvlJc w:val="left"/>
      <w:pPr>
        <w:ind w:left="425" w:hanging="425"/>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4921DB"/>
    <w:rsid w:val="06744454"/>
    <w:rsid w:val="094D472E"/>
    <w:rsid w:val="095011A8"/>
    <w:rsid w:val="09D37DDB"/>
    <w:rsid w:val="0CA21D1B"/>
    <w:rsid w:val="0CCD43BF"/>
    <w:rsid w:val="0DFE0A99"/>
    <w:rsid w:val="1CF85987"/>
    <w:rsid w:val="1DB55626"/>
    <w:rsid w:val="1E840AC7"/>
    <w:rsid w:val="1F2945E3"/>
    <w:rsid w:val="1FE65AC0"/>
    <w:rsid w:val="20E33B6F"/>
    <w:rsid w:val="20FE31B4"/>
    <w:rsid w:val="235F3BE9"/>
    <w:rsid w:val="28DF6635"/>
    <w:rsid w:val="2ABC1895"/>
    <w:rsid w:val="2BB67139"/>
    <w:rsid w:val="2D0B7DAD"/>
    <w:rsid w:val="2D355601"/>
    <w:rsid w:val="2F0F75BD"/>
    <w:rsid w:val="319E422D"/>
    <w:rsid w:val="324E3C26"/>
    <w:rsid w:val="335464C2"/>
    <w:rsid w:val="347B2CCE"/>
    <w:rsid w:val="35124480"/>
    <w:rsid w:val="36E33B5E"/>
    <w:rsid w:val="3A0E226D"/>
    <w:rsid w:val="3E6B5D05"/>
    <w:rsid w:val="4354121F"/>
    <w:rsid w:val="43655275"/>
    <w:rsid w:val="44973488"/>
    <w:rsid w:val="490E789E"/>
    <w:rsid w:val="490F4F35"/>
    <w:rsid w:val="4AD477F4"/>
    <w:rsid w:val="4B7A033A"/>
    <w:rsid w:val="4CBE77A4"/>
    <w:rsid w:val="51600F69"/>
    <w:rsid w:val="53BC3594"/>
    <w:rsid w:val="576C719B"/>
    <w:rsid w:val="5C0E1B80"/>
    <w:rsid w:val="5D127D12"/>
    <w:rsid w:val="612D28B6"/>
    <w:rsid w:val="65DB14DF"/>
    <w:rsid w:val="68F16986"/>
    <w:rsid w:val="6A3B747A"/>
    <w:rsid w:val="6AE41641"/>
    <w:rsid w:val="6B4C6025"/>
    <w:rsid w:val="6BB6035B"/>
    <w:rsid w:val="6C561999"/>
    <w:rsid w:val="6E0F1C96"/>
    <w:rsid w:val="70922C0A"/>
    <w:rsid w:val="729F4282"/>
    <w:rsid w:val="72D245E7"/>
    <w:rsid w:val="761107C1"/>
    <w:rsid w:val="76BE71B6"/>
    <w:rsid w:val="79490272"/>
    <w:rsid w:val="79D14349"/>
    <w:rsid w:val="7A995229"/>
    <w:rsid w:val="7C270BB8"/>
    <w:rsid w:val="7C4A67DB"/>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annotation text"/>
    <w:basedOn w:val="1"/>
    <w:qFormat/>
    <w:uiPriority w:val="0"/>
    <w:pPr>
      <w:widowControl/>
      <w:jc w:val="left"/>
    </w:pPr>
    <w:rPr>
      <w:kern w:val="0"/>
      <w:szCs w:val="20"/>
    </w:rPr>
  </w:style>
  <w:style w:type="paragraph" w:styleId="6">
    <w:name w:val="Body Text"/>
    <w:basedOn w:val="1"/>
    <w:autoRedefine/>
    <w:qFormat/>
    <w:uiPriority w:val="99"/>
    <w:pPr>
      <w:spacing w:after="120"/>
    </w:p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footer"/>
    <w:basedOn w:val="1"/>
    <w:qFormat/>
    <w:uiPriority w:val="99"/>
    <w:pPr>
      <w:tabs>
        <w:tab w:val="center" w:pos="4153"/>
        <w:tab w:val="right" w:pos="8306"/>
      </w:tabs>
      <w:snapToGrid w:val="0"/>
      <w:jc w:val="left"/>
    </w:pPr>
    <w:rPr>
      <w:sz w:val="18"/>
    </w:rPr>
  </w:style>
  <w:style w:type="paragraph" w:styleId="12">
    <w:name w:val="Body Text First Indent"/>
    <w:basedOn w:val="6"/>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4931</Words>
  <Characters>5153</Characters>
  <Lines>0</Lines>
  <Paragraphs>0</Paragraphs>
  <TotalTime>1</TotalTime>
  <ScaleCrop>false</ScaleCrop>
  <LinksUpToDate>false</LinksUpToDate>
  <CharactersWithSpaces>5479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酸小敏</cp:lastModifiedBy>
  <dcterms:modified xsi:type="dcterms:W3CDTF">2026-07-21T08:04:50Z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eyJoZGlkIjoiZGVjYzc1YWE1ZDY5ZTBhMjhkOTc1M2MxMTMzMzJhMTAiLCJ1c2VySWQiOiIyNjc1OTg4MDkifQ==</vt:lpwstr>
  </property>
</Properties>
</file>