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06ECF1">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8"/>
          <w:szCs w:val="36"/>
          <w:lang w:val="en-US" w:eastAsia="zh-CN"/>
        </w:rPr>
      </w:pPr>
      <w:r>
        <w:rPr>
          <w:rFonts w:hint="eastAsia"/>
          <w:b/>
          <w:bCs/>
          <w:sz w:val="28"/>
          <w:szCs w:val="36"/>
          <w:lang w:val="en-US" w:eastAsia="zh-CN"/>
        </w:rPr>
        <w:t>附件一：项目评分表</w:t>
      </w:r>
    </w:p>
    <w:p w14:paraId="2586A621">
      <w:pPr>
        <w:keepNext w:val="0"/>
        <w:keepLines w:val="0"/>
        <w:pageBreakBefore w:val="0"/>
        <w:widowControl w:val="0"/>
        <w:kinsoku/>
        <w:wordWrap/>
        <w:overflowPunct/>
        <w:topLinePunct w:val="0"/>
        <w:autoSpaceDE/>
        <w:autoSpaceDN/>
        <w:bidi w:val="0"/>
        <w:adjustRightInd/>
        <w:snapToGrid/>
        <w:spacing w:after="157" w:afterLines="50" w:line="240" w:lineRule="exact"/>
        <w:jc w:val="center"/>
        <w:textAlignment w:val="auto"/>
        <w:rPr>
          <w:rFonts w:hint="default"/>
          <w:b/>
          <w:bCs/>
          <w:sz w:val="21"/>
          <w:szCs w:val="24"/>
          <w:lang w:val="en-US" w:eastAsia="zh-CN"/>
        </w:rPr>
      </w:pPr>
      <w:r>
        <w:rPr>
          <w:rFonts w:hint="eastAsia"/>
          <w:b/>
          <w:bCs/>
          <w:sz w:val="21"/>
          <w:szCs w:val="24"/>
          <w:lang w:val="en-US" w:eastAsia="zh-CN"/>
        </w:rPr>
        <w:t>（中山市东升医院综合能源托管技术咨询服务项目）</w:t>
      </w:r>
    </w:p>
    <w:tbl>
      <w:tblPr>
        <w:tblStyle w:val="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57" w:type="dxa"/>
          <w:left w:w="57" w:type="dxa"/>
          <w:bottom w:w="57" w:type="dxa"/>
          <w:right w:w="57" w:type="dxa"/>
        </w:tblCellMar>
      </w:tblPr>
      <w:tblGrid>
        <w:gridCol w:w="828"/>
        <w:gridCol w:w="1041"/>
        <w:gridCol w:w="878"/>
        <w:gridCol w:w="4585"/>
        <w:gridCol w:w="1091"/>
        <w:gridCol w:w="1018"/>
        <w:gridCol w:w="1011"/>
      </w:tblGrid>
      <w:tr w14:paraId="68774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7" w:type="dxa"/>
            <w:left w:w="57" w:type="dxa"/>
            <w:bottom w:w="57" w:type="dxa"/>
            <w:right w:w="57" w:type="dxa"/>
          </w:tblCellMar>
        </w:tblPrEx>
        <w:trPr>
          <w:cantSplit/>
          <w:trHeight w:val="23" w:hRule="atLeast"/>
          <w:tblHeader/>
        </w:trPr>
        <w:tc>
          <w:tcPr>
            <w:tcW w:w="396" w:type="pct"/>
            <w:vMerge w:val="restart"/>
            <w:tcBorders>
              <w:top w:val="single" w:color="000000" w:sz="4" w:space="0"/>
              <w:left w:val="single" w:color="000000" w:sz="4" w:space="0"/>
              <w:right w:val="single" w:color="000000" w:sz="4" w:space="0"/>
            </w:tcBorders>
            <w:shd w:val="clear" w:color="auto" w:fill="auto"/>
            <w:vAlign w:val="center"/>
          </w:tcPr>
          <w:p w14:paraId="1639F7DF">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bCs/>
                <w:sz w:val="18"/>
                <w:szCs w:val="18"/>
              </w:rPr>
            </w:pPr>
            <w:r>
              <w:rPr>
                <w:rFonts w:hint="eastAsia" w:ascii="宋体" w:hAnsi="宋体" w:eastAsia="宋体" w:cs="宋体"/>
                <w:b/>
                <w:bCs/>
                <w:sz w:val="18"/>
                <w:szCs w:val="18"/>
                <w:lang w:val="en-US" w:eastAsia="zh-CN"/>
              </w:rPr>
              <w:t>序号</w:t>
            </w:r>
          </w:p>
        </w:tc>
        <w:tc>
          <w:tcPr>
            <w:tcW w:w="3111"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CCEB7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总分值100分，商务技术部分分值70分，价格部分分值30分</w:t>
            </w:r>
          </w:p>
        </w:tc>
        <w:tc>
          <w:tcPr>
            <w:tcW w:w="1492" w:type="pct"/>
            <w:gridSpan w:val="3"/>
            <w:tcBorders>
              <w:top w:val="single" w:color="000000" w:sz="4" w:space="0"/>
              <w:left w:val="single" w:color="000000" w:sz="4" w:space="0"/>
              <w:bottom w:val="nil"/>
              <w:right w:val="single" w:color="000000" w:sz="4" w:space="0"/>
            </w:tcBorders>
            <w:shd w:val="clear" w:color="auto" w:fill="auto"/>
            <w:vAlign w:val="center"/>
          </w:tcPr>
          <w:p w14:paraId="52594D6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供应商名称</w:t>
            </w:r>
          </w:p>
        </w:tc>
      </w:tr>
      <w:tr w14:paraId="1EC5B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7" w:type="dxa"/>
            <w:left w:w="57" w:type="dxa"/>
            <w:bottom w:w="57" w:type="dxa"/>
            <w:right w:w="57" w:type="dxa"/>
          </w:tblCellMar>
        </w:tblPrEx>
        <w:trPr>
          <w:cantSplit/>
          <w:trHeight w:val="23" w:hRule="atLeast"/>
          <w:tblHeader/>
        </w:trPr>
        <w:tc>
          <w:tcPr>
            <w:tcW w:w="396" w:type="pct"/>
            <w:vMerge w:val="continue"/>
            <w:tcBorders>
              <w:left w:val="single" w:color="000000" w:sz="4" w:space="0"/>
              <w:bottom w:val="single" w:color="000000" w:sz="4" w:space="0"/>
              <w:right w:val="single" w:color="000000" w:sz="4" w:space="0"/>
            </w:tcBorders>
            <w:shd w:val="clear" w:color="auto" w:fill="auto"/>
            <w:vAlign w:val="center"/>
          </w:tcPr>
          <w:p w14:paraId="65D798B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bCs/>
                <w:kern w:val="2"/>
                <w:sz w:val="18"/>
                <w:szCs w:val="18"/>
                <w:lang w:val="en-US" w:eastAsia="zh-CN" w:bidi="ar-SA"/>
              </w:rPr>
            </w:pP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E212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bCs/>
                <w:kern w:val="2"/>
                <w:sz w:val="18"/>
                <w:szCs w:val="18"/>
                <w:lang w:val="en-US" w:eastAsia="zh-CN" w:bidi="ar-SA"/>
              </w:rPr>
            </w:pPr>
            <w:r>
              <w:rPr>
                <w:rFonts w:hint="eastAsia" w:ascii="宋体" w:hAnsi="宋体" w:eastAsia="宋体" w:cs="宋体"/>
                <w:b/>
                <w:bCs/>
                <w:sz w:val="18"/>
                <w:szCs w:val="18"/>
                <w:lang w:val="en-US" w:eastAsia="zh-CN"/>
              </w:rPr>
              <w:t>评审内容</w:t>
            </w:r>
          </w:p>
        </w:tc>
        <w:tc>
          <w:tcPr>
            <w:tcW w:w="420" w:type="pct"/>
            <w:tcBorders>
              <w:top w:val="single" w:color="000000" w:sz="4" w:space="0"/>
              <w:left w:val="single" w:color="000000" w:sz="4" w:space="0"/>
              <w:bottom w:val="nil"/>
              <w:right w:val="single" w:color="000000" w:sz="4" w:space="0"/>
            </w:tcBorders>
            <w:shd w:val="clear" w:color="auto" w:fill="auto"/>
            <w:vAlign w:val="center"/>
          </w:tcPr>
          <w:p w14:paraId="05AF57A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bCs/>
                <w:kern w:val="2"/>
                <w:sz w:val="18"/>
                <w:szCs w:val="18"/>
                <w:lang w:val="en-US" w:eastAsia="zh-CN" w:bidi="ar-SA"/>
              </w:rPr>
            </w:pPr>
            <w:r>
              <w:rPr>
                <w:rFonts w:hint="eastAsia" w:ascii="宋体" w:hAnsi="宋体" w:eastAsia="宋体" w:cs="宋体"/>
                <w:b/>
                <w:bCs/>
                <w:sz w:val="18"/>
                <w:szCs w:val="18"/>
                <w:lang w:val="en-US" w:eastAsia="zh-CN"/>
              </w:rPr>
              <w:t>分值</w:t>
            </w:r>
          </w:p>
        </w:tc>
        <w:tc>
          <w:tcPr>
            <w:tcW w:w="2192" w:type="pct"/>
            <w:tcBorders>
              <w:top w:val="single" w:color="000000" w:sz="4" w:space="0"/>
              <w:left w:val="single" w:color="000000" w:sz="4" w:space="0"/>
              <w:bottom w:val="nil"/>
              <w:right w:val="single" w:color="000000" w:sz="4" w:space="0"/>
            </w:tcBorders>
            <w:shd w:val="clear" w:color="auto" w:fill="auto"/>
            <w:vAlign w:val="center"/>
          </w:tcPr>
          <w:p w14:paraId="0A5B0EC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bCs/>
                <w:kern w:val="2"/>
                <w:sz w:val="18"/>
                <w:szCs w:val="18"/>
                <w:lang w:val="en-US" w:eastAsia="zh-CN" w:bidi="ar-SA"/>
              </w:rPr>
            </w:pPr>
            <w:r>
              <w:rPr>
                <w:rFonts w:hint="eastAsia" w:ascii="宋体" w:hAnsi="宋体" w:eastAsia="宋体" w:cs="宋体"/>
                <w:b/>
                <w:bCs/>
                <w:sz w:val="18"/>
                <w:szCs w:val="18"/>
                <w:lang w:val="en-US" w:eastAsia="zh-CN"/>
              </w:rPr>
              <w:t>评审因素</w:t>
            </w:r>
          </w:p>
        </w:tc>
        <w:tc>
          <w:tcPr>
            <w:tcW w:w="522" w:type="pct"/>
            <w:tcBorders>
              <w:top w:val="single" w:color="000000" w:sz="4" w:space="0"/>
              <w:left w:val="single" w:color="000000" w:sz="4" w:space="0"/>
              <w:bottom w:val="nil"/>
              <w:right w:val="single" w:color="000000" w:sz="4" w:space="0"/>
            </w:tcBorders>
            <w:shd w:val="clear" w:color="auto" w:fill="auto"/>
            <w:vAlign w:val="center"/>
          </w:tcPr>
          <w:p w14:paraId="67AA0A6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bCs/>
                <w:sz w:val="18"/>
                <w:szCs w:val="18"/>
                <w:lang w:val="en-US" w:eastAsia="zh-CN"/>
              </w:rPr>
            </w:pPr>
            <w:r>
              <w:rPr>
                <w:rFonts w:hint="eastAsia" w:ascii="宋体" w:hAnsi="宋体" w:eastAsia="宋体" w:cs="宋体"/>
                <w:b w:val="0"/>
                <w:bCs w:val="0"/>
                <w:sz w:val="18"/>
                <w:szCs w:val="18"/>
                <w:lang w:val="en-US" w:eastAsia="zh-CN"/>
              </w:rPr>
              <w:t>…</w:t>
            </w:r>
          </w:p>
        </w:tc>
        <w:tc>
          <w:tcPr>
            <w:tcW w:w="487" w:type="pct"/>
            <w:tcBorders>
              <w:top w:val="single" w:color="000000" w:sz="4" w:space="0"/>
              <w:left w:val="single" w:color="000000" w:sz="4" w:space="0"/>
              <w:bottom w:val="nil"/>
              <w:right w:val="single" w:color="000000" w:sz="4" w:space="0"/>
            </w:tcBorders>
            <w:shd w:val="clear" w:color="auto" w:fill="auto"/>
            <w:vAlign w:val="center"/>
          </w:tcPr>
          <w:p w14:paraId="317CFBB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w:t>
            </w:r>
          </w:p>
        </w:tc>
        <w:tc>
          <w:tcPr>
            <w:tcW w:w="481" w:type="pct"/>
            <w:tcBorders>
              <w:top w:val="single" w:color="000000" w:sz="4" w:space="0"/>
              <w:left w:val="single" w:color="000000" w:sz="4" w:space="0"/>
              <w:bottom w:val="nil"/>
              <w:right w:val="single" w:color="000000" w:sz="4" w:space="0"/>
            </w:tcBorders>
            <w:shd w:val="clear" w:color="auto" w:fill="auto"/>
            <w:vAlign w:val="center"/>
          </w:tcPr>
          <w:p w14:paraId="682220F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w:t>
            </w:r>
          </w:p>
        </w:tc>
      </w:tr>
      <w:tr w14:paraId="62928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7" w:type="dxa"/>
            <w:left w:w="57" w:type="dxa"/>
            <w:bottom w:w="57" w:type="dxa"/>
            <w:right w:w="57" w:type="dxa"/>
          </w:tblCellMar>
        </w:tblPrEx>
        <w:trPr>
          <w:cantSplit/>
          <w:trHeight w:val="23" w:hRule="atLeast"/>
          <w:tblHead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D1B34">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p>
        </w:tc>
        <w:tc>
          <w:tcPr>
            <w:tcW w:w="498" w:type="pct"/>
            <w:tcBorders>
              <w:top w:val="single" w:color="000000" w:sz="4" w:space="0"/>
              <w:left w:val="single" w:color="000000" w:sz="4" w:space="0"/>
              <w:bottom w:val="single" w:color="000000" w:sz="4" w:space="0"/>
              <w:right w:val="nil"/>
            </w:tcBorders>
            <w:shd w:val="clear" w:color="auto" w:fill="auto"/>
            <w:vAlign w:val="center"/>
          </w:tcPr>
          <w:p w14:paraId="7576BE6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项目响应程度，任务目标理解与需求分析</w:t>
            </w:r>
          </w:p>
        </w:tc>
        <w:tc>
          <w:tcPr>
            <w:tcW w:w="420" w:type="pct"/>
            <w:tcBorders>
              <w:top w:val="single" w:color="000000" w:sz="4" w:space="0"/>
              <w:left w:val="single" w:color="000000" w:sz="4" w:space="0"/>
              <w:bottom w:val="nil"/>
              <w:right w:val="single" w:color="000000" w:sz="4" w:space="0"/>
            </w:tcBorders>
            <w:shd w:val="clear" w:color="auto" w:fill="auto"/>
            <w:vAlign w:val="center"/>
          </w:tcPr>
          <w:p w14:paraId="768093B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6</w:t>
            </w:r>
          </w:p>
        </w:tc>
        <w:tc>
          <w:tcPr>
            <w:tcW w:w="2192" w:type="pct"/>
            <w:tcBorders>
              <w:top w:val="single" w:color="000000" w:sz="4" w:space="0"/>
              <w:left w:val="single" w:color="000000" w:sz="4" w:space="0"/>
              <w:bottom w:val="nil"/>
              <w:right w:val="single" w:color="000000" w:sz="4" w:space="0"/>
            </w:tcBorders>
            <w:shd w:val="clear" w:color="auto" w:fill="auto"/>
            <w:vAlign w:val="center"/>
          </w:tcPr>
          <w:p w14:paraId="2F02E92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根据各供应商对本项目的目标、任务、内容、要求的理解（包括但不限于项目基本概况、项目的需求调研情况和分析、服务内容及要求、对项目的重点难点分析及合理化建议等）进行综合评审：</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1.对项目的理解及认识充分、准确性强，重点、难点和关键点把握准确，经验总结完善清晰，提出的意见详细完整并切实可行的，得6分；</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2.对项目的理解及认识基本准确，重点、难点和关键点把握基本准确，经验总结完整合理，提出的意见具体、到位的，得4分；</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3.对项目的理解及认识的充分性、准确性有所欠缺，重点、难点和关键点把握有偏差，经验总结基本完整，提出的意见有一定实效的，得2分；</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4.对项目的理解及认识不充分，重点、难点和关键点把握不准确，缺乏完整的经验总结，提出的意见不具备可行性的，得1分；</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5.不提供或其他情形的，不得分。</w:t>
            </w:r>
          </w:p>
        </w:tc>
        <w:tc>
          <w:tcPr>
            <w:tcW w:w="522" w:type="pct"/>
            <w:tcBorders>
              <w:top w:val="single" w:color="000000" w:sz="4" w:space="0"/>
              <w:left w:val="single" w:color="000000" w:sz="4" w:space="0"/>
              <w:bottom w:val="nil"/>
              <w:right w:val="single" w:color="000000" w:sz="4" w:space="0"/>
            </w:tcBorders>
            <w:shd w:val="clear" w:color="auto" w:fill="auto"/>
            <w:vAlign w:val="center"/>
          </w:tcPr>
          <w:p w14:paraId="13F2C085">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c>
          <w:tcPr>
            <w:tcW w:w="487" w:type="pct"/>
            <w:tcBorders>
              <w:top w:val="single" w:color="000000" w:sz="4" w:space="0"/>
              <w:left w:val="single" w:color="000000" w:sz="4" w:space="0"/>
              <w:bottom w:val="nil"/>
              <w:right w:val="single" w:color="000000" w:sz="4" w:space="0"/>
            </w:tcBorders>
            <w:shd w:val="clear" w:color="auto" w:fill="auto"/>
            <w:vAlign w:val="center"/>
          </w:tcPr>
          <w:p w14:paraId="79EEDFC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c>
          <w:tcPr>
            <w:tcW w:w="481" w:type="pct"/>
            <w:tcBorders>
              <w:top w:val="single" w:color="000000" w:sz="4" w:space="0"/>
              <w:left w:val="single" w:color="000000" w:sz="4" w:space="0"/>
              <w:bottom w:val="nil"/>
              <w:right w:val="single" w:color="000000" w:sz="4" w:space="0"/>
            </w:tcBorders>
            <w:shd w:val="clear" w:color="auto" w:fill="auto"/>
            <w:vAlign w:val="center"/>
          </w:tcPr>
          <w:p w14:paraId="2829FED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r>
      <w:tr w14:paraId="2211E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7" w:type="dxa"/>
            <w:left w:w="57" w:type="dxa"/>
            <w:bottom w:w="57" w:type="dxa"/>
            <w:right w:w="57" w:type="dxa"/>
          </w:tblCellMar>
        </w:tblPrEx>
        <w:trPr>
          <w:cantSplit/>
          <w:trHeight w:val="23" w:hRule="atLeast"/>
          <w:tblHead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31BF7">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p>
        </w:tc>
        <w:tc>
          <w:tcPr>
            <w:tcW w:w="498" w:type="pct"/>
            <w:tcBorders>
              <w:top w:val="single" w:color="000000" w:sz="4" w:space="0"/>
              <w:left w:val="single" w:color="000000" w:sz="4" w:space="0"/>
              <w:bottom w:val="single" w:color="000000" w:sz="4" w:space="0"/>
              <w:right w:val="nil"/>
            </w:tcBorders>
            <w:shd w:val="clear" w:color="auto" w:fill="auto"/>
            <w:vAlign w:val="center"/>
          </w:tcPr>
          <w:p w14:paraId="2CBF1F4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项目组织实施方案</w:t>
            </w:r>
          </w:p>
        </w:tc>
        <w:tc>
          <w:tcPr>
            <w:tcW w:w="420" w:type="pct"/>
            <w:tcBorders>
              <w:top w:val="single" w:color="000000" w:sz="4" w:space="0"/>
              <w:left w:val="single" w:color="000000" w:sz="4" w:space="0"/>
              <w:bottom w:val="nil"/>
              <w:right w:val="single" w:color="000000" w:sz="4" w:space="0"/>
            </w:tcBorders>
            <w:shd w:val="clear" w:color="auto" w:fill="auto"/>
            <w:vAlign w:val="center"/>
          </w:tcPr>
          <w:p w14:paraId="1C2CAA7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10</w:t>
            </w:r>
          </w:p>
        </w:tc>
        <w:tc>
          <w:tcPr>
            <w:tcW w:w="2192" w:type="pct"/>
            <w:tcBorders>
              <w:top w:val="single" w:color="000000" w:sz="4" w:space="0"/>
              <w:left w:val="single" w:color="000000" w:sz="4" w:space="0"/>
              <w:bottom w:val="nil"/>
              <w:right w:val="single" w:color="000000" w:sz="4" w:space="0"/>
            </w:tcBorders>
            <w:shd w:val="clear" w:color="auto" w:fill="auto"/>
            <w:vAlign w:val="center"/>
          </w:tcPr>
          <w:p w14:paraId="6FE834D1">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 xml:space="preserve">根据供应商提供的项目组织实施方案（包含但不限于前期准备工作、组织论证能力、专家的专业水平、沟通协调能力等）进行评审： </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1.方案具体详细，针对性强，前期准备工作充足，有详细完整并能有效落实的组织实施安排，评估方式方法详细具体，完全满足本项目的需求，得10分；</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2.方案基本完整，针对性有所欠缺，前期准备工作基本充足，有基本完整的组织实施安排，有基本完整的评估方式方法，能够满足本项目的需求，得7分；</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3.方案基本完整，但无针对性，前期准备工作不充分，安排内容有欠缺的，有基本的评估方式方法但内容有欠缺的，基本能够满足本项目的需求，得4分；</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4.方案表述内容有欠缺的，没有前期准备工作，缺少能有效落实的组织实施安排，缺少基本的评估方式方法，不满足本项目的需求，得1分。</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5.不提供或其他情形的，不得分。</w:t>
            </w:r>
          </w:p>
        </w:tc>
        <w:tc>
          <w:tcPr>
            <w:tcW w:w="522" w:type="pct"/>
            <w:tcBorders>
              <w:top w:val="single" w:color="000000" w:sz="4" w:space="0"/>
              <w:left w:val="single" w:color="000000" w:sz="4" w:space="0"/>
              <w:bottom w:val="nil"/>
              <w:right w:val="single" w:color="000000" w:sz="4" w:space="0"/>
            </w:tcBorders>
            <w:shd w:val="clear" w:color="auto" w:fill="auto"/>
            <w:vAlign w:val="center"/>
          </w:tcPr>
          <w:p w14:paraId="70DDC60A">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c>
          <w:tcPr>
            <w:tcW w:w="487" w:type="pct"/>
            <w:tcBorders>
              <w:top w:val="single" w:color="000000" w:sz="4" w:space="0"/>
              <w:left w:val="single" w:color="000000" w:sz="4" w:space="0"/>
              <w:bottom w:val="nil"/>
              <w:right w:val="single" w:color="000000" w:sz="4" w:space="0"/>
            </w:tcBorders>
            <w:shd w:val="clear" w:color="auto" w:fill="auto"/>
            <w:vAlign w:val="center"/>
          </w:tcPr>
          <w:p w14:paraId="7D570441">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c>
          <w:tcPr>
            <w:tcW w:w="481" w:type="pct"/>
            <w:tcBorders>
              <w:top w:val="single" w:color="000000" w:sz="4" w:space="0"/>
              <w:left w:val="single" w:color="000000" w:sz="4" w:space="0"/>
              <w:bottom w:val="nil"/>
              <w:right w:val="single" w:color="000000" w:sz="4" w:space="0"/>
            </w:tcBorders>
            <w:shd w:val="clear" w:color="auto" w:fill="auto"/>
            <w:vAlign w:val="center"/>
          </w:tcPr>
          <w:p w14:paraId="1379864F">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r>
      <w:tr w14:paraId="27535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7" w:type="dxa"/>
            <w:left w:w="57" w:type="dxa"/>
            <w:bottom w:w="57" w:type="dxa"/>
            <w:right w:w="57" w:type="dxa"/>
          </w:tblCellMar>
        </w:tblPrEx>
        <w:trPr>
          <w:cantSplit/>
          <w:trHeight w:val="23" w:hRule="atLeast"/>
          <w:tblHead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D40E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p>
        </w:tc>
        <w:tc>
          <w:tcPr>
            <w:tcW w:w="498" w:type="pct"/>
            <w:tcBorders>
              <w:top w:val="single" w:color="000000" w:sz="4" w:space="0"/>
              <w:left w:val="single" w:color="000000" w:sz="4" w:space="0"/>
              <w:bottom w:val="single" w:color="000000" w:sz="4" w:space="0"/>
              <w:right w:val="nil"/>
            </w:tcBorders>
            <w:shd w:val="clear" w:color="auto" w:fill="auto"/>
            <w:vAlign w:val="center"/>
          </w:tcPr>
          <w:p w14:paraId="4C907B8B">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内部管理制度及规章制度、运作流程</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8E5AB">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7</w:t>
            </w:r>
          </w:p>
        </w:tc>
        <w:tc>
          <w:tcPr>
            <w:tcW w:w="2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0CF18">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对供应商提供的内部管理制度及规章制度（包括但不限于安全管理工作制度和工作机制、保密管理制度等）进行综合评审：</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1.内部管理制度及规章制度完善、运作流程规范、具体并能有效落实的，得7分；</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2.内部管理制度及规章制度有基本框架以及基本内容的，运作流程能具体落实、得4分；</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3.内部管理制度及规章制度有缺失，运作流程内容有欠缺的，得1分。</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4.不提供或其他情形的，不得分。</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A0E95">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c>
          <w:tcPr>
            <w:tcW w:w="4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C885F">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8BCB9">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r>
      <w:tr w14:paraId="462B9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7" w:type="dxa"/>
            <w:left w:w="57" w:type="dxa"/>
            <w:bottom w:w="57" w:type="dxa"/>
            <w:right w:w="57" w:type="dxa"/>
          </w:tblCellMar>
        </w:tblPrEx>
        <w:trPr>
          <w:cantSplit/>
          <w:trHeight w:val="23" w:hRule="atLeast"/>
          <w:tblHead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8EE6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CB7A4">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售后服务方案</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998AA">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10</w:t>
            </w:r>
          </w:p>
        </w:tc>
        <w:tc>
          <w:tcPr>
            <w:tcW w:w="2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34959">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根据供应商售后服务方案（包含但不限于后续年度评价方案、问题处理时效、售后服务团队、后续增值服务等）的详细性、具体性，以及是否能满足用户要求且服务体系完整等方面评审：</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 xml:space="preserve">1.具备完善详细的售后服务措施，满足项目需求，得10分；  </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 xml:space="preserve">2.售后服务措施基本完整，能部分满足项目需求，得7分；  </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3.售后服务措施基本完整，但内容缺乏逻辑，能部分满足项目需求，得4分</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 xml:space="preserve">4.售后服务措施措施不完整，无针对性，不符合项目需求的，得1分。  </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5.不提供或其他情形的，不得分。</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B540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c>
          <w:tcPr>
            <w:tcW w:w="4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12ABB">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06109">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r>
      <w:tr w14:paraId="67D40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7" w:type="dxa"/>
            <w:left w:w="57" w:type="dxa"/>
            <w:bottom w:w="57" w:type="dxa"/>
            <w:right w:w="57" w:type="dxa"/>
          </w:tblCellMar>
        </w:tblPrEx>
        <w:trPr>
          <w:cantSplit/>
          <w:trHeight w:val="23" w:hRule="atLeast"/>
          <w:tblHead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4F42D">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498" w:type="pct"/>
            <w:tcBorders>
              <w:top w:val="single" w:color="000000" w:sz="4" w:space="0"/>
              <w:left w:val="single" w:color="000000" w:sz="4" w:space="0"/>
              <w:bottom w:val="single" w:color="000000" w:sz="4" w:space="0"/>
              <w:right w:val="nil"/>
            </w:tcBorders>
            <w:shd w:val="clear" w:color="auto" w:fill="auto"/>
            <w:vAlign w:val="center"/>
          </w:tcPr>
          <w:p w14:paraId="0A357F3F">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同类业绩</w:t>
            </w:r>
          </w:p>
        </w:tc>
        <w:tc>
          <w:tcPr>
            <w:tcW w:w="420" w:type="pct"/>
            <w:tcBorders>
              <w:top w:val="single" w:color="000000" w:sz="4" w:space="0"/>
              <w:left w:val="single" w:color="000000" w:sz="4" w:space="0"/>
              <w:bottom w:val="nil"/>
              <w:right w:val="single" w:color="000000" w:sz="4" w:space="0"/>
            </w:tcBorders>
            <w:shd w:val="clear" w:color="auto" w:fill="auto"/>
            <w:vAlign w:val="center"/>
          </w:tcPr>
          <w:p w14:paraId="171DA1E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17</w:t>
            </w:r>
          </w:p>
        </w:tc>
        <w:tc>
          <w:tcPr>
            <w:tcW w:w="2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6A4F1">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供应商2021年8月1日（以签订合同的时间为准）以来具有公共机构能源审计、节能技术改造测试评估、公共机构能源管理服务等相关工作业绩，每提供1个业绩得1.5分，最高得15分。</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2.供应商2021年8月1日（以签订合同的时间为准）以来具有服务的项目获得国家、省、市级的绿色低碳发展（节能降耗）等专项资金业绩，每提供1个业绩得2分，最高得2分。</w:t>
            </w:r>
          </w:p>
          <w:p w14:paraId="6B4E31E5">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注：（1）提供以供应商名义签订的合同关键页复印件（需能体现合同内容、客户名称、合同签订日期和获得国家、省、市级的绿色低碳发展（节能降耗）等专项资金相关证明或截图。如合同不能清晰反映前述信息的，还需提供该项业绩的业主出具的加盖公章的证明材料）。</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（2）是否属于同类业绩由评审</w:t>
            </w:r>
            <w:bookmarkStart w:id="0" w:name="_GoBack"/>
            <w:bookmarkEnd w:id="0"/>
            <w:r>
              <w:rPr>
                <w:rFonts w:hint="eastAsia" w:ascii="宋体" w:hAnsi="宋体" w:eastAsia="宋体" w:cs="宋体"/>
                <w:sz w:val="18"/>
                <w:szCs w:val="18"/>
                <w:lang w:val="en-US" w:eastAsia="zh-CN"/>
              </w:rPr>
              <w:t>小组根据合同的内容、特点以及与本项目的类似程度等进行认定。</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（3）未按要求提供相关材料或无法凭所提供资料判断是否得分的或证明材料不清晰导致无法识别的，均不得分。</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7530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c>
          <w:tcPr>
            <w:tcW w:w="4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424C2">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78D29">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r>
      <w:tr w14:paraId="57BF4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7" w:type="dxa"/>
            <w:left w:w="57" w:type="dxa"/>
            <w:bottom w:w="57" w:type="dxa"/>
            <w:right w:w="57" w:type="dxa"/>
          </w:tblCellMar>
        </w:tblPrEx>
        <w:trPr>
          <w:cantSplit/>
          <w:trHeight w:val="23" w:hRule="atLeast"/>
          <w:tblHead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B416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6</w:t>
            </w:r>
          </w:p>
        </w:tc>
        <w:tc>
          <w:tcPr>
            <w:tcW w:w="498" w:type="pct"/>
            <w:tcBorders>
              <w:top w:val="single" w:color="000000" w:sz="4" w:space="0"/>
              <w:left w:val="single" w:color="000000" w:sz="4" w:space="0"/>
              <w:bottom w:val="single" w:color="000000" w:sz="4" w:space="0"/>
              <w:right w:val="nil"/>
            </w:tcBorders>
            <w:shd w:val="clear" w:color="auto" w:fill="auto"/>
            <w:vAlign w:val="center"/>
          </w:tcPr>
          <w:p w14:paraId="27756A9F">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综合能力</w:t>
            </w:r>
          </w:p>
        </w:tc>
        <w:tc>
          <w:tcPr>
            <w:tcW w:w="420" w:type="pct"/>
            <w:tcBorders>
              <w:top w:val="single" w:color="000000" w:sz="4" w:space="0"/>
              <w:left w:val="single" w:color="000000" w:sz="4" w:space="0"/>
              <w:bottom w:val="nil"/>
              <w:right w:val="single" w:color="000000" w:sz="4" w:space="0"/>
            </w:tcBorders>
            <w:shd w:val="clear" w:color="auto" w:fill="auto"/>
            <w:vAlign w:val="center"/>
          </w:tcPr>
          <w:p w14:paraId="33D363BB">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6</w:t>
            </w:r>
          </w:p>
        </w:tc>
        <w:tc>
          <w:tcPr>
            <w:tcW w:w="2192" w:type="pct"/>
            <w:tcBorders>
              <w:top w:val="single" w:color="000000" w:sz="4" w:space="0"/>
              <w:left w:val="single" w:color="000000" w:sz="4" w:space="0"/>
              <w:bottom w:val="nil"/>
              <w:right w:val="single" w:color="000000" w:sz="4" w:space="0"/>
            </w:tcBorders>
            <w:shd w:val="clear" w:color="auto" w:fill="auto"/>
            <w:vAlign w:val="center"/>
          </w:tcPr>
          <w:p w14:paraId="4265EBD6">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1.供应商具有资质认定计量认证证书（CMA），并包含通风与空调工程、电热设备、照明灯相关的测试参数。得3分；</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2.供应商具有质量管理体系认证证书，得3分；</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注：响应文件需同时提供相关证书（CMA证书及附表、质量管理体系认证证书）复印件和中国国家认证认可监督管理委员会官(http://www.cnca.gov.cn)认证结果为“有效”的页面截图并加盖供应商公章，未按要求提供相关材料或无法凭所提供资料判断是否得分的或证明材料不清晰导致无法识别的，均不得分。</w:t>
            </w:r>
          </w:p>
        </w:tc>
        <w:tc>
          <w:tcPr>
            <w:tcW w:w="522" w:type="pct"/>
            <w:tcBorders>
              <w:top w:val="single" w:color="000000" w:sz="4" w:space="0"/>
              <w:left w:val="single" w:color="000000" w:sz="4" w:space="0"/>
              <w:bottom w:val="nil"/>
              <w:right w:val="single" w:color="000000" w:sz="4" w:space="0"/>
            </w:tcBorders>
            <w:shd w:val="clear" w:color="auto" w:fill="auto"/>
            <w:vAlign w:val="center"/>
          </w:tcPr>
          <w:p w14:paraId="107A75BD">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c>
          <w:tcPr>
            <w:tcW w:w="487" w:type="pct"/>
            <w:tcBorders>
              <w:top w:val="single" w:color="000000" w:sz="4" w:space="0"/>
              <w:left w:val="single" w:color="000000" w:sz="4" w:space="0"/>
              <w:bottom w:val="nil"/>
              <w:right w:val="single" w:color="000000" w:sz="4" w:space="0"/>
            </w:tcBorders>
            <w:shd w:val="clear" w:color="auto" w:fill="auto"/>
            <w:vAlign w:val="center"/>
          </w:tcPr>
          <w:p w14:paraId="106262B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c>
          <w:tcPr>
            <w:tcW w:w="481" w:type="pct"/>
            <w:tcBorders>
              <w:top w:val="single" w:color="000000" w:sz="4" w:space="0"/>
              <w:left w:val="single" w:color="000000" w:sz="4" w:space="0"/>
              <w:bottom w:val="nil"/>
              <w:right w:val="single" w:color="000000" w:sz="4" w:space="0"/>
            </w:tcBorders>
            <w:shd w:val="clear" w:color="auto" w:fill="auto"/>
            <w:vAlign w:val="center"/>
          </w:tcPr>
          <w:p w14:paraId="7B04AD08">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r>
      <w:tr w14:paraId="3787C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7" w:type="dxa"/>
            <w:left w:w="57" w:type="dxa"/>
            <w:bottom w:w="57" w:type="dxa"/>
            <w:right w:w="57" w:type="dxa"/>
          </w:tblCellMar>
        </w:tblPrEx>
        <w:trPr>
          <w:cantSplit/>
          <w:trHeight w:val="23" w:hRule="atLeast"/>
          <w:tblHeader/>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705F5">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w:t>
            </w:r>
          </w:p>
        </w:tc>
        <w:tc>
          <w:tcPr>
            <w:tcW w:w="498" w:type="pct"/>
            <w:tcBorders>
              <w:top w:val="single" w:color="000000" w:sz="4" w:space="0"/>
              <w:left w:val="single" w:color="000000" w:sz="4" w:space="0"/>
              <w:bottom w:val="single" w:color="000000" w:sz="4" w:space="0"/>
              <w:right w:val="nil"/>
            </w:tcBorders>
            <w:shd w:val="clear" w:color="auto" w:fill="auto"/>
            <w:vAlign w:val="center"/>
          </w:tcPr>
          <w:p w14:paraId="79DD48EE">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拟投入本项目人员情况</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B5FE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14</w:t>
            </w:r>
          </w:p>
        </w:tc>
        <w:tc>
          <w:tcPr>
            <w:tcW w:w="2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0D292">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1.供应商拟投入的项目负责人具有本项目相关高级技术职称的，得2分；</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2.供应商拟投入的团队人员（项目负责人除外）具有本项目相关高级技术职称的，得2分，具有本项目相关中级技术职称的，得1分，本小项最高得12分。</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注：（1）提供职称复印件。</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2）任职证明材料：本项目投标截止之日前6个月内任意1个月的在职参保证明或劳动合同，参保证明须提供加盖社保管理部门印章的投保单或社会保险参保人员证明扫描件，劳动合同须加盖供应商公章，不提供不得分。</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（3）若所提供证明资料描述不明确导致评审专家不能判断是否与本项目相关的，按该项人员投入不得分处理。</w:t>
            </w:r>
            <w:r>
              <w:rPr>
                <w:rFonts w:hint="eastAsia" w:ascii="宋体" w:hAnsi="宋体" w:eastAsia="宋体" w:cs="宋体"/>
                <w:sz w:val="18"/>
                <w:szCs w:val="18"/>
                <w:lang w:val="en-US" w:eastAsia="zh-CN"/>
              </w:rPr>
              <w:br w:type="textWrapping"/>
            </w:r>
            <w:r>
              <w:rPr>
                <w:rFonts w:hint="eastAsia" w:ascii="宋体" w:hAnsi="宋体" w:eastAsia="宋体" w:cs="宋体"/>
                <w:sz w:val="18"/>
                <w:szCs w:val="18"/>
                <w:lang w:val="en-US" w:eastAsia="zh-CN"/>
              </w:rPr>
              <w:t>（4）未按要求提供相关材料或无法凭所提供资料判断是否得分的或证明材料不清晰导致无法识别的，均不得分。</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E29D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c>
          <w:tcPr>
            <w:tcW w:w="4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938CF">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C6F8A">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r>
      <w:tr w14:paraId="0C053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7" w:type="dxa"/>
            <w:left w:w="57" w:type="dxa"/>
            <w:bottom w:w="57" w:type="dxa"/>
            <w:right w:w="57" w:type="dxa"/>
          </w:tblCellMar>
        </w:tblPrEx>
        <w:trPr>
          <w:cantSplit/>
          <w:trHeight w:val="23" w:hRule="atLeast"/>
          <w:tblHeader/>
        </w:trPr>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236F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8</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D5287">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18"/>
                <w:szCs w:val="18"/>
                <w:lang w:val="en-US"/>
              </w:rPr>
            </w:pPr>
            <w:r>
              <w:rPr>
                <w:rFonts w:hint="eastAsia" w:ascii="宋体" w:hAnsi="宋体" w:eastAsia="宋体" w:cs="宋体"/>
                <w:sz w:val="18"/>
                <w:szCs w:val="18"/>
                <w:lang w:val="en-US" w:eastAsia="zh-CN"/>
              </w:rPr>
              <w:t>价格评分</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9BC5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30</w:t>
            </w:r>
          </w:p>
        </w:tc>
        <w:tc>
          <w:tcPr>
            <w:tcW w:w="21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CEFAD">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投标报价得分＝（评标基准价/投标报价）×价格分值</w:t>
            </w:r>
          </w:p>
          <w:p w14:paraId="20621105">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【注：满足招标文件要求且投标价格最低的投标报价为评标基准价。】</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D3D71">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c>
          <w:tcPr>
            <w:tcW w:w="4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6C39F">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7478D">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18"/>
                <w:szCs w:val="18"/>
                <w:lang w:val="en-US" w:eastAsia="zh-CN"/>
              </w:rPr>
            </w:pPr>
          </w:p>
        </w:tc>
      </w:tr>
      <w:tr w14:paraId="6FE2D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7" w:type="dxa"/>
            <w:left w:w="57" w:type="dxa"/>
            <w:bottom w:w="57" w:type="dxa"/>
            <w:right w:w="57" w:type="dxa"/>
          </w:tblCellMar>
        </w:tblPrEx>
        <w:trPr>
          <w:cantSplit/>
          <w:trHeight w:val="549" w:hRule="atLeast"/>
          <w:tblHeader/>
        </w:trPr>
        <w:tc>
          <w:tcPr>
            <w:tcW w:w="3507"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DF0F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合计</w:t>
            </w:r>
          </w:p>
        </w:tc>
        <w:tc>
          <w:tcPr>
            <w:tcW w:w="5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693F9">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b/>
                <w:bCs/>
                <w:sz w:val="18"/>
                <w:szCs w:val="18"/>
                <w:lang w:val="en-US" w:eastAsia="zh-CN"/>
              </w:rPr>
            </w:pPr>
          </w:p>
        </w:tc>
        <w:tc>
          <w:tcPr>
            <w:tcW w:w="4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36E4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b/>
                <w:bCs/>
                <w:sz w:val="18"/>
                <w:szCs w:val="18"/>
                <w:lang w:val="en-US" w:eastAsia="zh-CN"/>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5C742">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b/>
                <w:bCs/>
                <w:sz w:val="18"/>
                <w:szCs w:val="18"/>
                <w:lang w:val="en-US" w:eastAsia="zh-CN"/>
              </w:rPr>
            </w:pPr>
          </w:p>
        </w:tc>
      </w:tr>
    </w:tbl>
    <w:p w14:paraId="132C12A2">
      <w:pPr>
        <w:rPr>
          <w:rFonts w:hint="eastAsia"/>
          <w:lang w:eastAsia="zh-CN"/>
        </w:rPr>
      </w:pPr>
    </w:p>
    <w:p w14:paraId="3717AFFC"/>
    <w:sectPr>
      <w:pgSz w:w="11906" w:h="16838"/>
      <w:pgMar w:top="760" w:right="782" w:bottom="760" w:left="782"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9A17F9"/>
    <w:rsid w:val="1AF743F8"/>
    <w:rsid w:val="280B47C0"/>
    <w:rsid w:val="334358FC"/>
    <w:rsid w:val="33753436"/>
    <w:rsid w:val="54734025"/>
    <w:rsid w:val="569021B1"/>
    <w:rsid w:val="579A17F9"/>
    <w:rsid w:val="59737ED1"/>
    <w:rsid w:val="61317E87"/>
    <w:rsid w:val="668F6637"/>
    <w:rsid w:val="69425A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font21"/>
    <w:basedOn w:val="3"/>
    <w:qFormat/>
    <w:uiPriority w:val="0"/>
    <w:rPr>
      <w:rFonts w:hint="default" w:ascii="Times New Roman" w:hAnsi="Times New Roman" w:cs="Times New Roman"/>
      <w:color w:val="000000"/>
      <w:sz w:val="21"/>
      <w:szCs w:val="21"/>
      <w:u w:val="none"/>
    </w:rPr>
  </w:style>
  <w:style w:type="character" w:customStyle="1" w:styleId="5">
    <w:name w:val="font11"/>
    <w:basedOn w:val="3"/>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2161</Words>
  <Characters>2233</Characters>
  <Lines>0</Lines>
  <Paragraphs>0</Paragraphs>
  <TotalTime>2</TotalTime>
  <ScaleCrop>false</ScaleCrop>
  <LinksUpToDate>false</LinksUpToDate>
  <CharactersWithSpaces>2240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2026-09-10T03:06:00Z</dcterms:created>
  <dc:creator>Lily</dc:creator>
  <cp:lastModifiedBy>Lily</cp:lastModifiedBy>
  <dcterms:modified xsi:type="dcterms:W3CDTF">2026-09-17T08:13:40Z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F57464DA255E4577AAF647369EE6785E_11</vt:lpwstr>
  </property>
  <property fmtid="{D5CDD505-2E9C-101B-9397-08002B2CF9AE}" pid="4" name="KSOTemplateDocerSaveRecord">
    <vt:lpwstr>eyJoZGlkIjoiZjMxODI1ZDk1NTM3ZThjZDIyMDM0N2Q4Njc3ODMwMjMiLCJ1c2VySWQiOiIyNjI5MDY5MzEifQ==</vt:lpwstr>
  </property>
</Properties>
</file>