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0CCBE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lang w:val="en-US" w:eastAsia="zh-CN"/>
        </w:rPr>
      </w:pPr>
      <w:bookmarkStart w:id="0" w:name="_GoBack"/>
      <w:r>
        <w:rPr>
          <w:rFonts w:hint="eastAsia" w:ascii="方正小标宋简体" w:hAnsi="方正小标宋简体" w:eastAsia="方正小标宋简体" w:cs="方正小标宋简体"/>
          <w:b w:val="0"/>
          <w:bCs/>
          <w:sz w:val="44"/>
          <w:szCs w:val="44"/>
          <w:lang w:val="en-US" w:eastAsia="zh-CN"/>
        </w:rPr>
        <w:t>岭南书院·广州隔山书院文创产品服务商</w:t>
      </w:r>
    </w:p>
    <w:p w14:paraId="11BF2FF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kern w:val="0"/>
          <w:sz w:val="44"/>
          <w:szCs w:val="44"/>
          <w:lang w:val="en-US" w:eastAsia="zh-CN" w:bidi="ar"/>
        </w:rPr>
      </w:pPr>
      <w:r>
        <w:rPr>
          <w:rFonts w:hint="eastAsia" w:ascii="方正小标宋简体" w:hAnsi="方正小标宋简体" w:eastAsia="方正小标宋简体" w:cs="方正小标宋简体"/>
          <w:b w:val="0"/>
          <w:bCs/>
          <w:sz w:val="44"/>
          <w:szCs w:val="44"/>
          <w:lang w:val="en-US" w:eastAsia="zh-CN"/>
        </w:rPr>
        <w:t>公开</w:t>
      </w:r>
      <w:r>
        <w:rPr>
          <w:rFonts w:hint="eastAsia" w:ascii="方正小标宋简体" w:hAnsi="方正小标宋简体" w:eastAsia="方正小标宋简体" w:cs="方正小标宋简体"/>
          <w:b w:val="0"/>
          <w:bCs/>
          <w:kern w:val="0"/>
          <w:sz w:val="44"/>
          <w:szCs w:val="44"/>
          <w:lang w:val="en-US" w:eastAsia="zh-CN" w:bidi="ar"/>
        </w:rPr>
        <w:t>比选评审评分标准</w:t>
      </w:r>
    </w:p>
    <w:bookmarkEnd w:id="0"/>
    <w:p w14:paraId="54A3ABF0">
      <w:pPr>
        <w:rPr>
          <w:rFonts w:hint="eastAsia"/>
        </w:rPr>
      </w:pPr>
    </w:p>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600"/>
        <w:gridCol w:w="721"/>
        <w:gridCol w:w="720"/>
        <w:gridCol w:w="6931"/>
      </w:tblGrid>
      <w:tr w14:paraId="439F2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71" w:hRule="atLeast"/>
          <w:tblHeader/>
        </w:trPr>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A4A9623">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序号</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7F00CD5">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评分内容</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AC5940E">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分值</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344A611">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评分细则</w:t>
            </w:r>
          </w:p>
        </w:tc>
      </w:tr>
      <w:tr w14:paraId="3DEA7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6DFF094">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1</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E84912E">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资格证明</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7BFE40C">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E76D567">
            <w:pPr>
              <w:spacing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1.参选单位须提供有效的营业执照；生产厂商须提供《化妆品生产许可证》，经销商或代理商须提供有效的品牌授权书或正规进货渠道证明，未提供或资质不符合要求的，取消参评资格。</w:t>
            </w:r>
          </w:p>
          <w:p w14:paraId="096A4E6E">
            <w:pPr>
              <w:spacing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2.参选单位须提供《增值税专用发票开具承诺函》，承诺中选后能开具合法合规的增值税专用发票（含数电票），未提供者视为资格证明文件缺项，取消参评资格。</w:t>
            </w:r>
          </w:p>
          <w:p w14:paraId="0962D1D1">
            <w:pPr>
              <w:spacing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3.参选单位须提供产品质检合格承诺书或出厂检验合格证明，未提供者取消参评资格。</w:t>
            </w:r>
          </w:p>
          <w:p w14:paraId="13700AE4">
            <w:pPr>
              <w:spacing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4.参选单位须提供成立以来无重大质量安全事故承诺函及信用查询截图，存在严重失信记录或被列入失信被执行人名单的，取消参评资格。</w:t>
            </w:r>
          </w:p>
        </w:tc>
      </w:tr>
      <w:tr w14:paraId="720C2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26F21A3">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2</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A4FDE2F">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技术部分</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584B900">
            <w:pPr>
              <w:rPr>
                <w:rFonts w:hint="default" w:ascii="Times New Roman" w:hAnsi="Times New Roman" w:eastAsia="仿宋_GB2312" w:cs="Times New Roman"/>
                <w:sz w:val="30"/>
                <w:szCs w:val="30"/>
                <w:lang w:val="en-US"/>
              </w:rPr>
            </w:pPr>
            <w:r>
              <w:rPr>
                <w:rFonts w:hint="eastAsia" w:ascii="Times New Roman" w:hAnsi="Times New Roman" w:eastAsia="仿宋_GB2312" w:cs="Times New Roman"/>
                <w:sz w:val="30"/>
                <w:szCs w:val="30"/>
                <w:lang w:val="en-US" w:eastAsia="zh-CN"/>
              </w:rPr>
              <w:t>22</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1CA8FFD">
            <w:pPr>
              <w:spacing w:line="560" w:lineRule="exac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1.产品及设计方案（9分）</w:t>
            </w:r>
          </w:p>
          <w:p w14:paraId="2511ADCA">
            <w:pPr>
              <w:spacing w:line="560" w:lineRule="exac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・香型与配方科学性（3分）：符合国家香氛产品安全标准，香型搭配合理、具备前中后调层次与品牌特色，能结合使用场合与人群偏好设计方案，方案完整合理得3分；方案基本合理得 1 分；方案缺失或不符合标准得0分。</w:t>
            </w:r>
          </w:p>
          <w:p w14:paraId="0F7E24F1">
            <w:pPr>
              <w:spacing w:line="560" w:lineRule="exac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・礼盒配置</w:t>
            </w:r>
            <w:r>
              <w:rPr>
                <w:rFonts w:hint="eastAsia" w:ascii="Times New Roman" w:hAnsi="Times New Roman" w:eastAsia="仿宋_GB2312" w:cs="Times New Roman"/>
                <w:sz w:val="30"/>
                <w:szCs w:val="30"/>
                <w:lang w:val="en-US" w:eastAsia="zh-CN"/>
              </w:rPr>
              <w:t>清晰</w:t>
            </w:r>
            <w:r>
              <w:rPr>
                <w:rFonts w:hint="default" w:ascii="Times New Roman" w:hAnsi="Times New Roman" w:eastAsia="仿宋_GB2312" w:cs="Times New Roman"/>
                <w:sz w:val="30"/>
                <w:szCs w:val="30"/>
                <w:lang w:val="en-US" w:eastAsia="zh-CN"/>
              </w:rPr>
              <w:t>度（6分）：礼盒内产品规格</w:t>
            </w:r>
            <w:r>
              <w:rPr>
                <w:rFonts w:hint="eastAsia" w:ascii="Times New Roman" w:hAnsi="Times New Roman" w:eastAsia="仿宋_GB2312" w:cs="Times New Roman"/>
                <w:sz w:val="30"/>
                <w:szCs w:val="30"/>
                <w:lang w:val="en-US" w:eastAsia="zh-CN"/>
              </w:rPr>
              <w:t>说明清晰</w:t>
            </w:r>
            <w:r>
              <w:rPr>
                <w:rFonts w:hint="default" w:ascii="Times New Roman" w:hAnsi="Times New Roman" w:eastAsia="仿宋_GB2312" w:cs="Times New Roman"/>
                <w:sz w:val="30"/>
                <w:szCs w:val="30"/>
                <w:lang w:val="en-US" w:eastAsia="zh-CN"/>
              </w:rPr>
              <w:t>，完善得4-6分；基本达标得1-3分；不</w:t>
            </w:r>
            <w:r>
              <w:rPr>
                <w:rFonts w:hint="eastAsia" w:ascii="Times New Roman" w:hAnsi="Times New Roman" w:eastAsia="仿宋_GB2312" w:cs="Times New Roman"/>
                <w:sz w:val="30"/>
                <w:szCs w:val="30"/>
                <w:lang w:val="en-US" w:eastAsia="zh-CN"/>
              </w:rPr>
              <w:t>清晰</w:t>
            </w:r>
            <w:r>
              <w:rPr>
                <w:rFonts w:hint="default" w:ascii="Times New Roman" w:hAnsi="Times New Roman" w:eastAsia="仿宋_GB2312" w:cs="Times New Roman"/>
                <w:sz w:val="30"/>
                <w:szCs w:val="30"/>
                <w:lang w:val="en-US" w:eastAsia="zh-CN"/>
              </w:rPr>
              <w:t>得0 分。</w:t>
            </w:r>
          </w:p>
          <w:p w14:paraId="11E01439">
            <w:pPr>
              <w:spacing w:line="560" w:lineRule="exac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2.质量管控方案（10分）</w:t>
            </w:r>
          </w:p>
          <w:p w14:paraId="19DFFE3E">
            <w:pPr>
              <w:spacing w:line="560" w:lineRule="exac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・原料溯源与品控（4分）：建立完整原料索证索票、溯源管理机制，明确供应商准入标准，制度完善可落地得3-4分；基本建立制度得1-2分；无相关制度得 0 分。</w:t>
            </w:r>
          </w:p>
          <w:p w14:paraId="7BE3EB30">
            <w:pPr>
              <w:spacing w:line="560" w:lineRule="exac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・产品检测与留样（4</w:t>
            </w:r>
            <w:r>
              <w:rPr>
                <w:rFonts w:hint="eastAsia" w:ascii="Times New Roman" w:hAnsi="Times New Roman" w:eastAsia="仿宋_GB2312" w:cs="Times New Roman"/>
                <w:sz w:val="30"/>
                <w:szCs w:val="30"/>
                <w:lang w:val="en-US" w:eastAsia="zh-CN"/>
              </w:rPr>
              <w:t>分</w:t>
            </w:r>
            <w:r>
              <w:rPr>
                <w:rFonts w:hint="default" w:ascii="Times New Roman" w:hAnsi="Times New Roman" w:eastAsia="仿宋_GB2312" w:cs="Times New Roman"/>
                <w:sz w:val="30"/>
                <w:szCs w:val="30"/>
                <w:lang w:val="en-US" w:eastAsia="zh-CN"/>
              </w:rPr>
              <w:t>）：严格落实产品出厂检验、样品留样制度，具备检测报告与留样管理措施，流程清晰、责任明确得3-4分；有基本管控措施得1-2分；无相关措施得0分。</w:t>
            </w:r>
          </w:p>
          <w:p w14:paraId="3838F751">
            <w:pPr>
              <w:spacing w:line="560" w:lineRule="exac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・人员与卫生管理（2分）：生产/经营人员健康证管理、岗前培训、日常卫生管控制度健全得2分；制度不全得1分；无相关制度得0分。</w:t>
            </w:r>
          </w:p>
          <w:p w14:paraId="285251DA">
            <w:pPr>
              <w:spacing w:line="560" w:lineRule="exac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3.应急保障方案（3分）</w:t>
            </w:r>
          </w:p>
          <w:p w14:paraId="27BDD3AA">
            <w:pPr>
              <w:spacing w:line="560" w:lineRule="exac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・制定产品质量安全事故应急预案、缺货补货应急机制、原料供应替代方案，响应机制清晰、处置流程明确得3分；有基本应急方案得1-2分；无应急预案得0分。</w:t>
            </w:r>
          </w:p>
        </w:tc>
      </w:tr>
      <w:tr w14:paraId="3D484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5ABC18E">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3</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AB5F5D4">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商务部分</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E293AE9">
            <w:pPr>
              <w:rPr>
                <w:rFonts w:hint="default" w:ascii="Times New Roman" w:hAnsi="Times New Roman" w:eastAsia="仿宋_GB2312" w:cs="Times New Roman"/>
                <w:sz w:val="30"/>
                <w:szCs w:val="30"/>
                <w:lang w:val="en-US"/>
              </w:rPr>
            </w:pPr>
            <w:r>
              <w:rPr>
                <w:rFonts w:hint="eastAsia" w:ascii="Times New Roman" w:hAnsi="Times New Roman" w:eastAsia="仿宋_GB2312" w:cs="Times New Roman"/>
                <w:sz w:val="30"/>
                <w:szCs w:val="30"/>
                <w:lang w:val="en-US" w:eastAsia="zh-CN"/>
              </w:rPr>
              <w:t>55</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5720BE1">
            <w:pPr>
              <w:spacing w:after="100"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1.同类项目经验（20分）</w:t>
            </w:r>
          </w:p>
          <w:p w14:paraId="0B10DA92">
            <w:pPr>
              <w:spacing w:after="100"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・经验定义：</w:t>
            </w:r>
            <w:r>
              <w:rPr>
                <w:rFonts w:hint="eastAsia" w:ascii="Times New Roman" w:hAnsi="Times New Roman" w:eastAsia="仿宋_GB2312" w:cs="Times New Roman"/>
                <w:i w:val="0"/>
                <w:iCs w:val="0"/>
                <w:caps w:val="0"/>
                <w:spacing w:val="0"/>
                <w:kern w:val="2"/>
                <w:sz w:val="30"/>
                <w:szCs w:val="30"/>
                <w:shd w:val="clear"/>
                <w:lang w:val="en-US" w:eastAsia="zh-CN" w:bidi="ar-SA"/>
              </w:rPr>
              <w:t>近三年</w:t>
            </w:r>
            <w:r>
              <w:rPr>
                <w:rFonts w:hint="eastAsia" w:ascii="Times New Roman" w:hAnsi="Times New Roman" w:eastAsia="仿宋_GB2312" w:cs="Times New Roman"/>
                <w:sz w:val="30"/>
                <w:szCs w:val="30"/>
                <w:lang w:val="en-US" w:eastAsia="zh-CN"/>
              </w:rPr>
              <w:t>签订的</w:t>
            </w:r>
            <w:r>
              <w:rPr>
                <w:rFonts w:hint="eastAsia" w:ascii="Times New Roman" w:hAnsi="Times New Roman" w:eastAsia="仿宋_GB2312" w:cs="Times New Roman"/>
                <w:i w:val="0"/>
                <w:iCs w:val="0"/>
                <w:caps w:val="0"/>
                <w:spacing w:val="0"/>
                <w:kern w:val="2"/>
                <w:sz w:val="30"/>
                <w:szCs w:val="30"/>
                <w:shd w:val="clear"/>
                <w:lang w:val="en-US" w:eastAsia="zh-CN" w:bidi="ar-SA"/>
              </w:rPr>
              <w:t>同类项目案例</w:t>
            </w:r>
            <w:r>
              <w:rPr>
                <w:rFonts w:hint="eastAsia" w:ascii="Times New Roman" w:hAnsi="Times New Roman" w:eastAsia="仿宋_GB2312" w:cs="Times New Roman"/>
                <w:sz w:val="30"/>
                <w:szCs w:val="30"/>
                <w:lang w:val="en-US" w:eastAsia="zh-CN"/>
              </w:rPr>
              <w:t>供货合同（含企事业单位节日福利、商务礼赠、活动伴手礼等）。</w:t>
            </w:r>
          </w:p>
          <w:p w14:paraId="1C80B936">
            <w:pPr>
              <w:spacing w:after="100"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・计分规则：每提供 1 份有效的同类项目业绩证明（合同关键页：含双方名称、服务内容、盖章），得2分。本项最高20分。</w:t>
            </w:r>
          </w:p>
          <w:p w14:paraId="09912C01">
            <w:pPr>
              <w:spacing w:after="100"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2.项目服务团队配置（10分）</w:t>
            </w:r>
          </w:p>
          <w:p w14:paraId="25853BE2">
            <w:pPr>
              <w:spacing w:after="100"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・配备专职质量/安全管理负责人（持有效从业证件）得4分；配备产品设计/香氛调配专业人员负责礼盒方案得4分；指定专属项目对接人得2分。本项最高10分。</w:t>
            </w:r>
          </w:p>
          <w:p w14:paraId="0439FA23">
            <w:pPr>
              <w:spacing w:after="100"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3.服务响应及质保承诺（10分）</w:t>
            </w:r>
          </w:p>
          <w:p w14:paraId="6F342C82">
            <w:pPr>
              <w:spacing w:after="100"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・服务响应时效（10分）：承诺日常咨询1小时内响应、质量问题30分钟内响应，承诺明确、时限清晰得4-5分；响应时限较长、表述模糊得3-6分；无明确承诺得0分。</w:t>
            </w:r>
          </w:p>
          <w:p w14:paraId="28182C30">
            <w:pPr>
              <w:spacing w:after="100"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4.配送及交付方案（15分）</w:t>
            </w:r>
          </w:p>
          <w:p w14:paraId="43886A5C">
            <w:pPr>
              <w:spacing w:after="100"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提供免费配送、按需分批交付、节日高峰期加急配送方案，配送时效明确、覆盖完整得15分；有基本配送安排得10分；无明确配送方案得0分。</w:t>
            </w:r>
          </w:p>
          <w:p w14:paraId="7F52F994">
            <w:pPr>
              <w:spacing w:after="100" w:line="560" w:lineRule="exac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*配送时效与礼盒完好交付是保障品质的核心环节。香氛礼盒对包装完好、运输时效要求较高，须确保按期、按量、完好送达。</w:t>
            </w:r>
          </w:p>
        </w:tc>
      </w:tr>
      <w:tr w14:paraId="7EE0F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FA36320">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4</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115ECE5">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价格部分</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FAD7277">
            <w:pPr>
              <w:rPr>
                <w:rFonts w:hint="default" w:ascii="Times New Roman" w:hAnsi="Times New Roman" w:eastAsia="仿宋_GB2312" w:cs="Times New Roman"/>
                <w:sz w:val="30"/>
                <w:szCs w:val="30"/>
                <w:lang w:val="en-US"/>
              </w:rPr>
            </w:pPr>
            <w:r>
              <w:rPr>
                <w:rFonts w:hint="eastAsia" w:ascii="Times New Roman" w:hAnsi="Times New Roman" w:eastAsia="仿宋_GB2312" w:cs="Times New Roman"/>
                <w:sz w:val="30"/>
                <w:szCs w:val="30"/>
                <w:lang w:val="en-US" w:eastAsia="zh-CN"/>
              </w:rPr>
              <w:t>23</w:t>
            </w:r>
          </w:p>
        </w:tc>
        <w:tc>
          <w:tcPr>
            <w:tcW w:w="0" w:type="auto"/>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6BD0CF4">
            <w:pPr>
              <w:widowControl/>
              <w:spacing w:after="40" w:line="500" w:lineRule="exact"/>
              <w:jc w:val="lef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采用低价优先法计算：报价得分= (评标基准价/投标报价) × 23，其中评标基准价为所有有效投标报价中的最低报价。</w:t>
            </w:r>
          </w:p>
          <w:p w14:paraId="2C535A57">
            <w:pPr>
              <w:widowControl/>
              <w:spacing w:after="40" w:line="500" w:lineRule="exact"/>
              <w:jc w:val="lef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1.为保证比价公平统一，本次比选评分统一按以下标准测算比价基准，该基准仅作评分标尺使用，不作为最终合同结算依据：</w:t>
            </w:r>
          </w:p>
          <w:p w14:paraId="10DA2A88">
            <w:pPr>
              <w:widowControl/>
              <w:spacing w:after="40" w:line="500" w:lineRule="exact"/>
              <w:jc w:val="lef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（1）测算口径：按</w:t>
            </w:r>
            <w:r>
              <w:rPr>
                <w:rFonts w:hint="eastAsia" w:ascii="Times New Roman" w:hAnsi="Times New Roman" w:eastAsia="仿宋_GB2312" w:cs="Times New Roman"/>
                <w:sz w:val="30"/>
                <w:szCs w:val="30"/>
                <w:lang w:val="en-US" w:eastAsia="zh-CN"/>
              </w:rPr>
              <w:t>1000</w:t>
            </w:r>
            <w:r>
              <w:rPr>
                <w:rFonts w:hint="default" w:ascii="Times New Roman" w:hAnsi="Times New Roman" w:eastAsia="仿宋_GB2312" w:cs="Times New Roman"/>
                <w:sz w:val="30"/>
                <w:szCs w:val="30"/>
                <w:lang w:val="en-US" w:eastAsia="zh-CN"/>
              </w:rPr>
              <w:t>份标准香氛礼盒、单份标准配置，测算单份礼盒费用。</w:t>
            </w:r>
          </w:p>
          <w:p w14:paraId="56CEB302">
            <w:pPr>
              <w:widowControl/>
              <w:spacing w:after="40" w:line="500" w:lineRule="exact"/>
              <w:jc w:val="lef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w:t>
            </w:r>
            <w:r>
              <w:rPr>
                <w:rFonts w:hint="eastAsia" w:ascii="Times New Roman" w:hAnsi="Times New Roman" w:eastAsia="仿宋_GB2312" w:cs="Times New Roman"/>
                <w:sz w:val="30"/>
                <w:szCs w:val="30"/>
                <w:lang w:val="en-US" w:eastAsia="zh-CN"/>
              </w:rPr>
              <w:t>2</w:t>
            </w:r>
            <w:r>
              <w:rPr>
                <w:rFonts w:hint="default" w:ascii="Times New Roman" w:hAnsi="Times New Roman" w:eastAsia="仿宋_GB2312" w:cs="Times New Roman"/>
                <w:sz w:val="30"/>
                <w:szCs w:val="30"/>
                <w:lang w:val="en-US" w:eastAsia="zh-CN"/>
              </w:rPr>
              <w:t>）报价形式：报价为全费用包干价，包含产品采购/生产成本、包装设计制作费、配送费、税费、保险费等全部相关费用，不得设置任何隐性收费。</w:t>
            </w:r>
          </w:p>
          <w:p w14:paraId="44DBB456">
            <w:pPr>
              <w:widowControl/>
              <w:spacing w:after="40" w:line="500" w:lineRule="exact"/>
              <w:jc w:val="left"/>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w:t>
            </w:r>
            <w:r>
              <w:rPr>
                <w:rFonts w:hint="eastAsia" w:ascii="Times New Roman" w:hAnsi="Times New Roman" w:eastAsia="仿宋_GB2312" w:cs="Times New Roman"/>
                <w:sz w:val="30"/>
                <w:szCs w:val="30"/>
                <w:lang w:val="en-US" w:eastAsia="zh-CN"/>
              </w:rPr>
              <w:t>3</w:t>
            </w:r>
            <w:r>
              <w:rPr>
                <w:rFonts w:hint="default" w:ascii="Times New Roman" w:hAnsi="Times New Roman" w:eastAsia="仿宋_GB2312" w:cs="Times New Roman"/>
                <w:sz w:val="30"/>
                <w:szCs w:val="30"/>
                <w:lang w:val="en-US" w:eastAsia="zh-CN"/>
              </w:rPr>
              <w:t>）报价明细要求：参选单位须分别列明①单份礼盒费用标准（含税价、不含税价、税额、适用税率）；②礼盒产品构成及分项费用明细；③100</w:t>
            </w:r>
            <w:r>
              <w:rPr>
                <w:rFonts w:hint="eastAsia" w:ascii="Times New Roman" w:hAnsi="Times New Roman" w:eastAsia="仿宋_GB2312" w:cs="Times New Roman"/>
                <w:sz w:val="30"/>
                <w:szCs w:val="30"/>
                <w:lang w:val="en-US" w:eastAsia="zh-CN"/>
              </w:rPr>
              <w:t>0</w:t>
            </w:r>
            <w:r>
              <w:rPr>
                <w:rFonts w:hint="default" w:ascii="Times New Roman" w:hAnsi="Times New Roman" w:eastAsia="仿宋_GB2312" w:cs="Times New Roman"/>
                <w:sz w:val="30"/>
                <w:szCs w:val="30"/>
                <w:lang w:val="en-US" w:eastAsia="zh-CN"/>
              </w:rPr>
              <w:t>份礼盒总费用（含税价、不含税价、税额、适用税率）。</w:t>
            </w:r>
          </w:p>
          <w:p w14:paraId="094E7D9B">
            <w:pPr>
              <w:widowControl/>
              <w:spacing w:after="40" w:line="500" w:lineRule="exact"/>
              <w:jc w:val="left"/>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2</w:t>
            </w:r>
            <w:r>
              <w:rPr>
                <w:rFonts w:hint="default" w:ascii="Times New Roman" w:hAnsi="Times New Roman" w:eastAsia="仿宋_GB2312" w:cs="Times New Roman"/>
                <w:sz w:val="30"/>
                <w:szCs w:val="30"/>
                <w:lang w:val="en-US" w:eastAsia="zh-CN"/>
              </w:rPr>
              <w:t>.本次评审基准单价仅作评分标尺，不作为结算依据、不构成承诺。</w:t>
            </w:r>
          </w:p>
        </w:tc>
      </w:tr>
      <w:tr w14:paraId="3F21E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0" w:hRule="exact"/>
        </w:trPr>
        <w:tc>
          <w:tcPr>
            <w:tcW w:w="0" w:type="auto"/>
            <w:tcBorders>
              <w:top w:val="single" w:color="CCCCCC" w:sz="6" w:space="0"/>
              <w:left w:val="single" w:color="CCCCCC" w:sz="6" w:space="0"/>
              <w:bottom w:val="single" w:color="CCCCCC" w:sz="6" w:space="0"/>
              <w:right w:val="single" w:color="CCCCCC" w:sz="6" w:space="0"/>
            </w:tcBorders>
            <w:noWrap w:val="0"/>
            <w:tcMar>
              <w:top w:w="40" w:type="dxa"/>
              <w:left w:w="120" w:type="dxa"/>
              <w:bottom w:w="40" w:type="dxa"/>
              <w:right w:w="120" w:type="dxa"/>
            </w:tcMar>
            <w:vAlign w:val="center"/>
          </w:tcPr>
          <w:p w14:paraId="5EADD99A">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合计</w:t>
            </w:r>
          </w:p>
        </w:tc>
        <w:tc>
          <w:tcPr>
            <w:tcW w:w="0" w:type="auto"/>
            <w:tcBorders>
              <w:top w:val="single" w:color="CCCCCC" w:sz="6" w:space="0"/>
              <w:left w:val="single" w:color="CCCCCC" w:sz="6" w:space="0"/>
              <w:bottom w:val="single" w:color="CCCCCC" w:sz="6" w:space="0"/>
              <w:right w:val="single" w:color="CCCCCC" w:sz="6" w:space="0"/>
            </w:tcBorders>
            <w:noWrap w:val="0"/>
            <w:tcMar>
              <w:top w:w="40" w:type="dxa"/>
              <w:left w:w="120" w:type="dxa"/>
              <w:bottom w:w="40" w:type="dxa"/>
              <w:right w:w="120" w:type="dxa"/>
            </w:tcMar>
            <w:vAlign w:val="center"/>
          </w:tcPr>
          <w:p w14:paraId="5867B7BC">
            <w:pPr>
              <w:rPr>
                <w:rFonts w:hint="default" w:ascii="Times New Roman" w:hAnsi="Times New Roman" w:eastAsia="仿宋_GB2312" w:cs="Times New Roman"/>
                <w:sz w:val="30"/>
                <w:szCs w:val="30"/>
              </w:rPr>
            </w:pPr>
          </w:p>
        </w:tc>
        <w:tc>
          <w:tcPr>
            <w:tcW w:w="0" w:type="auto"/>
            <w:tcBorders>
              <w:top w:val="single" w:color="CCCCCC" w:sz="6" w:space="0"/>
              <w:left w:val="single" w:color="CCCCCC" w:sz="6" w:space="0"/>
              <w:bottom w:val="single" w:color="CCCCCC" w:sz="6" w:space="0"/>
              <w:right w:val="single" w:color="CCCCCC" w:sz="6" w:space="0"/>
            </w:tcBorders>
            <w:noWrap w:val="0"/>
            <w:tcMar>
              <w:top w:w="40" w:type="dxa"/>
              <w:left w:w="120" w:type="dxa"/>
              <w:bottom w:w="40" w:type="dxa"/>
              <w:right w:w="120" w:type="dxa"/>
            </w:tcMar>
            <w:vAlign w:val="center"/>
          </w:tcPr>
          <w:p w14:paraId="6D9BDC13">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100</w:t>
            </w:r>
          </w:p>
        </w:tc>
        <w:tc>
          <w:tcPr>
            <w:tcW w:w="0" w:type="auto"/>
            <w:tcBorders>
              <w:top w:val="single" w:color="CCCCCC" w:sz="6" w:space="0"/>
              <w:left w:val="single" w:color="CCCCCC" w:sz="6" w:space="0"/>
              <w:bottom w:val="single" w:color="CCCCCC" w:sz="6" w:space="0"/>
              <w:right w:val="single" w:color="CCCCCC" w:sz="6" w:space="0"/>
            </w:tcBorders>
            <w:noWrap w:val="0"/>
            <w:tcMar>
              <w:top w:w="40" w:type="dxa"/>
              <w:left w:w="120" w:type="dxa"/>
              <w:bottom w:w="40" w:type="dxa"/>
              <w:right w:w="120" w:type="dxa"/>
            </w:tcMar>
            <w:vAlign w:val="center"/>
          </w:tcPr>
          <w:p w14:paraId="634914B3">
            <w:pPr>
              <w:rPr>
                <w:rFonts w:hint="default" w:ascii="Times New Roman" w:hAnsi="Times New Roman" w:eastAsia="仿宋_GB2312" w:cs="Times New Roman"/>
                <w:sz w:val="30"/>
                <w:szCs w:val="30"/>
              </w:rPr>
            </w:pPr>
          </w:p>
        </w:tc>
      </w:tr>
    </w:tbl>
    <w:p w14:paraId="5AF8FAD4"/>
    <w:sectPr>
      <w:footerReference r:id="rId3" w:type="default"/>
      <w:pgSz w:w="11906" w:h="16838"/>
      <w:pgMar w:top="2098" w:right="1587" w:bottom="2098"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 w:name="方正仿宋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859FC">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EDFA639">
                          <w:pPr>
                            <w:pStyle w:val="3"/>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  \* MERGEFORMAT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4EDFA639">
                    <w:pPr>
                      <w:pStyle w:val="3"/>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  \* MERGEFORMAT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3B09D3"/>
    <w:rsid w:val="3CEE2957"/>
    <w:rsid w:val="402A7771"/>
    <w:rsid w:val="412B3BFC"/>
    <w:rsid w:val="49E3E5A3"/>
    <w:rsid w:val="50AD59CA"/>
    <w:rsid w:val="669D0EEA"/>
    <w:rsid w:val="77A352E7"/>
    <w:rsid w:val="7AFE72CE"/>
    <w:rsid w:val="7FB3C138"/>
    <w:rsid w:val="8FE7D655"/>
    <w:rsid w:val="8FFFF6EB"/>
    <w:rsid w:val="BED73A44"/>
    <w:rsid w:val="C7FED355"/>
    <w:rsid w:val="DF79FACB"/>
    <w:rsid w:val="F26F7B31"/>
    <w:rsid w:val="F4EFE45E"/>
    <w:rsid w:val="F577CC4C"/>
    <w:rsid w:val="FCFF6C8A"/>
    <w:rsid w:val="FDF826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1592</Words>
  <Characters>1676</Characters>
  <Lines>0</Lines>
  <Paragraphs>0</Paragraphs>
  <TotalTime>0</TotalTime>
  <ScaleCrop>false</ScaleCrop>
  <LinksUpToDate>false</LinksUpToDate>
  <CharactersWithSpaces>1756</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2026-06-29T19:33:00Z</dcterms:created>
  <dc:creator>李睿倩</dc:creator>
  <cp:lastModifiedBy>韩笑</cp:lastModifiedBy>
  <cp:lastPrinted>2026-09-03T10:23:24Z</cp:lastPrinted>
  <dcterms:modified xsi:type="dcterms:W3CDTF">2026-09-03T17:58:19Z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B523436B43153BEABB44996AF007F8DE_43</vt:lpwstr>
  </property>
  <property fmtid="{D5CDD505-2E9C-101B-9397-08002B2CF9AE}" pid="4" name="KSOTemplateDocerSaveRecord">
    <vt:lpwstr>eyJoZGlkIjoiY2Y4ZGRiM2NjZWNmNmRjZjdjZGI0ZWRkNmJhMGU2MDIiLCJ1c2VySWQiOiIxNzcwOTQzNjYxIn0=</vt:lpwstr>
  </property>
</Properties>
</file>