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7C101C">
      <w:pPr>
        <w:spacing w:line="360" w:lineRule="auto"/>
        <w:jc w:val="center"/>
        <w:outlineLvl w:val="1"/>
        <w:rPr>
          <w:rStyle w:val="20"/>
          <w:rFonts w:hint="eastAsia" w:ascii="宋体" w:hAnsi="宋体" w:eastAsia="宋体" w:cs="宋体"/>
          <w:b/>
          <w:bCs/>
          <w:sz w:val="32"/>
          <w:szCs w:val="28"/>
        </w:rPr>
      </w:pPr>
    </w:p>
    <w:p w14:paraId="0C8D5C73">
      <w:pPr>
        <w:spacing w:line="360" w:lineRule="auto"/>
        <w:jc w:val="center"/>
        <w:outlineLvl w:val="1"/>
        <w:rPr>
          <w:rStyle w:val="20"/>
          <w:rFonts w:hint="eastAsia" w:ascii="宋体" w:hAnsi="宋体" w:eastAsia="宋体" w:cs="宋体"/>
          <w:b/>
          <w:bCs/>
          <w:sz w:val="32"/>
          <w:szCs w:val="28"/>
          <w:lang w:val="en-US" w:eastAsia="zh-CN"/>
        </w:rPr>
      </w:pPr>
    </w:p>
    <w:p w14:paraId="268FE1B6">
      <w:pPr>
        <w:spacing w:line="360" w:lineRule="auto"/>
        <w:jc w:val="center"/>
        <w:outlineLvl w:val="1"/>
        <w:rPr>
          <w:rStyle w:val="20"/>
          <w:rFonts w:hint="eastAsia" w:ascii="宋体" w:hAnsi="宋体" w:eastAsia="宋体" w:cs="宋体"/>
          <w:b/>
          <w:bCs/>
          <w:sz w:val="32"/>
          <w:szCs w:val="28"/>
          <w:lang w:val="en-US" w:eastAsia="zh-CN"/>
        </w:rPr>
      </w:pPr>
    </w:p>
    <w:p w14:paraId="2F3D57A4">
      <w:pPr>
        <w:spacing w:line="360" w:lineRule="auto"/>
        <w:jc w:val="center"/>
        <w:outlineLvl w:val="1"/>
        <w:rPr>
          <w:rStyle w:val="20"/>
          <w:rFonts w:hint="eastAsia" w:ascii="宋体" w:hAnsi="宋体" w:eastAsia="宋体" w:cs="宋体"/>
          <w:b/>
          <w:bCs/>
          <w:sz w:val="32"/>
          <w:szCs w:val="28"/>
          <w:lang w:val="en-US" w:eastAsia="zh-CN"/>
        </w:rPr>
      </w:pPr>
    </w:p>
    <w:p w14:paraId="0D63EF51">
      <w:pPr>
        <w:pStyle w:val="6"/>
        <w:rPr>
          <w:rStyle w:val="20"/>
          <w:rFonts w:hint="eastAsia" w:ascii="宋体" w:hAnsi="宋体" w:eastAsia="宋体" w:cs="宋体"/>
          <w:b/>
          <w:bCs/>
          <w:sz w:val="32"/>
          <w:szCs w:val="28"/>
          <w:lang w:val="en-US" w:eastAsia="zh-CN"/>
        </w:rPr>
      </w:pPr>
    </w:p>
    <w:p w14:paraId="26170796">
      <w:pPr>
        <w:pStyle w:val="13"/>
        <w:rPr>
          <w:rStyle w:val="20"/>
          <w:rFonts w:hint="eastAsia" w:ascii="宋体" w:hAnsi="宋体" w:eastAsia="宋体" w:cs="宋体"/>
          <w:b/>
          <w:bCs/>
          <w:sz w:val="32"/>
          <w:szCs w:val="28"/>
          <w:lang w:val="en-US" w:eastAsia="zh-CN"/>
        </w:rPr>
      </w:pPr>
    </w:p>
    <w:p w14:paraId="5F9B338A">
      <w:pPr>
        <w:pStyle w:val="13"/>
        <w:rPr>
          <w:rStyle w:val="20"/>
          <w:rFonts w:hint="eastAsia" w:ascii="宋体" w:hAnsi="宋体" w:eastAsia="宋体" w:cs="宋体"/>
          <w:b/>
          <w:bCs/>
          <w:sz w:val="32"/>
          <w:szCs w:val="28"/>
          <w:lang w:val="en-US" w:eastAsia="zh-CN"/>
        </w:rPr>
      </w:pPr>
    </w:p>
    <w:p w14:paraId="0B850935">
      <w:pPr>
        <w:pStyle w:val="13"/>
        <w:rPr>
          <w:rStyle w:val="20"/>
          <w:rFonts w:hint="eastAsia" w:ascii="宋体" w:hAnsi="宋体" w:eastAsia="宋体" w:cs="宋体"/>
          <w:b/>
          <w:bCs/>
          <w:sz w:val="32"/>
          <w:szCs w:val="28"/>
          <w:lang w:val="en-US" w:eastAsia="zh-CN"/>
        </w:rPr>
      </w:pPr>
    </w:p>
    <w:p w14:paraId="73291A6C">
      <w:pPr>
        <w:spacing w:line="360" w:lineRule="auto"/>
        <w:jc w:val="center"/>
        <w:outlineLvl w:val="1"/>
        <w:rPr>
          <w:rFonts w:hint="eastAsia" w:ascii="宋体" w:hAnsi="宋体" w:eastAsia="宋体" w:cs="宋体"/>
          <w:sz w:val="48"/>
          <w:szCs w:val="48"/>
          <w:lang w:val="en-US" w:eastAsia="zh-CN"/>
        </w:rPr>
      </w:pPr>
      <w:r>
        <w:rPr>
          <w:rStyle w:val="20"/>
          <w:rFonts w:hint="eastAsia" w:ascii="宋体" w:hAnsi="宋体" w:eastAsia="宋体" w:cs="宋体"/>
          <w:b/>
          <w:bCs/>
          <w:sz w:val="48"/>
          <w:szCs w:val="48"/>
          <w:lang w:val="en-US" w:eastAsia="zh-CN"/>
        </w:rPr>
        <w:t>中山市小榄人民医院病原微生物高通量测序外送检测服务采购项目响应文件</w:t>
      </w:r>
    </w:p>
    <w:p w14:paraId="3785F128">
      <w:pPr>
        <w:spacing w:line="360" w:lineRule="auto"/>
        <w:jc w:val="center"/>
        <w:outlineLvl w:val="1"/>
        <w:rPr>
          <w:rStyle w:val="20"/>
          <w:rFonts w:hint="eastAsia" w:ascii="宋体" w:hAnsi="宋体" w:eastAsia="宋体" w:cs="宋体"/>
          <w:b/>
          <w:bCs/>
          <w:sz w:val="32"/>
          <w:szCs w:val="28"/>
        </w:rPr>
      </w:pPr>
    </w:p>
    <w:p w14:paraId="66779CA0">
      <w:pPr>
        <w:spacing w:line="360" w:lineRule="auto"/>
        <w:jc w:val="center"/>
        <w:outlineLvl w:val="1"/>
        <w:rPr>
          <w:rStyle w:val="20"/>
          <w:rFonts w:hint="eastAsia" w:ascii="宋体" w:hAnsi="宋体" w:eastAsia="宋体" w:cs="宋体"/>
          <w:b/>
          <w:bCs/>
          <w:sz w:val="32"/>
          <w:szCs w:val="28"/>
        </w:rPr>
      </w:pPr>
    </w:p>
    <w:p w14:paraId="3ACB86FE">
      <w:pPr>
        <w:spacing w:line="360" w:lineRule="auto"/>
        <w:jc w:val="center"/>
        <w:outlineLvl w:val="1"/>
        <w:rPr>
          <w:rStyle w:val="20"/>
          <w:rFonts w:hint="eastAsia" w:ascii="宋体" w:hAnsi="宋体" w:eastAsia="宋体" w:cs="宋体"/>
          <w:b/>
          <w:bCs/>
          <w:sz w:val="32"/>
          <w:szCs w:val="28"/>
        </w:rPr>
      </w:pPr>
    </w:p>
    <w:p w14:paraId="07D4B0A5">
      <w:pPr>
        <w:spacing w:line="360" w:lineRule="auto"/>
        <w:jc w:val="center"/>
        <w:outlineLvl w:val="1"/>
        <w:rPr>
          <w:rStyle w:val="20"/>
          <w:rFonts w:hint="eastAsia" w:ascii="宋体" w:hAnsi="宋体" w:eastAsia="宋体" w:cs="宋体"/>
          <w:b/>
          <w:bCs/>
          <w:sz w:val="32"/>
          <w:szCs w:val="28"/>
        </w:rPr>
      </w:pPr>
    </w:p>
    <w:p w14:paraId="41060C6E">
      <w:pPr>
        <w:spacing w:line="360" w:lineRule="auto"/>
        <w:jc w:val="center"/>
        <w:outlineLvl w:val="1"/>
        <w:rPr>
          <w:rStyle w:val="20"/>
          <w:rFonts w:hint="eastAsia" w:ascii="宋体" w:hAnsi="宋体" w:eastAsia="宋体" w:cs="宋体"/>
          <w:b/>
          <w:bCs/>
          <w:sz w:val="32"/>
          <w:szCs w:val="28"/>
        </w:rPr>
      </w:pPr>
    </w:p>
    <w:p w14:paraId="43C5CE10">
      <w:pPr>
        <w:pStyle w:val="4"/>
        <w:rPr>
          <w:rStyle w:val="20"/>
          <w:rFonts w:hint="eastAsia" w:ascii="宋体" w:hAnsi="宋体" w:eastAsia="宋体" w:cs="宋体"/>
          <w:b/>
          <w:bCs/>
          <w:sz w:val="32"/>
          <w:szCs w:val="28"/>
        </w:rPr>
      </w:pPr>
    </w:p>
    <w:p w14:paraId="13F4767D">
      <w:pPr>
        <w:spacing w:line="360" w:lineRule="auto"/>
        <w:ind w:firstLine="1680" w:firstLineChars="700"/>
        <w:jc w:val="both"/>
        <w:outlineLvl w:val="1"/>
        <w:rPr>
          <w:rStyle w:val="20"/>
          <w:rFonts w:hint="default" w:ascii="宋体" w:hAnsi="宋体" w:eastAsia="宋体" w:cs="宋体"/>
          <w:b w:val="0"/>
          <w:bCs w:val="0"/>
          <w:sz w:val="24"/>
          <w:szCs w:val="24"/>
          <w:u w:val="single"/>
          <w:lang w:val="en-US" w:eastAsia="zh-CN"/>
        </w:rPr>
      </w:pPr>
      <w:r>
        <w:rPr>
          <w:rStyle w:val="20"/>
          <w:rFonts w:hint="eastAsia" w:ascii="宋体" w:hAnsi="宋体" w:eastAsia="宋体" w:cs="宋体"/>
          <w:b w:val="0"/>
          <w:bCs w:val="0"/>
          <w:sz w:val="24"/>
          <w:szCs w:val="24"/>
          <w:lang w:val="en-US" w:eastAsia="zh-CN"/>
        </w:rPr>
        <w:t>报名单位：</w:t>
      </w:r>
    </w:p>
    <w:p w14:paraId="7C0E67B4">
      <w:pPr>
        <w:spacing w:line="360" w:lineRule="auto"/>
        <w:ind w:firstLine="1680" w:firstLineChars="700"/>
        <w:jc w:val="both"/>
        <w:outlineLvl w:val="1"/>
        <w:rPr>
          <w:rStyle w:val="20"/>
          <w:rFonts w:hint="eastAsia" w:ascii="宋体" w:hAnsi="宋体" w:eastAsia="宋体" w:cs="宋体"/>
          <w:b w:val="0"/>
          <w:bCs w:val="0"/>
          <w:sz w:val="24"/>
          <w:szCs w:val="24"/>
          <w:lang w:val="en-US" w:eastAsia="zh-CN"/>
        </w:rPr>
      </w:pPr>
      <w:r>
        <w:rPr>
          <w:rStyle w:val="20"/>
          <w:rFonts w:hint="eastAsia" w:ascii="宋体" w:hAnsi="宋体" w:eastAsia="宋体" w:cs="宋体"/>
          <w:b w:val="0"/>
          <w:bCs w:val="0"/>
          <w:sz w:val="24"/>
          <w:szCs w:val="24"/>
          <w:lang w:val="en-US" w:eastAsia="zh-CN"/>
        </w:rPr>
        <w:t>联系人：</w:t>
      </w:r>
    </w:p>
    <w:p w14:paraId="35E49516">
      <w:pPr>
        <w:spacing w:line="360" w:lineRule="auto"/>
        <w:ind w:firstLine="1680" w:firstLineChars="700"/>
        <w:jc w:val="both"/>
        <w:outlineLvl w:val="1"/>
        <w:rPr>
          <w:rStyle w:val="20"/>
          <w:rFonts w:hint="eastAsia" w:ascii="宋体" w:hAnsi="宋体" w:eastAsia="宋体" w:cs="宋体"/>
          <w:b w:val="0"/>
          <w:bCs w:val="0"/>
          <w:sz w:val="24"/>
          <w:szCs w:val="24"/>
          <w:lang w:val="en-US" w:eastAsia="zh-CN"/>
        </w:rPr>
      </w:pPr>
      <w:r>
        <w:rPr>
          <w:rStyle w:val="20"/>
          <w:rFonts w:hint="eastAsia" w:ascii="宋体" w:hAnsi="宋体" w:eastAsia="宋体" w:cs="宋体"/>
          <w:b w:val="0"/>
          <w:bCs w:val="0"/>
          <w:sz w:val="24"/>
          <w:szCs w:val="24"/>
          <w:lang w:val="en-US" w:eastAsia="zh-CN"/>
        </w:rPr>
        <w:t>联系电话：</w:t>
      </w:r>
    </w:p>
    <w:p w14:paraId="7EE50031">
      <w:pPr>
        <w:spacing w:line="360" w:lineRule="auto"/>
        <w:ind w:firstLine="1680" w:firstLineChars="700"/>
        <w:jc w:val="both"/>
        <w:outlineLvl w:val="1"/>
        <w:rPr>
          <w:rStyle w:val="20"/>
          <w:rFonts w:hint="default" w:ascii="宋体" w:hAnsi="宋体" w:eastAsia="宋体" w:cs="宋体"/>
          <w:b w:val="0"/>
          <w:bCs w:val="0"/>
          <w:sz w:val="24"/>
          <w:szCs w:val="24"/>
          <w:lang w:val="en-US" w:eastAsia="zh-CN"/>
        </w:rPr>
      </w:pPr>
      <w:r>
        <w:rPr>
          <w:rStyle w:val="20"/>
          <w:rFonts w:hint="eastAsia" w:ascii="宋体" w:hAnsi="宋体" w:eastAsia="宋体" w:cs="宋体"/>
          <w:b w:val="0"/>
          <w:bCs w:val="0"/>
          <w:sz w:val="24"/>
          <w:szCs w:val="24"/>
          <w:lang w:val="en-US" w:eastAsia="zh-CN"/>
        </w:rPr>
        <w:t>邮箱：</w:t>
      </w:r>
    </w:p>
    <w:p w14:paraId="319592BB">
      <w:pPr>
        <w:pStyle w:val="4"/>
        <w:rPr>
          <w:rStyle w:val="20"/>
          <w:rFonts w:hint="eastAsia" w:ascii="宋体" w:hAnsi="宋体" w:eastAsia="宋体" w:cs="宋体"/>
          <w:b/>
          <w:bCs/>
          <w:sz w:val="32"/>
          <w:szCs w:val="28"/>
        </w:rPr>
      </w:pPr>
    </w:p>
    <w:p w14:paraId="7C4205B0">
      <w:pPr>
        <w:spacing w:line="360" w:lineRule="auto"/>
        <w:jc w:val="left"/>
        <w:outlineLvl w:val="1"/>
        <w:rPr>
          <w:rStyle w:val="20"/>
          <w:rFonts w:hint="eastAsia" w:ascii="宋体" w:hAnsi="宋体" w:eastAsia="宋体" w:cs="宋体"/>
          <w:b/>
          <w:bCs/>
          <w:sz w:val="21"/>
          <w:szCs w:val="21"/>
          <w:lang w:val="en-US" w:eastAsia="zh-CN"/>
        </w:rPr>
        <w:sectPr>
          <w:footerReference r:id="rId3" w:type="default"/>
          <w:pgSz w:w="11900" w:h="16840"/>
          <w:pgMar w:top="1440" w:right="1800" w:bottom="1440" w:left="1800" w:header="0" w:footer="567" w:gutter="0"/>
          <w:pgBorders>
            <w:top w:val="none" w:sz="0" w:space="0"/>
            <w:left w:val="none" w:sz="0" w:space="0"/>
            <w:bottom w:val="none" w:sz="0" w:space="0"/>
            <w:right w:val="none" w:sz="0" w:space="0"/>
          </w:pgBorders>
          <w:pgNumType w:fmt="decimal"/>
          <w:cols w:space="720" w:num="1"/>
        </w:sectPr>
      </w:pPr>
    </w:p>
    <w:p w14:paraId="6F27B7DA">
      <w:pPr>
        <w:spacing w:line="360" w:lineRule="auto"/>
        <w:jc w:val="left"/>
        <w:outlineLvl w:val="1"/>
        <w:rPr>
          <w:rStyle w:val="20"/>
          <w:rFonts w:hint="default" w:ascii="宋体" w:hAnsi="宋体" w:eastAsia="宋体" w:cs="宋体"/>
          <w:b/>
          <w:bCs/>
          <w:sz w:val="21"/>
          <w:szCs w:val="21"/>
          <w:lang w:val="en-US" w:eastAsia="zh-CN"/>
        </w:rPr>
      </w:pPr>
      <w:r>
        <w:rPr>
          <w:rStyle w:val="20"/>
          <w:rFonts w:hint="eastAsia" w:ascii="宋体" w:hAnsi="宋体" w:eastAsia="宋体" w:cs="宋体"/>
          <w:b/>
          <w:bCs/>
          <w:sz w:val="21"/>
          <w:szCs w:val="21"/>
          <w:lang w:val="en-US" w:eastAsia="zh-CN"/>
        </w:rPr>
        <w:t>一、承诺函</w:t>
      </w:r>
    </w:p>
    <w:p w14:paraId="2937FF95">
      <w:pPr>
        <w:spacing w:line="360" w:lineRule="auto"/>
        <w:jc w:val="center"/>
        <w:outlineLvl w:val="1"/>
        <w:rPr>
          <w:rStyle w:val="20"/>
          <w:rFonts w:hint="eastAsia" w:ascii="宋体" w:hAnsi="宋体" w:eastAsia="宋体" w:cs="宋体"/>
          <w:b/>
          <w:bCs/>
          <w:sz w:val="28"/>
          <w:szCs w:val="28"/>
        </w:rPr>
      </w:pPr>
      <w:r>
        <w:rPr>
          <w:rStyle w:val="20"/>
          <w:rFonts w:hint="eastAsia" w:ascii="宋体" w:hAnsi="宋体" w:eastAsia="宋体" w:cs="宋体"/>
          <w:b/>
          <w:bCs/>
          <w:sz w:val="28"/>
          <w:szCs w:val="28"/>
        </w:rPr>
        <w:t>承诺函</w:t>
      </w:r>
    </w:p>
    <w:p w14:paraId="5FBAE5F8">
      <w:pPr>
        <w:pStyle w:val="6"/>
        <w:spacing w:line="360" w:lineRule="auto"/>
        <w:rPr>
          <w:rFonts w:hint="eastAsia" w:ascii="宋体" w:hAnsi="宋体" w:eastAsia="宋体" w:cs="宋体"/>
        </w:rPr>
      </w:pPr>
    </w:p>
    <w:p w14:paraId="09469284">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小榄</w:t>
      </w:r>
      <w:r>
        <w:rPr>
          <w:rFonts w:hint="eastAsia" w:ascii="宋体" w:hAnsi="宋体" w:eastAsia="宋体" w:cs="宋体"/>
          <w:sz w:val="24"/>
        </w:rPr>
        <w:t>人民医院：</w:t>
      </w:r>
    </w:p>
    <w:p w14:paraId="2B371CB0">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lang w:val="en-US" w:eastAsia="zh-CN"/>
        </w:rPr>
        <w:t>中山市小榄人民医院病原微生物高通量测序外送检测服务采购项目采购项目</w:t>
      </w:r>
      <w:r>
        <w:rPr>
          <w:rFonts w:hint="eastAsia" w:ascii="宋体" w:hAnsi="宋体" w:eastAsia="宋体" w:cs="宋体"/>
          <w:sz w:val="24"/>
        </w:rPr>
        <w:t>，现承诺：</w:t>
      </w:r>
    </w:p>
    <w:p w14:paraId="10D000C1">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C6EEC2D">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22069C2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6558B9C0">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2864E62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173D101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1D6B852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7554E29">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5D10936">
      <w:pPr>
        <w:pStyle w:val="6"/>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1BB5554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181E057E">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35860E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3C8837C5">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DDCF4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055923E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6C36C14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7ABB74C">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341EB7E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25C28DB6">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0C405287">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78C6FD19">
      <w:pPr>
        <w:adjustRightInd w:val="0"/>
        <w:spacing w:line="360" w:lineRule="auto"/>
        <w:ind w:firstLine="900" w:firstLineChars="375"/>
        <w:rPr>
          <w:rFonts w:hint="eastAsia" w:ascii="宋体" w:hAnsi="宋体" w:eastAsia="宋体" w:cs="宋体"/>
          <w:bCs/>
          <w:sz w:val="24"/>
        </w:rPr>
      </w:pPr>
    </w:p>
    <w:p w14:paraId="5806AF8A">
      <w:pPr>
        <w:adjustRightInd w:val="0"/>
        <w:spacing w:line="360" w:lineRule="auto"/>
        <w:jc w:val="left"/>
        <w:rPr>
          <w:rFonts w:hint="eastAsia" w:ascii="宋体" w:hAnsi="宋体" w:eastAsia="宋体" w:cs="宋体"/>
          <w:bCs/>
          <w:sz w:val="24"/>
        </w:rPr>
      </w:pPr>
    </w:p>
    <w:p w14:paraId="6579499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 xml:space="preserve">名称：        </w:t>
      </w:r>
      <w:r>
        <w:rPr>
          <w:rFonts w:hint="eastAsia" w:ascii="宋体" w:hAnsi="宋体" w:eastAsia="宋体" w:cs="宋体"/>
          <w:bCs/>
          <w:sz w:val="24"/>
          <w:lang w:val="en-US" w:eastAsia="zh-CN"/>
        </w:rPr>
        <w:t xml:space="preserve">       </w:t>
      </w:r>
      <w:r>
        <w:rPr>
          <w:rFonts w:hint="eastAsia" w:ascii="宋体" w:hAnsi="宋体" w:eastAsia="宋体" w:cs="宋体"/>
          <w:bCs/>
          <w:sz w:val="24"/>
        </w:rPr>
        <w:t>（盖章）</w:t>
      </w:r>
    </w:p>
    <w:p w14:paraId="30EB82F2">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3831A7B9">
      <w:pPr>
        <w:pStyle w:val="6"/>
        <w:spacing w:line="360" w:lineRule="auto"/>
        <w:jc w:val="left"/>
        <w:rPr>
          <w:rFonts w:hint="eastAsia" w:ascii="宋体" w:hAnsi="宋体" w:eastAsia="宋体" w:cs="宋体"/>
          <w:sz w:val="24"/>
        </w:rPr>
      </w:pPr>
      <w:r>
        <w:rPr>
          <w:rFonts w:hint="eastAsia" w:ascii="宋体" w:hAnsi="宋体" w:eastAsia="宋体" w:cs="宋体"/>
          <w:bCs/>
          <w:sz w:val="24"/>
        </w:rPr>
        <w:t>时间：</w:t>
      </w:r>
    </w:p>
    <w:p w14:paraId="4DC44E32">
      <w:pPr>
        <w:adjustRightInd w:val="0"/>
        <w:spacing w:line="360" w:lineRule="auto"/>
        <w:rPr>
          <w:rFonts w:hint="eastAsia" w:ascii="宋体" w:hAnsi="宋体" w:eastAsia="宋体" w:cs="宋体"/>
          <w:bCs/>
          <w:sz w:val="32"/>
          <w:szCs w:val="32"/>
        </w:rPr>
      </w:pPr>
    </w:p>
    <w:p w14:paraId="4D6F6FDD">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0" w:name="_Toc22676"/>
      <w:bookmarkStart w:id="1" w:name="_Toc30971"/>
      <w:bookmarkStart w:id="2" w:name="_Toc17857"/>
      <w:bookmarkStart w:id="3" w:name="_Toc31838"/>
    </w:p>
    <w:p w14:paraId="5B763102">
      <w:pPr>
        <w:spacing w:line="360" w:lineRule="auto"/>
        <w:jc w:val="left"/>
        <w:outlineLvl w:val="1"/>
        <w:rPr>
          <w:rFonts w:hint="eastAsia" w:ascii="宋体" w:hAnsi="宋体" w:eastAsia="宋体" w:cs="宋体"/>
          <w:b/>
          <w:bCs/>
          <w:color w:val="auto"/>
          <w:sz w:val="21"/>
          <w:szCs w:val="21"/>
          <w:lang w:eastAsia="zh-CN"/>
        </w:rPr>
      </w:pPr>
      <w:bookmarkStart w:id="4" w:name="_Toc4305"/>
      <w:r>
        <w:rPr>
          <w:rStyle w:val="20"/>
          <w:rFonts w:hint="eastAsia" w:ascii="宋体" w:hAnsi="宋体" w:eastAsia="宋体" w:cs="宋体"/>
          <w:b/>
          <w:bCs/>
          <w:sz w:val="21"/>
          <w:szCs w:val="21"/>
          <w:lang w:val="en-US" w:eastAsia="zh-CN"/>
        </w:rPr>
        <w:t>二、</w:t>
      </w:r>
      <w:bookmarkEnd w:id="0"/>
      <w:bookmarkEnd w:id="1"/>
      <w:bookmarkEnd w:id="2"/>
      <w:bookmarkEnd w:id="3"/>
      <w:bookmarkEnd w:id="4"/>
      <w:r>
        <w:rPr>
          <w:rStyle w:val="20"/>
          <w:rFonts w:hint="eastAsia" w:ascii="宋体" w:hAnsi="宋体" w:eastAsia="宋体" w:cs="宋体"/>
          <w:b/>
          <w:bCs/>
          <w:sz w:val="21"/>
          <w:szCs w:val="21"/>
        </w:rPr>
        <w:t>营业执照</w:t>
      </w:r>
    </w:p>
    <w:p w14:paraId="72489C3C">
      <w:pPr>
        <w:spacing w:line="360" w:lineRule="auto"/>
        <w:jc w:val="both"/>
        <w:outlineLvl w:val="1"/>
        <w:rPr>
          <w:rFonts w:hint="eastAsia" w:ascii="宋体" w:hAnsi="宋体" w:eastAsia="宋体" w:cs="宋体"/>
          <w:b/>
          <w:bCs/>
        </w:rPr>
      </w:pPr>
    </w:p>
    <w:p w14:paraId="3305AB96">
      <w:pPr>
        <w:spacing w:line="360" w:lineRule="auto"/>
        <w:jc w:val="both"/>
        <w:outlineLvl w:val="1"/>
        <w:rPr>
          <w:rFonts w:hint="eastAsia" w:ascii="宋体" w:hAnsi="宋体" w:eastAsia="宋体" w:cs="宋体"/>
          <w:b/>
          <w:bCs/>
        </w:rPr>
      </w:pPr>
    </w:p>
    <w:p w14:paraId="2EE8C065">
      <w:pPr>
        <w:spacing w:line="360" w:lineRule="auto"/>
        <w:jc w:val="both"/>
        <w:outlineLvl w:val="1"/>
        <w:rPr>
          <w:rFonts w:hint="eastAsia" w:ascii="宋体" w:hAnsi="宋体" w:eastAsia="宋体" w:cs="宋体"/>
          <w:b/>
          <w:bCs/>
        </w:rPr>
      </w:pPr>
    </w:p>
    <w:p w14:paraId="677FA1A1">
      <w:pPr>
        <w:spacing w:line="360" w:lineRule="auto"/>
        <w:jc w:val="both"/>
        <w:outlineLvl w:val="1"/>
        <w:rPr>
          <w:rFonts w:hint="eastAsia" w:ascii="宋体" w:hAnsi="宋体" w:eastAsia="宋体" w:cs="宋体"/>
          <w:b/>
          <w:bCs/>
        </w:rPr>
      </w:pPr>
    </w:p>
    <w:p w14:paraId="74CD819E">
      <w:pPr>
        <w:spacing w:line="360" w:lineRule="auto"/>
        <w:jc w:val="both"/>
        <w:outlineLvl w:val="1"/>
        <w:rPr>
          <w:rFonts w:hint="eastAsia" w:ascii="宋体" w:hAnsi="宋体" w:eastAsia="宋体" w:cs="宋体"/>
          <w:b/>
          <w:bCs/>
        </w:rPr>
      </w:pPr>
    </w:p>
    <w:p w14:paraId="4D2FA495">
      <w:pPr>
        <w:spacing w:line="360" w:lineRule="auto"/>
        <w:jc w:val="both"/>
        <w:outlineLvl w:val="1"/>
        <w:rPr>
          <w:rFonts w:hint="eastAsia" w:ascii="宋体" w:hAnsi="宋体" w:eastAsia="宋体" w:cs="宋体"/>
          <w:b/>
          <w:bCs/>
        </w:rPr>
      </w:pPr>
    </w:p>
    <w:p w14:paraId="15A3B503">
      <w:pPr>
        <w:spacing w:line="360" w:lineRule="auto"/>
        <w:jc w:val="both"/>
        <w:outlineLvl w:val="1"/>
        <w:rPr>
          <w:rFonts w:hint="eastAsia" w:ascii="宋体" w:hAnsi="宋体" w:eastAsia="宋体" w:cs="宋体"/>
          <w:b/>
          <w:bCs/>
        </w:rPr>
      </w:pPr>
    </w:p>
    <w:p w14:paraId="3E9D2D0B">
      <w:pPr>
        <w:spacing w:line="360" w:lineRule="auto"/>
        <w:jc w:val="both"/>
        <w:outlineLvl w:val="1"/>
        <w:rPr>
          <w:rFonts w:hint="eastAsia" w:ascii="宋体" w:hAnsi="宋体" w:eastAsia="宋体" w:cs="宋体"/>
          <w:b/>
          <w:bCs/>
        </w:rPr>
      </w:pPr>
    </w:p>
    <w:p w14:paraId="060C979D">
      <w:pPr>
        <w:spacing w:line="360" w:lineRule="auto"/>
        <w:jc w:val="both"/>
        <w:outlineLvl w:val="1"/>
        <w:rPr>
          <w:rFonts w:hint="eastAsia" w:ascii="宋体" w:hAnsi="宋体" w:eastAsia="宋体" w:cs="宋体"/>
          <w:b/>
          <w:bCs/>
        </w:rPr>
      </w:pPr>
    </w:p>
    <w:p w14:paraId="59C1E1D6">
      <w:pPr>
        <w:spacing w:line="360" w:lineRule="auto"/>
        <w:jc w:val="both"/>
        <w:outlineLvl w:val="1"/>
        <w:rPr>
          <w:rFonts w:hint="eastAsia" w:ascii="宋体" w:hAnsi="宋体" w:eastAsia="宋体" w:cs="宋体"/>
          <w:b/>
          <w:bCs/>
        </w:rPr>
      </w:pPr>
    </w:p>
    <w:p w14:paraId="05C3877E">
      <w:pPr>
        <w:spacing w:line="360" w:lineRule="auto"/>
        <w:jc w:val="both"/>
        <w:outlineLvl w:val="1"/>
        <w:rPr>
          <w:rFonts w:hint="eastAsia" w:ascii="宋体" w:hAnsi="宋体" w:eastAsia="宋体" w:cs="宋体"/>
          <w:b/>
          <w:bCs/>
        </w:rPr>
      </w:pPr>
    </w:p>
    <w:p w14:paraId="7F3B9FBF">
      <w:pPr>
        <w:spacing w:line="360" w:lineRule="auto"/>
        <w:jc w:val="both"/>
        <w:outlineLvl w:val="1"/>
        <w:rPr>
          <w:rFonts w:hint="eastAsia" w:ascii="宋体" w:hAnsi="宋体" w:eastAsia="宋体" w:cs="宋体"/>
          <w:b/>
          <w:bCs/>
        </w:rPr>
      </w:pPr>
    </w:p>
    <w:p w14:paraId="17EB68CA">
      <w:pPr>
        <w:spacing w:line="360" w:lineRule="auto"/>
        <w:jc w:val="both"/>
        <w:outlineLvl w:val="1"/>
        <w:rPr>
          <w:rFonts w:hint="eastAsia" w:ascii="宋体" w:hAnsi="宋体" w:eastAsia="宋体" w:cs="宋体"/>
          <w:b/>
          <w:bCs/>
        </w:rPr>
      </w:pPr>
    </w:p>
    <w:p w14:paraId="31F251F8">
      <w:pPr>
        <w:spacing w:line="360" w:lineRule="auto"/>
        <w:jc w:val="both"/>
        <w:outlineLvl w:val="1"/>
        <w:rPr>
          <w:rFonts w:hint="eastAsia" w:ascii="宋体" w:hAnsi="宋体" w:eastAsia="宋体" w:cs="宋体"/>
          <w:b/>
          <w:bCs/>
        </w:rPr>
      </w:pPr>
    </w:p>
    <w:p w14:paraId="59B80A79">
      <w:pPr>
        <w:spacing w:line="360" w:lineRule="auto"/>
        <w:jc w:val="both"/>
        <w:outlineLvl w:val="1"/>
        <w:rPr>
          <w:rFonts w:hint="eastAsia" w:ascii="宋体" w:hAnsi="宋体" w:eastAsia="宋体" w:cs="宋体"/>
          <w:b/>
          <w:bCs/>
        </w:rPr>
      </w:pPr>
    </w:p>
    <w:p w14:paraId="3027E15D">
      <w:pPr>
        <w:spacing w:line="360" w:lineRule="auto"/>
        <w:jc w:val="both"/>
        <w:outlineLvl w:val="1"/>
        <w:rPr>
          <w:rFonts w:hint="eastAsia" w:ascii="宋体" w:hAnsi="宋体" w:eastAsia="宋体" w:cs="宋体"/>
          <w:b/>
          <w:bCs/>
        </w:rPr>
      </w:pPr>
    </w:p>
    <w:p w14:paraId="601B7C4E">
      <w:pPr>
        <w:spacing w:line="360" w:lineRule="auto"/>
        <w:jc w:val="both"/>
        <w:outlineLvl w:val="1"/>
        <w:rPr>
          <w:rFonts w:hint="eastAsia" w:ascii="宋体" w:hAnsi="宋体" w:eastAsia="宋体" w:cs="宋体"/>
          <w:b/>
          <w:bCs/>
        </w:rPr>
      </w:pPr>
    </w:p>
    <w:p w14:paraId="293FB58E">
      <w:pPr>
        <w:spacing w:line="360" w:lineRule="auto"/>
        <w:jc w:val="both"/>
        <w:outlineLvl w:val="1"/>
        <w:rPr>
          <w:rFonts w:hint="eastAsia" w:ascii="宋体" w:hAnsi="宋体" w:eastAsia="宋体" w:cs="宋体"/>
          <w:b/>
          <w:bCs/>
        </w:rPr>
      </w:pPr>
    </w:p>
    <w:p w14:paraId="2C30E251">
      <w:pPr>
        <w:spacing w:line="360" w:lineRule="auto"/>
        <w:jc w:val="both"/>
        <w:outlineLvl w:val="1"/>
        <w:rPr>
          <w:rFonts w:hint="eastAsia" w:ascii="宋体" w:hAnsi="宋体" w:eastAsia="宋体" w:cs="宋体"/>
          <w:b/>
          <w:bCs/>
        </w:rPr>
      </w:pPr>
    </w:p>
    <w:p w14:paraId="595548D8">
      <w:pPr>
        <w:spacing w:line="360" w:lineRule="auto"/>
        <w:jc w:val="both"/>
        <w:outlineLvl w:val="1"/>
        <w:rPr>
          <w:rFonts w:hint="eastAsia" w:ascii="宋体" w:hAnsi="宋体" w:eastAsia="宋体" w:cs="宋体"/>
          <w:b/>
          <w:bCs/>
        </w:rPr>
      </w:pPr>
    </w:p>
    <w:p w14:paraId="45B25240">
      <w:pPr>
        <w:spacing w:line="360" w:lineRule="auto"/>
        <w:jc w:val="both"/>
        <w:outlineLvl w:val="1"/>
        <w:rPr>
          <w:rFonts w:hint="eastAsia" w:ascii="宋体" w:hAnsi="宋体" w:eastAsia="宋体" w:cs="宋体"/>
          <w:b/>
          <w:bCs/>
        </w:rPr>
      </w:pPr>
    </w:p>
    <w:p w14:paraId="337A05CD">
      <w:pPr>
        <w:spacing w:line="360" w:lineRule="auto"/>
        <w:jc w:val="both"/>
        <w:outlineLvl w:val="1"/>
        <w:rPr>
          <w:rFonts w:hint="eastAsia" w:ascii="宋体" w:hAnsi="宋体" w:eastAsia="宋体" w:cs="宋体"/>
          <w:b/>
          <w:bCs/>
        </w:rPr>
      </w:pPr>
    </w:p>
    <w:p w14:paraId="4CB2CBFD">
      <w:pPr>
        <w:spacing w:line="360" w:lineRule="auto"/>
        <w:jc w:val="both"/>
        <w:outlineLvl w:val="1"/>
        <w:rPr>
          <w:rFonts w:hint="eastAsia" w:ascii="宋体" w:hAnsi="宋体" w:eastAsia="宋体" w:cs="宋体"/>
          <w:b/>
          <w:bCs/>
        </w:rPr>
      </w:pPr>
    </w:p>
    <w:p w14:paraId="3D878409">
      <w:pPr>
        <w:spacing w:line="360" w:lineRule="auto"/>
        <w:jc w:val="both"/>
        <w:outlineLvl w:val="1"/>
        <w:rPr>
          <w:rFonts w:hint="eastAsia" w:ascii="宋体" w:hAnsi="宋体" w:eastAsia="宋体" w:cs="宋体"/>
          <w:b/>
          <w:bCs/>
        </w:rPr>
      </w:pPr>
    </w:p>
    <w:p w14:paraId="563CBCFF">
      <w:pPr>
        <w:spacing w:line="360" w:lineRule="auto"/>
        <w:jc w:val="both"/>
        <w:outlineLvl w:val="1"/>
        <w:rPr>
          <w:rFonts w:hint="eastAsia" w:ascii="宋体" w:hAnsi="宋体" w:eastAsia="宋体" w:cs="宋体"/>
          <w:b/>
          <w:bCs/>
        </w:rPr>
      </w:pPr>
    </w:p>
    <w:p w14:paraId="16DB9365">
      <w:pPr>
        <w:spacing w:line="360" w:lineRule="auto"/>
        <w:jc w:val="both"/>
        <w:outlineLvl w:val="1"/>
        <w:rPr>
          <w:rFonts w:hint="eastAsia" w:ascii="宋体" w:hAnsi="宋体" w:eastAsia="宋体" w:cs="宋体"/>
          <w:b/>
          <w:bCs/>
        </w:rPr>
      </w:pPr>
    </w:p>
    <w:p w14:paraId="6BBAF08C">
      <w:pPr>
        <w:spacing w:line="360" w:lineRule="auto"/>
        <w:jc w:val="both"/>
        <w:outlineLvl w:val="1"/>
        <w:rPr>
          <w:rFonts w:hint="eastAsia" w:ascii="宋体" w:hAnsi="宋体" w:eastAsia="宋体" w:cs="宋体"/>
          <w:b/>
          <w:bCs/>
        </w:rPr>
      </w:pPr>
    </w:p>
    <w:p w14:paraId="5EC0F7AF">
      <w:pPr>
        <w:spacing w:line="360" w:lineRule="auto"/>
        <w:jc w:val="both"/>
        <w:outlineLvl w:val="1"/>
        <w:rPr>
          <w:rFonts w:hint="eastAsia" w:ascii="宋体" w:hAnsi="宋体" w:eastAsia="宋体" w:cs="宋体"/>
          <w:b/>
          <w:bCs/>
        </w:rPr>
      </w:pPr>
    </w:p>
    <w:p w14:paraId="5FC29E60">
      <w:pPr>
        <w:spacing w:line="360" w:lineRule="auto"/>
        <w:jc w:val="both"/>
        <w:outlineLvl w:val="1"/>
        <w:rPr>
          <w:rFonts w:hint="eastAsia" w:ascii="宋体" w:hAnsi="宋体" w:eastAsia="宋体" w:cs="宋体"/>
          <w:b/>
          <w:bCs/>
        </w:rPr>
      </w:pPr>
    </w:p>
    <w:p w14:paraId="39D5D4C8">
      <w:pPr>
        <w:pStyle w:val="13"/>
        <w:spacing w:line="360" w:lineRule="auto"/>
        <w:ind w:left="0" w:leftChars="0" w:firstLine="0" w:firstLineChars="0"/>
        <w:jc w:val="both"/>
        <w:outlineLvl w:val="1"/>
        <w:rPr>
          <w:rFonts w:hint="eastAsia" w:ascii="宋体" w:hAnsi="宋体" w:eastAsia="宋体" w:cs="宋体"/>
          <w:color w:val="auto"/>
          <w:sz w:val="21"/>
          <w:szCs w:val="21"/>
        </w:rPr>
      </w:pPr>
      <w:bookmarkStart w:id="5" w:name="_Toc12015"/>
      <w:bookmarkStart w:id="6" w:name="_Toc11351"/>
      <w:bookmarkStart w:id="7" w:name="_Toc27661"/>
      <w:bookmarkStart w:id="8" w:name="_Toc25638"/>
      <w:bookmarkStart w:id="9" w:name="_Toc20589"/>
      <w:bookmarkStart w:id="10" w:name="_Toc15526"/>
      <w:r>
        <w:rPr>
          <w:rStyle w:val="20"/>
          <w:rFonts w:hint="eastAsia" w:ascii="宋体" w:hAnsi="宋体" w:eastAsia="宋体" w:cs="宋体"/>
          <w:b/>
          <w:bCs/>
          <w:sz w:val="21"/>
          <w:szCs w:val="21"/>
          <w:lang w:val="en-US" w:eastAsia="zh-CN"/>
        </w:rPr>
        <w:t>三、</w:t>
      </w:r>
      <w:r>
        <w:rPr>
          <w:rStyle w:val="20"/>
          <w:rFonts w:hint="eastAsia" w:ascii="宋体" w:hAnsi="宋体" w:eastAsia="宋体" w:cs="宋体"/>
          <w:b/>
          <w:bCs/>
          <w:sz w:val="21"/>
          <w:szCs w:val="21"/>
        </w:rPr>
        <w:t>法定代表人身份证明书</w:t>
      </w:r>
      <w:bookmarkEnd w:id="5"/>
      <w:bookmarkEnd w:id="6"/>
      <w:bookmarkEnd w:id="7"/>
      <w:bookmarkEnd w:id="8"/>
      <w:bookmarkEnd w:id="9"/>
      <w:bookmarkEnd w:id="10"/>
    </w:p>
    <w:p w14:paraId="4A1F51DA">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65DBC189">
      <w:pPr>
        <w:spacing w:line="480" w:lineRule="exact"/>
        <w:rPr>
          <w:rFonts w:hint="eastAsia" w:ascii="宋体" w:hAnsi="宋体" w:eastAsia="宋体" w:cs="宋体"/>
          <w:sz w:val="24"/>
        </w:rPr>
      </w:pPr>
    </w:p>
    <w:p w14:paraId="66F41128">
      <w:pPr>
        <w:spacing w:line="480" w:lineRule="exact"/>
        <w:ind w:firstLine="470" w:firstLineChars="196"/>
        <w:rPr>
          <w:rFonts w:hint="eastAsia" w:ascii="宋体" w:hAnsi="宋体" w:eastAsia="宋体" w:cs="宋体"/>
          <w:sz w:val="24"/>
        </w:rPr>
      </w:pPr>
    </w:p>
    <w:p w14:paraId="78DD6DFB">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1564925B">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4DA1CBA0">
      <w:pPr>
        <w:spacing w:line="480" w:lineRule="exact"/>
        <w:rPr>
          <w:rFonts w:hint="eastAsia" w:ascii="宋体" w:hAnsi="宋体" w:eastAsia="宋体" w:cs="宋体"/>
          <w:sz w:val="24"/>
        </w:rPr>
      </w:pPr>
    </w:p>
    <w:p w14:paraId="2568D6A7">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4AC9D98C">
      <w:pPr>
        <w:spacing w:line="480" w:lineRule="exact"/>
        <w:rPr>
          <w:rFonts w:hint="eastAsia" w:ascii="宋体" w:hAnsi="宋体" w:eastAsia="宋体" w:cs="宋体"/>
          <w:sz w:val="24"/>
        </w:rPr>
      </w:pPr>
    </w:p>
    <w:p w14:paraId="3B891C2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39FA8096">
      <w:pPr>
        <w:spacing w:line="480" w:lineRule="exact"/>
        <w:rPr>
          <w:rFonts w:hint="eastAsia" w:ascii="宋体" w:hAnsi="宋体" w:eastAsia="宋体" w:cs="宋体"/>
          <w:sz w:val="24"/>
        </w:rPr>
      </w:pPr>
    </w:p>
    <w:p w14:paraId="0CCA230E">
      <w:pPr>
        <w:spacing w:line="480" w:lineRule="exact"/>
        <w:rPr>
          <w:rFonts w:hint="eastAsia" w:ascii="宋体" w:hAnsi="宋体" w:eastAsia="宋体" w:cs="宋体"/>
          <w:sz w:val="24"/>
        </w:rPr>
      </w:pPr>
    </w:p>
    <w:p w14:paraId="017681D0">
      <w:pPr>
        <w:spacing w:line="480" w:lineRule="exact"/>
        <w:jc w:val="center"/>
        <w:rPr>
          <w:rFonts w:hint="eastAsia" w:ascii="宋体" w:hAnsi="宋体" w:eastAsia="宋体" w:cs="宋体"/>
          <w:sz w:val="24"/>
        </w:rPr>
      </w:pPr>
      <w:r>
        <w:rPr>
          <w:rFonts w:hint="eastAsia" w:ascii="宋体" w:hAnsi="宋体" w:eastAsia="宋体" w:cs="宋体"/>
          <w:sz w:val="24"/>
        </w:rPr>
        <w:t>单位（盖章）：</w:t>
      </w:r>
    </w:p>
    <w:p w14:paraId="49B10F8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4C36D704">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1312"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1312;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v:textbox>
                <w10:wrap type="square"/>
              </v:shape>
            </w:pict>
          </mc:Fallback>
        </mc:AlternateContent>
      </w:r>
    </w:p>
    <w:p w14:paraId="5177E6A1">
      <w:pPr>
        <w:pStyle w:val="19"/>
        <w:rPr>
          <w:rFonts w:hint="eastAsia" w:ascii="宋体" w:hAnsi="宋体" w:eastAsia="宋体" w:cs="宋体"/>
          <w:lang w:eastAsia="zh-CN"/>
        </w:rPr>
      </w:pPr>
    </w:p>
    <w:p w14:paraId="2E8967E4">
      <w:pPr>
        <w:pStyle w:val="18"/>
        <w:spacing w:line="360" w:lineRule="auto"/>
        <w:jc w:val="center"/>
        <w:rPr>
          <w:rStyle w:val="20"/>
          <w:rFonts w:hint="eastAsia" w:ascii="宋体" w:hAnsi="宋体" w:eastAsia="宋体" w:cs="宋体"/>
          <w:b/>
          <w:bCs/>
          <w:color w:val="auto"/>
          <w:kern w:val="2"/>
          <w:sz w:val="32"/>
          <w:szCs w:val="28"/>
        </w:rPr>
      </w:pPr>
    </w:p>
    <w:p w14:paraId="4154A4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6BEC55C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0101DC7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2625482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r>
        <w:rPr>
          <w:rStyle w:val="20"/>
          <w:rFonts w:hint="eastAsia" w:hAnsi="宋体" w:cs="宋体"/>
          <w:b/>
          <w:bCs/>
          <w:color w:val="auto"/>
          <w:kern w:val="2"/>
          <w:sz w:val="21"/>
          <w:szCs w:val="21"/>
          <w:lang w:val="en-US" w:eastAsia="zh-CN"/>
        </w:rPr>
        <w:t>四、法定代表人授权委托书（若法人参与投标，则不需填写本表）</w:t>
      </w:r>
    </w:p>
    <w:p w14:paraId="5CD3653D">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2F4CBCE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中山市小榄人民医院</w:t>
      </w:r>
    </w:p>
    <w:p w14:paraId="361EAD0D">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A1FF0B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14E733B6">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4FED001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6B5D6CAA">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7AA69CE0">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5D367AF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554BC4BC">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22CEA495">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3F530F3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55A807AC">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605BA9FD">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6D4940B5">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311E38AA">
      <w:pPr>
        <w:pStyle w:val="6"/>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58095B9C">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62BA1263">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040096C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r>
        <w:rPr>
          <w:rStyle w:val="20"/>
          <w:rFonts w:hint="eastAsia" w:hAnsi="宋体" w:cs="宋体"/>
          <w:b/>
          <w:bCs/>
          <w:color w:val="auto"/>
          <w:kern w:val="2"/>
          <w:sz w:val="21"/>
          <w:szCs w:val="21"/>
          <w:lang w:val="en-US" w:eastAsia="zh-CN"/>
        </w:rPr>
        <w:t>五、无围标、串标行为声明函</w:t>
      </w:r>
    </w:p>
    <w:p w14:paraId="55A91983">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4D0E5580">
      <w:pPr>
        <w:rPr>
          <w:rFonts w:hint="eastAsia" w:ascii="宋体" w:hAnsi="宋体" w:eastAsia="宋体" w:cs="宋体"/>
        </w:rPr>
      </w:pPr>
    </w:p>
    <w:p w14:paraId="781D710C">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rPr>
        <w:t>中山市小榄人民医院</w:t>
      </w:r>
      <w:r>
        <w:rPr>
          <w:rFonts w:hint="eastAsia" w:ascii="宋体" w:hAnsi="宋体" w:eastAsia="宋体" w:cs="宋体"/>
          <w:sz w:val="24"/>
          <w:u w:val="single"/>
          <w:lang w:val="en-US" w:eastAsia="zh-CN"/>
        </w:rPr>
        <w:t>中山市小榄人民医院病原微生物高通量测序外送检测服务采购项目</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5178739E">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09A50A52">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34A2D41B">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3A98A62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4E423D7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5F2557B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0F19354">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653298AE">
      <w:pPr>
        <w:spacing w:line="360" w:lineRule="auto"/>
        <w:rPr>
          <w:rFonts w:hint="eastAsia" w:ascii="宋体" w:hAnsi="宋体" w:eastAsia="宋体" w:cs="宋体"/>
          <w:sz w:val="24"/>
        </w:rPr>
      </w:pPr>
    </w:p>
    <w:p w14:paraId="688389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1C9807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34DCA673">
      <w:pPr>
        <w:spacing w:before="156" w:beforeLines="50" w:after="156" w:afterLines="50" w:line="360" w:lineRule="auto"/>
        <w:ind w:firstLine="480" w:firstLineChars="200"/>
        <w:rPr>
          <w:rFonts w:hint="eastAsia" w:ascii="宋体" w:hAnsi="宋体" w:eastAsia="宋体" w:cs="宋体"/>
          <w:sz w:val="24"/>
        </w:rPr>
      </w:pPr>
    </w:p>
    <w:p w14:paraId="4A62D2CB">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4869F83B">
      <w:pPr>
        <w:spacing w:before="156" w:beforeLines="50" w:after="156" w:afterLines="50" w:line="360" w:lineRule="auto"/>
        <w:rPr>
          <w:rFonts w:hint="eastAsia"/>
        </w:rPr>
      </w:pPr>
      <w:r>
        <w:rPr>
          <w:rFonts w:hint="eastAsia" w:ascii="宋体" w:hAnsi="宋体" w:eastAsia="宋体" w:cs="宋体"/>
          <w:sz w:val="24"/>
        </w:rPr>
        <w:t>供应商名称（加盖公章）：</w:t>
      </w:r>
    </w:p>
    <w:p w14:paraId="0D25A6B3">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1CAE6A51">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745FCD9D">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534F0B0C">
      <w:pPr>
        <w:pStyle w:val="19"/>
        <w:rPr>
          <w:rFonts w:hint="eastAsia" w:ascii="宋体" w:hAnsi="宋体" w:eastAsia="宋体" w:cs="宋体"/>
          <w:b w:val="0"/>
          <w:bCs/>
          <w:color w:val="auto"/>
          <w:sz w:val="24"/>
          <w:szCs w:val="24"/>
          <w:highlight w:val="none"/>
        </w:rPr>
      </w:pPr>
    </w:p>
    <w:p w14:paraId="39AC33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bookmarkStart w:id="11" w:name="_Toc26969"/>
      <w:bookmarkStart w:id="12" w:name="_Toc1074"/>
      <w:bookmarkStart w:id="13" w:name="_Toc23967"/>
      <w:bookmarkStart w:id="14" w:name="_Toc12967"/>
      <w:bookmarkStart w:id="15" w:name="_Toc16435"/>
      <w:bookmarkStart w:id="16" w:name="_Toc2041"/>
    </w:p>
    <w:p w14:paraId="7AC3DCC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2E8017FA">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47E35CA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1B7564F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077BEEB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28C6BB2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r>
        <w:rPr>
          <w:rFonts w:hint="eastAsia" w:ascii="宋体" w:hAnsi="宋体" w:eastAsia="宋体" w:cs="宋体"/>
          <w:b/>
          <w:bCs/>
          <w:kern w:val="2"/>
          <w:sz w:val="21"/>
          <w:szCs w:val="22"/>
          <w:lang w:val="en-US" w:eastAsia="zh-CN" w:bidi="ar-SA"/>
        </w:rPr>
        <w:t>六、</w:t>
      </w:r>
      <w:r>
        <w:rPr>
          <w:rStyle w:val="20"/>
          <w:rFonts w:hint="eastAsia" w:hAnsi="宋体" w:cs="宋体"/>
          <w:b/>
          <w:bCs/>
          <w:color w:val="auto"/>
          <w:kern w:val="2"/>
          <w:sz w:val="21"/>
          <w:szCs w:val="21"/>
          <w:lang w:val="en-US" w:eastAsia="zh-CN"/>
        </w:rPr>
        <w:t>厂家资质证件（包括但不限于营业执照、医疗器械生产许可证等）</w:t>
      </w:r>
    </w:p>
    <w:p w14:paraId="6D2AEAD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6A62B4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CAB798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53C342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0BB214B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430873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91D833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65CE46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7BA7B8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3744C4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3A06F5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AEA779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F531B7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89E64A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0D4DB9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23A770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99344A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F3B5FD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DDA2C0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A658B6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A04D22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894B7F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B5EA66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3B3518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33B471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5D5DCF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F509F3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5DF897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5291B0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6677FE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r>
        <w:rPr>
          <w:rStyle w:val="20"/>
          <w:rFonts w:hint="eastAsia" w:hAnsi="宋体" w:cs="宋体"/>
          <w:b/>
          <w:bCs/>
          <w:color w:val="auto"/>
          <w:kern w:val="2"/>
          <w:sz w:val="21"/>
          <w:szCs w:val="21"/>
          <w:lang w:val="en-US" w:eastAsia="zh-CN"/>
        </w:rPr>
        <w:t>七、各级经销商资质证件（包括但不限于营业执照、医疗器械经营许可证、备案等）</w:t>
      </w:r>
    </w:p>
    <w:p w14:paraId="75DD194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0C1969C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0F2BE4E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28B2CAA0">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69B3133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32FFC99E">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7FBB45A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3C3046E8">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2DC34D0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52080F08">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64ACD5E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5C26FFD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5F76848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410F24E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530ECFC0">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1E6AF15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1E40089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6B535DAE">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5CD1B43C">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6CCCD91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04FCF5D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618E4E8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0BDADE1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46068407">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653A6C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6C15753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63034936">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2842F6C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3E51A39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6EAD7EB2">
      <w:pPr>
        <w:keepNext w:val="0"/>
        <w:keepLines w:val="0"/>
        <w:pageBreakBefore w:val="0"/>
        <w:numPr>
          <w:ilvl w:val="0"/>
          <w:numId w:val="2"/>
        </w:numPr>
        <w:shd w:val="clear"/>
        <w:kinsoku/>
        <w:wordWrap/>
        <w:overflowPunct/>
        <w:topLinePunct w:val="0"/>
        <w:autoSpaceDE/>
        <w:autoSpaceDN/>
        <w:bidi w:val="0"/>
        <w:adjustRightInd/>
        <w:snapToGrid/>
        <w:spacing w:line="360" w:lineRule="auto"/>
        <w:ind w:left="0" w:leftChars="0" w:firstLine="0" w:firstLineChars="0"/>
        <w:jc w:val="both"/>
        <w:textAlignment w:val="auto"/>
        <w:rPr>
          <w:rStyle w:val="20"/>
          <w:rFonts w:hint="eastAsia" w:ascii="Times New Roman" w:hAnsi="宋体" w:eastAsia="宋体" w:cs="宋体"/>
          <w:b/>
          <w:bCs/>
          <w:color w:val="auto"/>
          <w:kern w:val="2"/>
          <w:sz w:val="21"/>
          <w:szCs w:val="21"/>
          <w:lang w:val="en-US" w:eastAsia="zh-CN"/>
        </w:rPr>
      </w:pPr>
      <w:r>
        <w:rPr>
          <w:rStyle w:val="20"/>
          <w:rFonts w:hint="eastAsia" w:hAnsi="宋体" w:cs="宋体"/>
          <w:b/>
          <w:bCs/>
          <w:color w:val="auto"/>
          <w:kern w:val="2"/>
          <w:sz w:val="21"/>
          <w:szCs w:val="21"/>
          <w:lang w:val="en-US" w:eastAsia="zh-CN"/>
        </w:rPr>
        <w:t>相关授权</w:t>
      </w:r>
    </w:p>
    <w:p w14:paraId="4550773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177BDF8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6B659A1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2C11F96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33E2E472">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441B8CD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2E74796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24B51CF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46FB515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5B3A515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475CBBF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792DC3C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339BEED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0CD2E27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6BADE4F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7D99A25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6008373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632B677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1E51CCB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08AF9B8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2297DF3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12BFAF9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31FBDE5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09679FC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4615C33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0E32EA0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105CB99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7493E22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559EBFF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sectPr>
          <w:head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2E21EFD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6F644F8E">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Style w:val="20"/>
          <w:rFonts w:hint="eastAsia" w:hAnsi="宋体" w:cs="宋体"/>
          <w:b/>
          <w:bCs/>
          <w:color w:val="auto"/>
          <w:kern w:val="2"/>
          <w:sz w:val="21"/>
          <w:szCs w:val="21"/>
          <w:lang w:val="en-US" w:eastAsia="zh-CN"/>
        </w:rPr>
        <w:t>九、采购需求偏离表</w:t>
      </w:r>
      <w:bookmarkEnd w:id="11"/>
      <w:bookmarkEnd w:id="12"/>
      <w:bookmarkEnd w:id="13"/>
      <w:bookmarkEnd w:id="14"/>
      <w:bookmarkEnd w:id="15"/>
      <w:bookmarkEnd w:id="16"/>
    </w:p>
    <w:p w14:paraId="44104E7C">
      <w:pPr>
        <w:pStyle w:val="6"/>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6647CBB5">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val="0"/>
          <w:bCs w:val="0"/>
          <w:color w:val="auto"/>
          <w:kern w:val="2"/>
          <w:sz w:val="21"/>
          <w:szCs w:val="21"/>
          <w:lang w:val="en-US" w:eastAsia="zh-CN"/>
        </w:rPr>
      </w:pPr>
      <w:r>
        <w:rPr>
          <w:rStyle w:val="20"/>
          <w:rFonts w:hint="eastAsia" w:hAnsi="宋体" w:cs="宋体"/>
          <w:b w:val="0"/>
          <w:bCs w:val="0"/>
          <w:color w:val="auto"/>
          <w:kern w:val="2"/>
          <w:sz w:val="21"/>
          <w:szCs w:val="21"/>
          <w:lang w:val="en-US" w:eastAsia="zh-CN"/>
        </w:rPr>
        <w:t>填写要求：</w:t>
      </w:r>
    </w:p>
    <w:p w14:paraId="03F1D783">
      <w:pPr>
        <w:keepNext w:val="0"/>
        <w:keepLines w:val="0"/>
        <w:pageBreakBefore w:val="0"/>
        <w:numPr>
          <w:ilvl w:val="0"/>
          <w:numId w:val="3"/>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val="0"/>
          <w:bCs w:val="0"/>
          <w:color w:val="auto"/>
          <w:kern w:val="2"/>
          <w:sz w:val="21"/>
          <w:szCs w:val="21"/>
          <w:lang w:val="en-US" w:eastAsia="zh-CN"/>
        </w:rPr>
      </w:pPr>
      <w:r>
        <w:rPr>
          <w:rStyle w:val="20"/>
          <w:rFonts w:hint="eastAsia" w:hAnsi="宋体" w:cs="宋体"/>
          <w:b w:val="0"/>
          <w:bCs w:val="0"/>
          <w:color w:val="auto"/>
          <w:kern w:val="2"/>
          <w:sz w:val="21"/>
          <w:szCs w:val="21"/>
          <w:lang w:val="en-US" w:eastAsia="zh-CN"/>
        </w:rPr>
        <w:t>请按采购需求的要求逐条响应，正负偏离参数请备注说明。</w:t>
      </w:r>
    </w:p>
    <w:p w14:paraId="0146DACA">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lang w:val="en-US" w:eastAsia="zh-CN"/>
        </w:rPr>
      </w:pPr>
      <w:r>
        <w:rPr>
          <w:rStyle w:val="20"/>
          <w:rFonts w:hint="eastAsia" w:hAnsi="宋体" w:cs="宋体"/>
          <w:b w:val="0"/>
          <w:bCs w:val="0"/>
          <w:color w:val="auto"/>
          <w:kern w:val="2"/>
          <w:sz w:val="21"/>
          <w:szCs w:val="21"/>
          <w:lang w:val="en-US" w:eastAsia="zh-CN"/>
        </w:rPr>
        <w:t>2、其中带★的参数是必须完全响应的参数。带</w:t>
      </w:r>
      <w:r>
        <w:rPr>
          <w:rFonts w:hint="eastAsia" w:ascii="宋体" w:hAnsi="宋体" w:eastAsia="宋体" w:cs="宋体"/>
        </w:rPr>
        <w:t>▲</w:t>
      </w:r>
      <w:r>
        <w:rPr>
          <w:rFonts w:hint="eastAsia" w:ascii="宋体" w:hAnsi="宋体" w:eastAsia="宋体" w:cs="宋体"/>
          <w:lang w:val="en-US" w:eastAsia="zh-CN"/>
        </w:rPr>
        <w:t>的参数为重要参数。</w:t>
      </w:r>
    </w:p>
    <w:tbl>
      <w:tblPr>
        <w:tblStyle w:val="15"/>
        <w:tblW w:w="1465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848"/>
        <w:gridCol w:w="11168"/>
        <w:gridCol w:w="1240"/>
        <w:gridCol w:w="1395"/>
      </w:tblGrid>
      <w:tr w14:paraId="19F5AF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9E72B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20"/>
                <w:rFonts w:hint="eastAsia" w:ascii="宋体" w:hAnsi="宋体" w:eastAsia="宋体" w:cs="宋体"/>
                <w:b w:val="0"/>
                <w:bCs w:val="0"/>
                <w:color w:val="auto"/>
                <w:kern w:val="2"/>
                <w:sz w:val="21"/>
                <w:szCs w:val="21"/>
                <w:lang w:val="en-US" w:eastAsia="zh-CN"/>
              </w:rPr>
            </w:pPr>
            <w:r>
              <w:rPr>
                <w:rStyle w:val="20"/>
                <w:rFonts w:hint="eastAsia" w:ascii="宋体" w:hAnsi="宋体" w:eastAsia="宋体" w:cs="宋体"/>
                <w:b w:val="0"/>
                <w:bCs w:val="0"/>
                <w:color w:val="auto"/>
                <w:kern w:val="2"/>
                <w:sz w:val="21"/>
                <w:szCs w:val="21"/>
                <w:lang w:val="zh-TW" w:eastAsia="zh-TW"/>
              </w:rPr>
              <w:t>序号</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04EC5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20"/>
                <w:rFonts w:hint="eastAsia" w:ascii="宋体" w:hAnsi="宋体" w:eastAsia="宋体" w:cs="宋体"/>
                <w:b w:val="0"/>
                <w:bCs w:val="0"/>
                <w:color w:val="auto"/>
                <w:kern w:val="2"/>
                <w:sz w:val="21"/>
                <w:szCs w:val="21"/>
                <w:lang w:val="en-US" w:eastAsia="zh-CN"/>
              </w:rPr>
            </w:pPr>
            <w:r>
              <w:rPr>
                <w:rStyle w:val="20"/>
                <w:rFonts w:hint="eastAsia" w:ascii="宋体" w:hAnsi="宋体" w:eastAsia="宋体" w:cs="宋体"/>
                <w:b w:val="0"/>
                <w:bCs w:val="0"/>
                <w:color w:val="auto"/>
                <w:kern w:val="2"/>
                <w:sz w:val="21"/>
                <w:szCs w:val="21"/>
                <w:lang w:val="zh-TW" w:eastAsia="zh-TW"/>
              </w:rPr>
              <w:t>采购</w:t>
            </w:r>
            <w:r>
              <w:rPr>
                <w:rStyle w:val="20"/>
                <w:rFonts w:hint="eastAsia" w:ascii="宋体" w:hAnsi="宋体" w:eastAsia="宋体" w:cs="宋体"/>
                <w:b w:val="0"/>
                <w:bCs w:val="0"/>
                <w:color w:val="auto"/>
                <w:kern w:val="2"/>
                <w:sz w:val="21"/>
                <w:szCs w:val="21"/>
                <w:lang w:val="zh-TW" w:eastAsia="zh-CN"/>
              </w:rPr>
              <w:t>需求的</w:t>
            </w:r>
            <w:r>
              <w:rPr>
                <w:rStyle w:val="20"/>
                <w:rFonts w:hint="eastAsia" w:ascii="宋体" w:hAnsi="宋体" w:eastAsia="宋体" w:cs="宋体"/>
                <w:b w:val="0"/>
                <w:bCs w:val="0"/>
                <w:color w:val="auto"/>
                <w:kern w:val="2"/>
                <w:sz w:val="21"/>
                <w:szCs w:val="21"/>
                <w:lang w:val="zh-TW" w:eastAsia="zh-TW"/>
              </w:rPr>
              <w:t>要求</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3564D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20"/>
                <w:rFonts w:hint="eastAsia" w:ascii="宋体" w:hAnsi="宋体" w:eastAsia="宋体" w:cs="宋体"/>
                <w:b w:val="0"/>
                <w:bCs w:val="0"/>
                <w:color w:val="auto"/>
                <w:kern w:val="2"/>
                <w:sz w:val="21"/>
                <w:szCs w:val="21"/>
                <w:lang w:val="zh-TW" w:eastAsia="zh-CN"/>
              </w:rPr>
            </w:pPr>
            <w:r>
              <w:rPr>
                <w:rStyle w:val="20"/>
                <w:rFonts w:hint="eastAsia" w:ascii="宋体" w:hAnsi="宋体" w:eastAsia="宋体" w:cs="宋体"/>
                <w:b w:val="0"/>
                <w:bCs w:val="0"/>
                <w:color w:val="auto"/>
                <w:kern w:val="2"/>
                <w:sz w:val="21"/>
                <w:szCs w:val="21"/>
                <w:lang w:val="zh-TW" w:eastAsia="zh-CN"/>
              </w:rPr>
              <w:t>完全响应或</w:t>
            </w:r>
          </w:p>
          <w:p w14:paraId="58E19C7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20"/>
                <w:rFonts w:hint="eastAsia" w:ascii="宋体" w:hAnsi="宋体" w:eastAsia="宋体" w:cs="宋体"/>
                <w:b w:val="0"/>
                <w:bCs w:val="0"/>
                <w:color w:val="auto"/>
                <w:kern w:val="2"/>
                <w:sz w:val="21"/>
                <w:szCs w:val="21"/>
                <w:lang w:val="en-US" w:eastAsia="zh-CN"/>
              </w:rPr>
            </w:pPr>
            <w:r>
              <w:rPr>
                <w:rStyle w:val="20"/>
                <w:rFonts w:hint="eastAsia" w:ascii="宋体" w:hAnsi="宋体" w:eastAsia="宋体" w:cs="宋体"/>
                <w:b w:val="0"/>
                <w:bCs w:val="0"/>
                <w:color w:val="auto"/>
                <w:kern w:val="2"/>
                <w:sz w:val="21"/>
                <w:szCs w:val="21"/>
                <w:lang w:val="zh-TW" w:eastAsia="zh-CN"/>
              </w:rPr>
              <w:t>正/负偏离</w:t>
            </w: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617BE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20"/>
                <w:rFonts w:hint="eastAsia" w:ascii="宋体" w:hAnsi="宋体" w:eastAsia="宋体" w:cs="宋体"/>
                <w:b w:val="0"/>
                <w:bCs w:val="0"/>
                <w:color w:val="auto"/>
                <w:kern w:val="2"/>
                <w:sz w:val="21"/>
                <w:szCs w:val="21"/>
                <w:lang w:val="en-US" w:eastAsia="zh-CN"/>
              </w:rPr>
            </w:pPr>
            <w:r>
              <w:rPr>
                <w:rStyle w:val="20"/>
                <w:rFonts w:hint="eastAsia" w:ascii="宋体" w:hAnsi="宋体" w:eastAsia="宋体" w:cs="宋体"/>
                <w:b w:val="0"/>
                <w:bCs w:val="0"/>
                <w:color w:val="auto"/>
                <w:kern w:val="2"/>
                <w:sz w:val="21"/>
                <w:szCs w:val="21"/>
                <w:lang w:val="zh-TW" w:eastAsia="zh-TW"/>
              </w:rPr>
              <w:t>偏离情况</w:t>
            </w:r>
            <w:r>
              <w:rPr>
                <w:rStyle w:val="20"/>
                <w:rFonts w:hint="eastAsia" w:ascii="宋体" w:hAnsi="宋体" w:eastAsia="宋体" w:cs="宋体"/>
                <w:b w:val="0"/>
                <w:bCs w:val="0"/>
                <w:color w:val="auto"/>
                <w:kern w:val="2"/>
                <w:sz w:val="21"/>
                <w:szCs w:val="21"/>
                <w:lang w:val="zh-TW" w:eastAsia="zh-CN"/>
              </w:rPr>
              <w:t>（</w:t>
            </w:r>
            <w:r>
              <w:rPr>
                <w:rStyle w:val="20"/>
                <w:rFonts w:hint="eastAsia" w:ascii="宋体" w:hAnsi="宋体" w:eastAsia="宋体" w:cs="宋体"/>
                <w:b w:val="0"/>
                <w:bCs w:val="0"/>
                <w:color w:val="auto"/>
                <w:kern w:val="2"/>
                <w:sz w:val="21"/>
                <w:szCs w:val="21"/>
                <w:lang w:val="en-US" w:eastAsia="zh-CN"/>
              </w:rPr>
              <w:t>完全响应请填证明材料对应的页码</w:t>
            </w:r>
            <w:r>
              <w:rPr>
                <w:rStyle w:val="20"/>
                <w:rFonts w:hint="eastAsia" w:ascii="宋体" w:hAnsi="宋体" w:eastAsia="宋体" w:cs="宋体"/>
                <w:b w:val="0"/>
                <w:bCs w:val="0"/>
                <w:color w:val="auto"/>
                <w:kern w:val="2"/>
                <w:sz w:val="21"/>
                <w:szCs w:val="21"/>
                <w:lang w:val="zh-TW" w:eastAsia="zh-CN"/>
              </w:rPr>
              <w:t>）</w:t>
            </w:r>
          </w:p>
        </w:tc>
      </w:tr>
      <w:tr w14:paraId="2FFEE2E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1465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97D126">
            <w:pPr>
              <w:numPr>
                <w:ilvl w:val="0"/>
                <w:numId w:val="0"/>
              </w:numPr>
              <w:spacing w:line="440" w:lineRule="exact"/>
              <w:rPr>
                <w:rFonts w:hint="eastAsia" w:ascii="宋体" w:hAnsi="宋体" w:eastAsia="宋体" w:cs="宋体"/>
                <w:b w:val="0"/>
                <w:bCs w:val="0"/>
                <w:color w:val="auto"/>
                <w:kern w:val="2"/>
                <w:sz w:val="21"/>
                <w:szCs w:val="21"/>
                <w:lang w:val="en-US" w:eastAsia="zh-CN" w:bidi="ar-SA"/>
              </w:rPr>
            </w:pPr>
            <w:r>
              <w:rPr>
                <w:rFonts w:hint="eastAsia" w:ascii="仿宋" w:hAnsi="仿宋" w:eastAsia="仿宋" w:cs="仿宋"/>
                <w:b/>
                <w:color w:val="auto"/>
                <w:sz w:val="24"/>
                <w:lang w:val="en-US" w:eastAsia="zh-CN"/>
              </w:rPr>
              <w:t>一、</w:t>
            </w:r>
            <w:r>
              <w:rPr>
                <w:rFonts w:hint="eastAsia" w:ascii="仿宋" w:hAnsi="仿宋" w:eastAsia="仿宋" w:cs="仿宋"/>
                <w:b/>
                <w:color w:val="auto"/>
                <w:sz w:val="24"/>
              </w:rPr>
              <w:t>总则：</w:t>
            </w:r>
          </w:p>
        </w:tc>
      </w:tr>
      <w:tr w14:paraId="2839ABD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02DA4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20"/>
                <w:rFonts w:hint="default" w:ascii="宋体" w:hAnsi="宋体" w:eastAsia="宋体" w:cs="宋体"/>
                <w:b w:val="0"/>
                <w:bCs w:val="0"/>
                <w:color w:val="auto"/>
                <w:kern w:val="2"/>
                <w:sz w:val="21"/>
                <w:szCs w:val="21"/>
                <w:lang w:val="en-US" w:eastAsia="zh-CN"/>
              </w:rPr>
            </w:pPr>
            <w:r>
              <w:rPr>
                <w:rStyle w:val="20"/>
                <w:rFonts w:hint="eastAsia" w:ascii="宋体" w:hAnsi="宋体" w:eastAsia="宋体" w:cs="宋体"/>
                <w:b w:val="0"/>
                <w:bCs w:val="0"/>
                <w:color w:val="auto"/>
                <w:kern w:val="2"/>
                <w:sz w:val="21"/>
                <w:szCs w:val="21"/>
                <w:lang w:val="en-US" w:eastAsia="zh-CN"/>
              </w:rPr>
              <w:t>1</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2879F69">
            <w:pPr>
              <w:spacing w:line="360" w:lineRule="auto"/>
              <w:rPr>
                <w:rStyle w:val="20"/>
                <w:rFonts w:hint="eastAsia" w:ascii="宋体" w:hAnsi="宋体" w:eastAsia="宋体" w:cs="宋体"/>
                <w:b w:val="0"/>
                <w:bCs w:val="0"/>
                <w:color w:val="auto"/>
                <w:kern w:val="2"/>
                <w:sz w:val="21"/>
                <w:szCs w:val="21"/>
                <w:lang w:val="en-US" w:eastAsia="zh-CN"/>
              </w:rPr>
            </w:pPr>
            <w:r>
              <w:rPr>
                <w:color w:val="auto"/>
                <w:sz w:val="20"/>
                <w:szCs w:val="20"/>
                <w:highlight w:val="none"/>
              </w:rPr>
              <w:t>1、招标文件中凡有“★”标识的内容条款为关键条款，投标人必须对此作出回答并完全满足这些要求</w:t>
            </w:r>
            <w:r>
              <w:rPr>
                <w:rFonts w:hint="eastAsia"/>
                <w:color w:val="auto"/>
                <w:sz w:val="20"/>
                <w:szCs w:val="20"/>
                <w:highlight w:val="none"/>
              </w:rPr>
              <w:t>，不</w:t>
            </w:r>
            <w:r>
              <w:rPr>
                <w:color w:val="auto"/>
                <w:sz w:val="20"/>
                <w:szCs w:val="20"/>
                <w:highlight w:val="none"/>
              </w:rPr>
              <w:t>可以出现任何负偏离，对这些关键条款的任何负偏离将视为无效投标。加注“▲”的内容为重点评标项目，投标人必须对该标识项目按照要求进行真实应答描述,但不作为无效投标条款。</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77585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C5C6A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35C9214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08627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20"/>
                <w:rFonts w:hint="default" w:ascii="宋体" w:hAnsi="宋体" w:eastAsia="宋体" w:cs="宋体"/>
                <w:b w:val="0"/>
                <w:bCs w:val="0"/>
                <w:color w:val="auto"/>
                <w:kern w:val="2"/>
                <w:sz w:val="21"/>
                <w:szCs w:val="21"/>
                <w:lang w:val="en-US" w:eastAsia="zh-CN"/>
              </w:rPr>
            </w:pPr>
            <w:r>
              <w:rPr>
                <w:rStyle w:val="20"/>
                <w:rFonts w:hint="eastAsia" w:ascii="宋体" w:hAnsi="宋体" w:eastAsia="宋体" w:cs="宋体"/>
                <w:b w:val="0"/>
                <w:bCs w:val="0"/>
                <w:color w:val="auto"/>
                <w:kern w:val="2"/>
                <w:sz w:val="21"/>
                <w:szCs w:val="21"/>
                <w:lang w:val="en-US" w:eastAsia="zh-CN"/>
              </w:rPr>
              <w:t>2</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50AED00">
            <w:pPr>
              <w:spacing w:line="360" w:lineRule="auto"/>
              <w:rPr>
                <w:rStyle w:val="20"/>
                <w:rFonts w:hint="eastAsia" w:ascii="宋体" w:hAnsi="宋体" w:eastAsia="宋体" w:cs="宋体"/>
                <w:b w:val="0"/>
                <w:bCs w:val="0"/>
                <w:color w:val="auto"/>
                <w:kern w:val="2"/>
                <w:sz w:val="21"/>
                <w:szCs w:val="21"/>
                <w:lang w:val="en-US" w:eastAsia="zh-CN"/>
              </w:rPr>
            </w:pPr>
            <w:r>
              <w:rPr>
                <w:color w:val="auto"/>
                <w:sz w:val="20"/>
                <w:szCs w:val="20"/>
                <w:highlight w:val="none"/>
              </w:rPr>
              <w:t>2、本次采购的项目及范围为：</w:t>
            </w:r>
            <w:r>
              <w:rPr>
                <w:color w:val="auto"/>
                <w:sz w:val="20"/>
                <w:szCs w:val="20"/>
                <w:highlight w:val="none"/>
                <w:lang w:eastAsia="zh-CN"/>
              </w:rPr>
              <w:t>中山市小榄人民医院</w:t>
            </w:r>
            <w:r>
              <w:rPr>
                <w:rFonts w:hint="eastAsia"/>
                <w:color w:val="auto"/>
                <w:sz w:val="20"/>
                <w:szCs w:val="20"/>
                <w:highlight w:val="none"/>
                <w:lang w:eastAsia="zh-CN"/>
              </w:rPr>
              <w:t>病原微生物高通量测序外送检测服务</w:t>
            </w:r>
            <w:r>
              <w:rPr>
                <w:rFonts w:hint="eastAsia"/>
                <w:color w:val="auto"/>
                <w:sz w:val="20"/>
                <w:szCs w:val="20"/>
                <w:highlight w:val="none"/>
                <w:lang w:val="en-US" w:eastAsia="zh-CN"/>
              </w:rPr>
              <w:t>采购项目</w:t>
            </w:r>
            <w:r>
              <w:rPr>
                <w:color w:val="auto"/>
                <w:sz w:val="20"/>
                <w:szCs w:val="20"/>
                <w:highlight w:val="none"/>
              </w:rPr>
              <w:t>，拟通过公开招标的形式确认1家服务单位。</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DAB10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42B5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612D00D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09FE76">
            <w:pPr>
              <w:spacing w:line="360" w:lineRule="auto"/>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3</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DD08858">
            <w:pPr>
              <w:spacing w:line="360" w:lineRule="auto"/>
              <w:rPr>
                <w:rFonts w:hint="eastAsia" w:ascii="宋体" w:hAnsi="宋体" w:cs="宋体"/>
                <w:color w:val="auto"/>
                <w:szCs w:val="21"/>
                <w:highlight w:val="none"/>
                <w:lang w:val="en-US" w:eastAsia="zh-CN"/>
              </w:rPr>
            </w:pPr>
            <w:r>
              <w:rPr>
                <w:color w:val="auto"/>
                <w:sz w:val="20"/>
                <w:szCs w:val="20"/>
                <w:highlight w:val="none"/>
              </w:rPr>
              <w:t>3、采购预算：人民币</w:t>
            </w:r>
            <w:r>
              <w:rPr>
                <w:rFonts w:hint="eastAsia"/>
                <w:color w:val="auto"/>
                <w:sz w:val="20"/>
                <w:szCs w:val="20"/>
                <w:highlight w:val="none"/>
              </w:rPr>
              <w:t>993,753.60元</w:t>
            </w:r>
            <w:r>
              <w:rPr>
                <w:color w:val="auto"/>
                <w:sz w:val="20"/>
                <w:szCs w:val="20"/>
                <w:highlight w:val="none"/>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268F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2FFF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490E958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2655E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20"/>
                <w:rFonts w:hint="default" w:ascii="宋体" w:hAnsi="宋体" w:eastAsia="宋体" w:cs="宋体"/>
                <w:b w:val="0"/>
                <w:bCs w:val="0"/>
                <w:color w:val="auto"/>
                <w:kern w:val="2"/>
                <w:sz w:val="21"/>
                <w:szCs w:val="21"/>
                <w:lang w:val="en-US" w:eastAsia="zh-CN"/>
              </w:rPr>
            </w:pPr>
            <w:r>
              <w:rPr>
                <w:rFonts w:hint="eastAsia" w:ascii="宋体" w:hAnsi="宋体" w:eastAsia="宋体" w:cs="宋体"/>
                <w:color w:val="auto"/>
                <w:szCs w:val="21"/>
                <w:highlight w:val="none"/>
              </w:rPr>
              <w:t>★</w:t>
            </w:r>
            <w:r>
              <w:rPr>
                <w:rStyle w:val="20"/>
                <w:rFonts w:hint="eastAsia" w:ascii="宋体" w:hAnsi="宋体" w:eastAsia="宋体" w:cs="宋体"/>
                <w:b w:val="0"/>
                <w:bCs w:val="0"/>
                <w:color w:val="auto"/>
                <w:kern w:val="2"/>
                <w:sz w:val="21"/>
                <w:szCs w:val="21"/>
                <w:lang w:val="en-US" w:eastAsia="zh-CN"/>
              </w:rPr>
              <w:t>4</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87D8717">
            <w:pPr>
              <w:spacing w:line="360" w:lineRule="auto"/>
              <w:rPr>
                <w:rFonts w:hint="eastAsia" w:ascii="宋体" w:hAnsi="宋体" w:eastAsia="宋体" w:cs="宋体"/>
                <w:color w:val="auto"/>
                <w:kern w:val="0"/>
                <w:sz w:val="21"/>
                <w:szCs w:val="21"/>
                <w:lang w:val="en-US" w:eastAsia="zh-CN" w:bidi="ar"/>
              </w:rPr>
            </w:pPr>
            <w:r>
              <w:rPr>
                <w:color w:val="auto"/>
                <w:sz w:val="20"/>
                <w:szCs w:val="20"/>
                <w:highlight w:val="none"/>
                <w:lang w:val="en-GB"/>
              </w:rPr>
              <w:t>★</w:t>
            </w:r>
            <w:r>
              <w:rPr>
                <w:color w:val="auto"/>
                <w:sz w:val="20"/>
                <w:szCs w:val="20"/>
                <w:highlight w:val="none"/>
              </w:rPr>
              <w:t>4、服务期2年，当服务期满2年或合同金额累计达到预算金额993,753.60元时（以先到为准），该合同自动终止。采购人</w:t>
            </w:r>
            <w:r>
              <w:rPr>
                <w:rFonts w:hint="eastAsia"/>
                <w:color w:val="auto"/>
                <w:sz w:val="20"/>
                <w:szCs w:val="20"/>
                <w:highlight w:val="none"/>
              </w:rPr>
              <w:t>每季度对中标人进行定期考核，总分100分，评分90分及以上时，不扣罚；评分90分-80分时</w:t>
            </w:r>
            <w:r>
              <w:rPr>
                <w:rFonts w:hint="eastAsia"/>
                <w:color w:val="auto"/>
                <w:sz w:val="20"/>
                <w:szCs w:val="20"/>
                <w:highlight w:val="none"/>
                <w:lang w:val="en-US" w:eastAsia="zh-CN"/>
              </w:rPr>
              <w:t>评分≥80，且＜90分时</w:t>
            </w:r>
            <w:r>
              <w:rPr>
                <w:rFonts w:hint="eastAsia"/>
                <w:color w:val="auto"/>
                <w:sz w:val="20"/>
                <w:szCs w:val="20"/>
                <w:highlight w:val="none"/>
              </w:rPr>
              <w:t>，</w:t>
            </w:r>
            <w:r>
              <w:rPr>
                <w:color w:val="auto"/>
                <w:sz w:val="20"/>
                <w:szCs w:val="20"/>
                <w:highlight w:val="none"/>
              </w:rPr>
              <w:t>扣罚中标人次季度5％的服务费</w:t>
            </w:r>
            <w:r>
              <w:rPr>
                <w:rFonts w:hint="eastAsia"/>
                <w:color w:val="auto"/>
                <w:sz w:val="20"/>
                <w:szCs w:val="20"/>
                <w:highlight w:val="none"/>
              </w:rPr>
              <w:t>；评分＜80分时，</w:t>
            </w:r>
            <w:r>
              <w:rPr>
                <w:color w:val="auto"/>
                <w:sz w:val="20"/>
                <w:szCs w:val="20"/>
                <w:highlight w:val="none"/>
              </w:rPr>
              <w:t>采购人有权单方终止合同</w:t>
            </w:r>
            <w:r>
              <w:rPr>
                <w:rFonts w:hint="eastAsia"/>
                <w:color w:val="auto"/>
                <w:sz w:val="20"/>
                <w:szCs w:val="20"/>
                <w:highlight w:val="none"/>
              </w:rPr>
              <w:t>并重新组织招标</w:t>
            </w:r>
            <w:r>
              <w:rPr>
                <w:color w:val="auto"/>
                <w:sz w:val="20"/>
                <w:szCs w:val="20"/>
                <w:highlight w:val="none"/>
              </w:rPr>
              <w:t>。如中标人因试剂质量、服务质量等问题受到行政部门处罚，造成社会舆论不良影响时，采购人有权单方终止合同重新组织招标，中标人应承担相应的经济和法律责任。</w:t>
            </w:r>
            <w:r>
              <w:rPr>
                <w:color w:val="auto"/>
                <w:sz w:val="20"/>
                <w:szCs w:val="20"/>
                <w:highlight w:val="none"/>
                <w:lang w:eastAsia="zh-Hans"/>
              </w:rPr>
              <w:t>受委托实验室质量检查表</w:t>
            </w:r>
            <w:r>
              <w:rPr>
                <w:rFonts w:hint="eastAsia"/>
                <w:color w:val="auto"/>
                <w:sz w:val="20"/>
                <w:szCs w:val="20"/>
                <w:highlight w:val="none"/>
                <w:lang w:val="en-US" w:eastAsia="zh-CN"/>
              </w:rPr>
              <w:t>季度</w:t>
            </w:r>
            <w:r>
              <w:rPr>
                <w:color w:val="auto"/>
                <w:sz w:val="20"/>
                <w:szCs w:val="20"/>
                <w:highlight w:val="none"/>
                <w:lang w:eastAsia="zh-Hans"/>
              </w:rPr>
              <w:t>考核表</w:t>
            </w:r>
            <w:r>
              <w:rPr>
                <w:rFonts w:hint="eastAsia"/>
                <w:color w:val="auto"/>
                <w:sz w:val="20"/>
                <w:szCs w:val="20"/>
                <w:highlight w:val="none"/>
                <w:lang w:eastAsia="zh-CN"/>
              </w:rPr>
              <w:t>，</w:t>
            </w:r>
            <w:r>
              <w:rPr>
                <w:rFonts w:hint="eastAsia"/>
                <w:color w:val="auto"/>
                <w:sz w:val="20"/>
                <w:szCs w:val="20"/>
                <w:highlight w:val="none"/>
                <w:lang w:val="en-US" w:eastAsia="zh-CN"/>
              </w:rPr>
              <w:t>详见附件一；除季度考核外，采购人不定期对</w:t>
            </w:r>
            <w:r>
              <w:rPr>
                <w:rFonts w:hint="eastAsia"/>
                <w:color w:val="auto"/>
                <w:sz w:val="20"/>
                <w:szCs w:val="20"/>
                <w:highlight w:val="none"/>
              </w:rPr>
              <w:t>受委托实验室质量检查表</w:t>
            </w:r>
            <w:r>
              <w:rPr>
                <w:rFonts w:hint="eastAsia"/>
                <w:color w:val="auto"/>
                <w:sz w:val="20"/>
                <w:szCs w:val="20"/>
                <w:highlight w:val="none"/>
                <w:lang w:val="en-US" w:eastAsia="zh-CN"/>
              </w:rPr>
              <w:t>进行，详见附件二。</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9866D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3DD4C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09DE3BC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7934D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5</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34D75BE">
            <w:pPr>
              <w:spacing w:line="360" w:lineRule="auto"/>
              <w:rPr>
                <w:rFonts w:hint="default"/>
                <w:color w:val="auto"/>
                <w:sz w:val="20"/>
                <w:szCs w:val="20"/>
                <w:highlight w:val="none"/>
                <w:lang w:val="en-US" w:eastAsia="zh-CN"/>
              </w:rPr>
            </w:pPr>
            <w:r>
              <w:rPr>
                <w:snapToGrid w:val="0"/>
                <w:color w:val="auto"/>
                <w:sz w:val="20"/>
                <w:szCs w:val="20"/>
                <w:highlight w:val="none"/>
                <w:lang w:val="en-GB"/>
              </w:rPr>
              <w:t>★</w:t>
            </w:r>
            <w:r>
              <w:rPr>
                <w:rFonts w:hint="eastAsia"/>
                <w:color w:val="auto"/>
                <w:sz w:val="20"/>
                <w:szCs w:val="20"/>
                <w:highlight w:val="none"/>
                <w:lang w:val="en-US" w:eastAsia="zh-CN"/>
              </w:rPr>
              <w:t>5、</w:t>
            </w:r>
            <w:r>
              <w:rPr>
                <w:rFonts w:hint="default"/>
                <w:color w:val="auto"/>
                <w:sz w:val="20"/>
                <w:szCs w:val="20"/>
                <w:highlight w:val="none"/>
                <w:lang w:val="en-US" w:eastAsia="zh-CN"/>
              </w:rPr>
              <w:t>投标人须同时满足以下条件：</w:t>
            </w:r>
          </w:p>
          <w:p w14:paraId="451DC440">
            <w:pPr>
              <w:spacing w:line="360" w:lineRule="auto"/>
              <w:rPr>
                <w:rFonts w:hint="default"/>
                <w:color w:val="auto"/>
                <w:sz w:val="20"/>
                <w:szCs w:val="20"/>
                <w:highlight w:val="none"/>
                <w:lang w:val="en-US" w:eastAsia="zh-CN"/>
              </w:rPr>
            </w:pPr>
            <w:r>
              <w:rPr>
                <w:rFonts w:hint="default"/>
                <w:color w:val="auto"/>
                <w:sz w:val="20"/>
                <w:szCs w:val="20"/>
                <w:highlight w:val="none"/>
                <w:lang w:val="en-US" w:eastAsia="zh-CN"/>
              </w:rPr>
              <w:t>a.通过属地卫生健康部门二级生物安全实验室备案且试验场地符合病原微生物临床基因扩增实验室条件（提供证明材料）。</w:t>
            </w:r>
          </w:p>
          <w:p w14:paraId="75FE1562">
            <w:pPr>
              <w:spacing w:line="360" w:lineRule="auto"/>
              <w:rPr>
                <w:rFonts w:hint="eastAsia" w:ascii="宋体" w:hAnsi="宋体" w:eastAsia="宋体" w:cs="宋体"/>
                <w:color w:val="auto"/>
                <w:szCs w:val="21"/>
                <w:highlight w:val="none"/>
              </w:rPr>
            </w:pPr>
            <w:r>
              <w:rPr>
                <w:rFonts w:hint="default"/>
                <w:color w:val="auto"/>
                <w:sz w:val="20"/>
                <w:szCs w:val="20"/>
                <w:highlight w:val="none"/>
                <w:lang w:val="en-US" w:eastAsia="zh-CN"/>
              </w:rPr>
              <w:t>b.具备有效期内临床基因扩增检验实验室验收合格证书（提供证明材料）。</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87E9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2D40E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6330E0F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C68C9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Theme="minorEastAsia"/>
                <w:color w:val="auto"/>
                <w:szCs w:val="21"/>
                <w:lang w:val="en-US" w:eastAsia="zh-CN"/>
              </w:rPr>
            </w:pPr>
            <w:r>
              <w:rPr>
                <w:rFonts w:hint="eastAsia" w:ascii="宋体" w:hAnsi="宋体"/>
                <w:color w:val="auto"/>
                <w:szCs w:val="21"/>
                <w:lang w:val="en-US" w:eastAsia="zh-CN"/>
              </w:rPr>
              <w:t>二</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81A13D1">
            <w:pPr>
              <w:pStyle w:val="2"/>
              <w:numPr>
                <w:ilvl w:val="0"/>
                <w:numId w:val="0"/>
              </w:numPr>
              <w:spacing w:line="240" w:lineRule="auto"/>
              <w:outlineLvl w:val="1"/>
              <w:rPr>
                <w:rFonts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二、</w:t>
            </w:r>
            <w:r>
              <w:rPr>
                <w:rFonts w:ascii="Times New Roman" w:hAnsi="Times New Roman"/>
                <w:color w:val="auto"/>
                <w:sz w:val="24"/>
                <w:szCs w:val="24"/>
                <w:highlight w:val="none"/>
              </w:rPr>
              <w:t>采购需求</w:t>
            </w:r>
          </w:p>
          <w:tbl>
            <w:tblPr>
              <w:tblStyle w:val="15"/>
              <w:tblW w:w="0" w:type="auto"/>
              <w:tblInd w:w="0" w:type="dxa"/>
              <w:tblLayout w:type="autofit"/>
              <w:tblCellMar>
                <w:top w:w="0" w:type="dxa"/>
                <w:left w:w="108" w:type="dxa"/>
                <w:bottom w:w="0" w:type="dxa"/>
                <w:right w:w="108" w:type="dxa"/>
              </w:tblCellMar>
            </w:tblPr>
            <w:tblGrid>
              <w:gridCol w:w="417"/>
              <w:gridCol w:w="1143"/>
              <w:gridCol w:w="6897"/>
              <w:gridCol w:w="1271"/>
              <w:gridCol w:w="429"/>
              <w:gridCol w:w="846"/>
            </w:tblGrid>
            <w:tr w14:paraId="659B4042">
              <w:tblPrEx>
                <w:tblCellMar>
                  <w:top w:w="0" w:type="dxa"/>
                  <w:left w:w="108" w:type="dxa"/>
                  <w:bottom w:w="0" w:type="dxa"/>
                  <w:right w:w="108" w:type="dxa"/>
                </w:tblCellMar>
              </w:tblPrEx>
              <w:trPr>
                <w:trHeight w:val="535"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0B770A14">
                  <w:pPr>
                    <w:widowControl/>
                    <w:jc w:val="center"/>
                    <w:textAlignment w:val="center"/>
                    <w:rPr>
                      <w:b/>
                      <w:bCs/>
                      <w:color w:val="auto"/>
                      <w:kern w:val="0"/>
                      <w:sz w:val="20"/>
                      <w:szCs w:val="20"/>
                      <w:highlight w:val="none"/>
                      <w:lang w:bidi="ar"/>
                    </w:rPr>
                  </w:pPr>
                  <w:r>
                    <w:rPr>
                      <w:b/>
                      <w:bCs/>
                      <w:color w:val="auto"/>
                      <w:kern w:val="0"/>
                      <w:sz w:val="20"/>
                      <w:szCs w:val="20"/>
                      <w:highlight w:val="none"/>
                      <w:lang w:bidi="ar"/>
                    </w:rPr>
                    <w:t>序号</w:t>
                  </w:r>
                </w:p>
              </w:tc>
              <w:tc>
                <w:tcPr>
                  <w:tcW w:w="0" w:type="auto"/>
                  <w:tcBorders>
                    <w:top w:val="single" w:color="000000" w:sz="4" w:space="0"/>
                    <w:left w:val="single" w:color="000000" w:sz="4" w:space="0"/>
                    <w:bottom w:val="single" w:color="000000" w:sz="4" w:space="0"/>
                    <w:right w:val="single" w:color="000000" w:sz="4" w:space="0"/>
                  </w:tcBorders>
                  <w:vAlign w:val="center"/>
                </w:tcPr>
                <w:p w14:paraId="70CA49E0">
                  <w:pPr>
                    <w:widowControl/>
                    <w:jc w:val="center"/>
                    <w:textAlignment w:val="center"/>
                    <w:rPr>
                      <w:b/>
                      <w:bCs/>
                      <w:color w:val="auto"/>
                      <w:sz w:val="20"/>
                      <w:szCs w:val="20"/>
                      <w:highlight w:val="none"/>
                    </w:rPr>
                  </w:pPr>
                  <w:r>
                    <w:rPr>
                      <w:b/>
                      <w:bCs/>
                      <w:color w:val="auto"/>
                      <w:kern w:val="0"/>
                      <w:sz w:val="20"/>
                      <w:szCs w:val="20"/>
                      <w:highlight w:val="none"/>
                      <w:lang w:bidi="ar"/>
                    </w:rPr>
                    <w:t>检验项目名称</w:t>
                  </w:r>
                </w:p>
              </w:tc>
              <w:tc>
                <w:tcPr>
                  <w:tcW w:w="0" w:type="auto"/>
                  <w:tcBorders>
                    <w:top w:val="single" w:color="000000" w:sz="4" w:space="0"/>
                    <w:left w:val="single" w:color="000000" w:sz="4" w:space="0"/>
                    <w:bottom w:val="single" w:color="000000" w:sz="4" w:space="0"/>
                    <w:right w:val="single" w:color="000000" w:sz="4" w:space="0"/>
                  </w:tcBorders>
                  <w:vAlign w:val="center"/>
                </w:tcPr>
                <w:p w14:paraId="1B810173">
                  <w:pPr>
                    <w:widowControl/>
                    <w:jc w:val="center"/>
                    <w:textAlignment w:val="center"/>
                    <w:rPr>
                      <w:b/>
                      <w:bCs/>
                      <w:color w:val="auto"/>
                      <w:sz w:val="20"/>
                      <w:szCs w:val="20"/>
                      <w:highlight w:val="none"/>
                    </w:rPr>
                  </w:pPr>
                  <w:r>
                    <w:rPr>
                      <w:b/>
                      <w:bCs/>
                      <w:color w:val="auto"/>
                      <w:kern w:val="0"/>
                      <w:sz w:val="20"/>
                      <w:szCs w:val="20"/>
                      <w:highlight w:val="none"/>
                      <w:lang w:bidi="ar"/>
                    </w:rPr>
                    <w:t>检测内容（内涵）</w:t>
                  </w:r>
                </w:p>
              </w:tc>
              <w:tc>
                <w:tcPr>
                  <w:tcW w:w="0" w:type="auto"/>
                  <w:tcBorders>
                    <w:top w:val="single" w:color="000000" w:sz="4" w:space="0"/>
                    <w:left w:val="single" w:color="000000" w:sz="4" w:space="0"/>
                    <w:bottom w:val="single" w:color="000000" w:sz="4" w:space="0"/>
                    <w:right w:val="single" w:color="000000" w:sz="4" w:space="0"/>
                  </w:tcBorders>
                  <w:vAlign w:val="center"/>
                </w:tcPr>
                <w:p w14:paraId="3F2161FC">
                  <w:pPr>
                    <w:widowControl/>
                    <w:jc w:val="center"/>
                    <w:textAlignment w:val="center"/>
                    <w:rPr>
                      <w:b/>
                      <w:bCs/>
                      <w:color w:val="auto"/>
                      <w:kern w:val="0"/>
                      <w:sz w:val="20"/>
                      <w:szCs w:val="20"/>
                      <w:highlight w:val="none"/>
                      <w:lang w:bidi="ar"/>
                    </w:rPr>
                  </w:pPr>
                  <w:r>
                    <w:rPr>
                      <w:b/>
                      <w:bCs/>
                      <w:color w:val="auto"/>
                      <w:kern w:val="0"/>
                      <w:sz w:val="20"/>
                      <w:szCs w:val="20"/>
                      <w:highlight w:val="none"/>
                      <w:lang w:bidi="ar"/>
                    </w:rPr>
                    <w:t>物价编码</w:t>
                  </w:r>
                </w:p>
              </w:tc>
              <w:tc>
                <w:tcPr>
                  <w:tcW w:w="0" w:type="auto"/>
                  <w:tcBorders>
                    <w:top w:val="single" w:color="000000" w:sz="4" w:space="0"/>
                    <w:left w:val="single" w:color="000000" w:sz="4" w:space="0"/>
                    <w:bottom w:val="single" w:color="000000" w:sz="4" w:space="0"/>
                    <w:right w:val="single" w:color="000000" w:sz="4" w:space="0"/>
                  </w:tcBorders>
                  <w:vAlign w:val="center"/>
                </w:tcPr>
                <w:p w14:paraId="7EB8C5C7">
                  <w:pPr>
                    <w:widowControl/>
                    <w:jc w:val="center"/>
                    <w:textAlignment w:val="center"/>
                    <w:rPr>
                      <w:b/>
                      <w:bCs/>
                      <w:color w:val="auto"/>
                      <w:kern w:val="0"/>
                      <w:sz w:val="20"/>
                      <w:szCs w:val="20"/>
                      <w:highlight w:val="none"/>
                      <w:lang w:bidi="ar"/>
                    </w:rPr>
                  </w:pPr>
                  <w:r>
                    <w:rPr>
                      <w:rFonts w:hint="eastAsia"/>
                      <w:b/>
                      <w:bCs/>
                      <w:color w:val="auto"/>
                      <w:kern w:val="0"/>
                      <w:sz w:val="20"/>
                      <w:szCs w:val="20"/>
                      <w:highlight w:val="none"/>
                      <w:lang w:bidi="ar"/>
                    </w:rPr>
                    <w:t>收费次数</w:t>
                  </w:r>
                </w:p>
              </w:tc>
              <w:tc>
                <w:tcPr>
                  <w:tcW w:w="0" w:type="auto"/>
                  <w:tcBorders>
                    <w:top w:val="single" w:color="000000" w:sz="4" w:space="0"/>
                    <w:left w:val="single" w:color="000000" w:sz="4" w:space="0"/>
                    <w:bottom w:val="single" w:color="000000" w:sz="4" w:space="0"/>
                    <w:right w:val="single" w:color="000000" w:sz="4" w:space="0"/>
                  </w:tcBorders>
                  <w:vAlign w:val="center"/>
                </w:tcPr>
                <w:p w14:paraId="49EB0637">
                  <w:pPr>
                    <w:widowControl/>
                    <w:jc w:val="center"/>
                    <w:textAlignment w:val="center"/>
                    <w:rPr>
                      <w:rFonts w:hint="eastAsia" w:eastAsia="宋体"/>
                      <w:b/>
                      <w:bCs/>
                      <w:color w:val="auto"/>
                      <w:kern w:val="0"/>
                      <w:sz w:val="20"/>
                      <w:szCs w:val="20"/>
                      <w:highlight w:val="none"/>
                      <w:lang w:val="en-US" w:eastAsia="zh-CN" w:bidi="ar"/>
                    </w:rPr>
                  </w:pPr>
                  <w:r>
                    <w:rPr>
                      <w:rFonts w:hint="eastAsia"/>
                      <w:b/>
                      <w:bCs/>
                      <w:color w:val="auto"/>
                      <w:kern w:val="0"/>
                      <w:sz w:val="20"/>
                      <w:szCs w:val="20"/>
                      <w:highlight w:val="none"/>
                      <w:lang w:val="en-US" w:eastAsia="zh-CN" w:bidi="ar"/>
                    </w:rPr>
                    <w:t>年预计数量</w:t>
                  </w:r>
                  <w:r>
                    <w:rPr>
                      <w:rFonts w:hint="eastAsia"/>
                      <w:color w:val="auto"/>
                      <w:highlight w:val="none"/>
                      <w:lang w:eastAsia="zh-CN"/>
                    </w:rPr>
                    <w:t>（</w:t>
                  </w:r>
                  <w:r>
                    <w:rPr>
                      <w:rFonts w:hint="eastAsia"/>
                      <w:color w:val="auto"/>
                      <w:highlight w:val="none"/>
                      <w:lang w:val="en-US" w:eastAsia="zh-CN"/>
                    </w:rPr>
                    <w:t>例</w:t>
                  </w:r>
                  <w:r>
                    <w:rPr>
                      <w:rFonts w:hint="eastAsia"/>
                      <w:color w:val="auto"/>
                      <w:highlight w:val="none"/>
                      <w:lang w:eastAsia="zh-CN"/>
                    </w:rPr>
                    <w:t>）</w:t>
                  </w:r>
                </w:p>
              </w:tc>
            </w:tr>
            <w:tr w14:paraId="791BBBEE">
              <w:tblPrEx>
                <w:tblCellMar>
                  <w:top w:w="0" w:type="dxa"/>
                  <w:left w:w="108" w:type="dxa"/>
                  <w:bottom w:w="0" w:type="dxa"/>
                  <w:right w:w="108" w:type="dxa"/>
                </w:tblCellMar>
              </w:tblPrEx>
              <w:trPr>
                <w:trHeight w:val="1506"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376C5BBF">
                  <w:pPr>
                    <w:widowControl/>
                    <w:jc w:val="center"/>
                    <w:textAlignment w:val="center"/>
                    <w:rPr>
                      <w:color w:val="auto"/>
                      <w:kern w:val="0"/>
                      <w:sz w:val="20"/>
                      <w:szCs w:val="20"/>
                      <w:highlight w:val="none"/>
                      <w:lang w:bidi="ar"/>
                    </w:rPr>
                  </w:pPr>
                  <w:r>
                    <w:rPr>
                      <w:color w:val="auto"/>
                      <w:kern w:val="0"/>
                      <w:sz w:val="20"/>
                      <w:szCs w:val="20"/>
                      <w:highlight w:val="none"/>
                      <w:lang w:bidi="ar"/>
                    </w:rPr>
                    <w:t>1</w:t>
                  </w:r>
                </w:p>
              </w:tc>
              <w:tc>
                <w:tcPr>
                  <w:tcW w:w="0" w:type="auto"/>
                  <w:tcBorders>
                    <w:top w:val="single" w:color="000000" w:sz="4" w:space="0"/>
                    <w:left w:val="single" w:color="000000" w:sz="4" w:space="0"/>
                    <w:bottom w:val="single" w:color="000000" w:sz="4" w:space="0"/>
                    <w:right w:val="single" w:color="000000" w:sz="4" w:space="0"/>
                  </w:tcBorders>
                  <w:vAlign w:val="center"/>
                </w:tcPr>
                <w:p w14:paraId="53088FA5">
                  <w:pPr>
                    <w:widowControl/>
                    <w:jc w:val="left"/>
                    <w:textAlignment w:val="top"/>
                    <w:rPr>
                      <w:color w:val="auto"/>
                      <w:sz w:val="20"/>
                      <w:szCs w:val="20"/>
                      <w:highlight w:val="none"/>
                    </w:rPr>
                  </w:pPr>
                  <w:r>
                    <w:rPr>
                      <w:color w:val="auto"/>
                      <w:kern w:val="0"/>
                      <w:highlight w:val="none"/>
                      <w:lang w:bidi="ar"/>
                    </w:rPr>
                    <w:t>DNA-病原微生物宏基因组高通量测序</w:t>
                  </w:r>
                </w:p>
              </w:tc>
              <w:tc>
                <w:tcPr>
                  <w:tcW w:w="0" w:type="auto"/>
                  <w:tcBorders>
                    <w:top w:val="single" w:color="000000" w:sz="4" w:space="0"/>
                    <w:left w:val="single" w:color="000000" w:sz="4" w:space="0"/>
                    <w:bottom w:val="single" w:color="auto" w:sz="4" w:space="0"/>
                    <w:right w:val="single" w:color="000000" w:sz="4" w:space="0"/>
                  </w:tcBorders>
                  <w:vAlign w:val="center"/>
                </w:tcPr>
                <w:p w14:paraId="0A7B7DF1">
                  <w:pPr>
                    <w:widowControl/>
                    <w:jc w:val="left"/>
                    <w:textAlignment w:val="top"/>
                    <w:rPr>
                      <w:color w:val="auto"/>
                      <w:sz w:val="20"/>
                      <w:szCs w:val="20"/>
                      <w:highlight w:val="none"/>
                    </w:rPr>
                  </w:pPr>
                  <w:r>
                    <w:rPr>
                      <w:rFonts w:hint="eastAsia"/>
                      <w:color w:val="auto"/>
                      <w:kern w:val="0"/>
                      <w:highlight w:val="none"/>
                      <w:lang w:bidi="ar"/>
                    </w:rPr>
                    <w:t>检测送检标本中≥</w:t>
                  </w:r>
                  <w:r>
                    <w:rPr>
                      <w:color w:val="auto"/>
                      <w:kern w:val="0"/>
                      <w:highlight w:val="none"/>
                      <w:lang w:bidi="ar"/>
                    </w:rPr>
                    <w:t>10000种遗传物质为DNA的病原微生物，包括细菌、真菌、病毒、寄生虫、分枝杆菌、支原体、衣原体等</w:t>
                  </w:r>
                </w:p>
              </w:tc>
              <w:tc>
                <w:tcPr>
                  <w:tcW w:w="0" w:type="auto"/>
                  <w:tcBorders>
                    <w:top w:val="single" w:color="000000" w:sz="4" w:space="0"/>
                    <w:left w:val="single" w:color="000000" w:sz="4" w:space="0"/>
                    <w:bottom w:val="single" w:color="auto" w:sz="4" w:space="0"/>
                    <w:right w:val="single" w:color="000000" w:sz="4" w:space="0"/>
                  </w:tcBorders>
                  <w:vAlign w:val="center"/>
                </w:tcPr>
                <w:p w14:paraId="3E9B4797">
                  <w:pPr>
                    <w:widowControl/>
                    <w:jc w:val="center"/>
                    <w:textAlignment w:val="center"/>
                    <w:rPr>
                      <w:color w:val="auto"/>
                      <w:kern w:val="0"/>
                      <w:sz w:val="20"/>
                      <w:szCs w:val="20"/>
                      <w:highlight w:val="none"/>
                      <w:lang w:bidi="ar"/>
                    </w:rPr>
                  </w:pPr>
                  <w:r>
                    <w:rPr>
                      <w:color w:val="auto"/>
                      <w:highlight w:val="none"/>
                    </w:rPr>
                    <w:t>250700031F</w:t>
                  </w:r>
                </w:p>
              </w:tc>
              <w:tc>
                <w:tcPr>
                  <w:tcW w:w="0" w:type="auto"/>
                  <w:tcBorders>
                    <w:top w:val="single" w:color="000000" w:sz="4" w:space="0"/>
                    <w:left w:val="single" w:color="000000" w:sz="4" w:space="0"/>
                    <w:bottom w:val="single" w:color="auto" w:sz="4" w:space="0"/>
                    <w:right w:val="single" w:color="000000" w:sz="4" w:space="0"/>
                  </w:tcBorders>
                  <w:vAlign w:val="center"/>
                </w:tcPr>
                <w:p w14:paraId="661638CE">
                  <w:pPr>
                    <w:widowControl/>
                    <w:jc w:val="center"/>
                    <w:textAlignment w:val="center"/>
                    <w:rPr>
                      <w:color w:val="auto"/>
                      <w:kern w:val="0"/>
                      <w:sz w:val="20"/>
                      <w:szCs w:val="20"/>
                      <w:highlight w:val="none"/>
                      <w:lang w:bidi="ar"/>
                    </w:rPr>
                  </w:pPr>
                  <w:r>
                    <w:rPr>
                      <w:rFonts w:hint="eastAsia"/>
                      <w:color w:val="auto"/>
                      <w:highlight w:val="none"/>
                    </w:rPr>
                    <w:t>16</w:t>
                  </w:r>
                </w:p>
              </w:tc>
              <w:tc>
                <w:tcPr>
                  <w:tcW w:w="0" w:type="auto"/>
                  <w:tcBorders>
                    <w:top w:val="single" w:color="000000" w:sz="4" w:space="0"/>
                    <w:left w:val="single" w:color="000000" w:sz="4" w:space="0"/>
                    <w:bottom w:val="single" w:color="auto" w:sz="4" w:space="0"/>
                    <w:right w:val="single" w:color="000000" w:sz="4" w:space="0"/>
                  </w:tcBorders>
                  <w:vAlign w:val="center"/>
                </w:tcPr>
                <w:p w14:paraId="4E2CD292">
                  <w:pPr>
                    <w:widowControl/>
                    <w:jc w:val="center"/>
                    <w:textAlignment w:val="center"/>
                    <w:rPr>
                      <w:rFonts w:hint="default" w:eastAsia="宋体"/>
                      <w:color w:val="auto"/>
                      <w:highlight w:val="none"/>
                      <w:lang w:val="en-US" w:eastAsia="zh-CN"/>
                    </w:rPr>
                  </w:pPr>
                  <w:r>
                    <w:rPr>
                      <w:rFonts w:hint="eastAsia"/>
                      <w:color w:val="auto"/>
                      <w:highlight w:val="none"/>
                      <w:lang w:val="en-US" w:eastAsia="zh-CN"/>
                    </w:rPr>
                    <w:t>171</w:t>
                  </w:r>
                </w:p>
              </w:tc>
            </w:tr>
            <w:tr w14:paraId="4B463192">
              <w:tblPrEx>
                <w:tblCellMar>
                  <w:top w:w="0" w:type="dxa"/>
                  <w:left w:w="108" w:type="dxa"/>
                  <w:bottom w:w="0" w:type="dxa"/>
                  <w:right w:w="108" w:type="dxa"/>
                </w:tblCellMar>
              </w:tblPrEx>
              <w:trPr>
                <w:trHeight w:val="807"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51448A70">
                  <w:pPr>
                    <w:widowControl/>
                    <w:jc w:val="center"/>
                    <w:textAlignment w:val="center"/>
                    <w:rPr>
                      <w:color w:val="auto"/>
                      <w:kern w:val="0"/>
                      <w:sz w:val="20"/>
                      <w:szCs w:val="20"/>
                      <w:highlight w:val="none"/>
                      <w:lang w:bidi="ar"/>
                    </w:rPr>
                  </w:pPr>
                  <w:r>
                    <w:rPr>
                      <w:color w:val="auto"/>
                      <w:kern w:val="0"/>
                      <w:sz w:val="20"/>
                      <w:szCs w:val="20"/>
                      <w:highlight w:val="none"/>
                      <w:lang w:bidi="ar"/>
                    </w:rPr>
                    <w:t>2</w:t>
                  </w:r>
                </w:p>
              </w:tc>
              <w:tc>
                <w:tcPr>
                  <w:tcW w:w="0" w:type="auto"/>
                  <w:tcBorders>
                    <w:top w:val="single" w:color="000000" w:sz="4" w:space="0"/>
                    <w:left w:val="single" w:color="000000" w:sz="4" w:space="0"/>
                    <w:bottom w:val="single" w:color="000000" w:sz="4" w:space="0"/>
                    <w:right w:val="single" w:color="auto" w:sz="4" w:space="0"/>
                  </w:tcBorders>
                  <w:vAlign w:val="center"/>
                </w:tcPr>
                <w:p w14:paraId="4D7FC546">
                  <w:pPr>
                    <w:widowControl/>
                    <w:jc w:val="left"/>
                    <w:textAlignment w:val="top"/>
                    <w:rPr>
                      <w:color w:val="auto"/>
                      <w:sz w:val="20"/>
                      <w:szCs w:val="20"/>
                      <w:highlight w:val="none"/>
                    </w:rPr>
                  </w:pPr>
                  <w:r>
                    <w:rPr>
                      <w:color w:val="auto"/>
                      <w:kern w:val="0"/>
                      <w:highlight w:val="none"/>
                      <w:lang w:bidi="ar"/>
                    </w:rPr>
                    <w:t>RNA-病原微生物宏基因组高通量测序</w:t>
                  </w:r>
                </w:p>
              </w:tc>
              <w:tc>
                <w:tcPr>
                  <w:tcW w:w="0" w:type="auto"/>
                  <w:tcBorders>
                    <w:top w:val="single" w:color="auto" w:sz="4" w:space="0"/>
                    <w:left w:val="single" w:color="auto" w:sz="4" w:space="0"/>
                    <w:bottom w:val="single" w:color="auto" w:sz="4" w:space="0"/>
                    <w:right w:val="single" w:color="auto" w:sz="4" w:space="0"/>
                  </w:tcBorders>
                  <w:noWrap/>
                  <w:vAlign w:val="center"/>
                </w:tcPr>
                <w:p w14:paraId="39BFFF6C">
                  <w:pPr>
                    <w:widowControl/>
                    <w:jc w:val="left"/>
                    <w:textAlignment w:val="top"/>
                    <w:rPr>
                      <w:color w:val="auto"/>
                      <w:sz w:val="20"/>
                      <w:szCs w:val="20"/>
                      <w:highlight w:val="none"/>
                    </w:rPr>
                  </w:pPr>
                  <w:r>
                    <w:rPr>
                      <w:rFonts w:hint="eastAsia"/>
                      <w:color w:val="auto"/>
                      <w:kern w:val="0"/>
                      <w:highlight w:val="none"/>
                      <w:lang w:bidi="ar"/>
                    </w:rPr>
                    <w:t>检测送检标本中≥3</w:t>
                  </w:r>
                  <w:r>
                    <w:rPr>
                      <w:color w:val="auto"/>
                      <w:kern w:val="0"/>
                      <w:highlight w:val="none"/>
                      <w:lang w:bidi="ar"/>
                    </w:rPr>
                    <w:t>000种遗传物质为RNA的病原微生物，仅限RNA病毒</w:t>
                  </w:r>
                </w:p>
              </w:tc>
              <w:tc>
                <w:tcPr>
                  <w:tcW w:w="0" w:type="auto"/>
                  <w:tcBorders>
                    <w:top w:val="single" w:color="auto" w:sz="4" w:space="0"/>
                    <w:left w:val="single" w:color="auto" w:sz="4" w:space="0"/>
                    <w:bottom w:val="single" w:color="auto" w:sz="4" w:space="0"/>
                    <w:right w:val="single" w:color="auto" w:sz="4" w:space="0"/>
                  </w:tcBorders>
                  <w:noWrap/>
                  <w:vAlign w:val="center"/>
                </w:tcPr>
                <w:p w14:paraId="15B6A8C8">
                  <w:pPr>
                    <w:widowControl/>
                    <w:jc w:val="center"/>
                    <w:textAlignment w:val="center"/>
                    <w:rPr>
                      <w:color w:val="auto"/>
                      <w:kern w:val="0"/>
                      <w:sz w:val="20"/>
                      <w:szCs w:val="20"/>
                      <w:highlight w:val="none"/>
                      <w:lang w:bidi="ar"/>
                    </w:rPr>
                  </w:pPr>
                  <w:r>
                    <w:rPr>
                      <w:color w:val="auto"/>
                      <w:highlight w:val="none"/>
                    </w:rPr>
                    <w:t>250700031F</w:t>
                  </w:r>
                </w:p>
              </w:tc>
              <w:tc>
                <w:tcPr>
                  <w:tcW w:w="0" w:type="auto"/>
                  <w:tcBorders>
                    <w:top w:val="single" w:color="auto" w:sz="4" w:space="0"/>
                    <w:left w:val="single" w:color="auto" w:sz="4" w:space="0"/>
                    <w:bottom w:val="single" w:color="auto" w:sz="4" w:space="0"/>
                    <w:right w:val="single" w:color="auto" w:sz="4" w:space="0"/>
                  </w:tcBorders>
                  <w:noWrap/>
                  <w:vAlign w:val="center"/>
                </w:tcPr>
                <w:p w14:paraId="1B75AC44">
                  <w:pPr>
                    <w:widowControl/>
                    <w:jc w:val="center"/>
                    <w:textAlignment w:val="center"/>
                    <w:rPr>
                      <w:color w:val="auto"/>
                      <w:kern w:val="0"/>
                      <w:sz w:val="20"/>
                      <w:szCs w:val="20"/>
                      <w:highlight w:val="none"/>
                      <w:lang w:bidi="ar"/>
                    </w:rPr>
                  </w:pPr>
                  <w:r>
                    <w:rPr>
                      <w:rFonts w:hint="eastAsia"/>
                      <w:color w:val="auto"/>
                      <w:highlight w:val="none"/>
                    </w:rPr>
                    <w:t>16</w:t>
                  </w:r>
                </w:p>
              </w:tc>
              <w:tc>
                <w:tcPr>
                  <w:tcW w:w="0" w:type="auto"/>
                  <w:tcBorders>
                    <w:top w:val="single" w:color="auto" w:sz="4" w:space="0"/>
                    <w:left w:val="single" w:color="auto" w:sz="4" w:space="0"/>
                    <w:bottom w:val="single" w:color="auto" w:sz="4" w:space="0"/>
                    <w:right w:val="single" w:color="auto" w:sz="4" w:space="0"/>
                  </w:tcBorders>
                  <w:noWrap/>
                  <w:vAlign w:val="center"/>
                </w:tcPr>
                <w:p w14:paraId="452271AC">
                  <w:pPr>
                    <w:widowControl/>
                    <w:jc w:val="center"/>
                    <w:textAlignment w:val="center"/>
                    <w:rPr>
                      <w:rFonts w:hint="default" w:eastAsia="宋体"/>
                      <w:color w:val="auto"/>
                      <w:highlight w:val="none"/>
                      <w:lang w:val="en-US" w:eastAsia="zh-CN"/>
                    </w:rPr>
                  </w:pPr>
                  <w:r>
                    <w:rPr>
                      <w:rFonts w:hint="eastAsia"/>
                      <w:color w:val="auto"/>
                      <w:highlight w:val="none"/>
                      <w:lang w:val="en-US" w:eastAsia="zh-CN"/>
                    </w:rPr>
                    <w:t>22</w:t>
                  </w:r>
                </w:p>
              </w:tc>
            </w:tr>
            <w:tr w14:paraId="76915AC9">
              <w:tblPrEx>
                <w:tblCellMar>
                  <w:top w:w="0" w:type="dxa"/>
                  <w:left w:w="108" w:type="dxa"/>
                  <w:bottom w:w="0" w:type="dxa"/>
                  <w:right w:w="108" w:type="dxa"/>
                </w:tblCellMar>
              </w:tblPrEx>
              <w:trPr>
                <w:trHeight w:val="1576"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1FB8A70D">
                  <w:pPr>
                    <w:widowControl/>
                    <w:jc w:val="center"/>
                    <w:textAlignment w:val="center"/>
                    <w:rPr>
                      <w:color w:val="auto"/>
                      <w:kern w:val="0"/>
                      <w:sz w:val="20"/>
                      <w:szCs w:val="20"/>
                      <w:highlight w:val="none"/>
                      <w:lang w:bidi="ar"/>
                    </w:rPr>
                  </w:pPr>
                  <w:r>
                    <w:rPr>
                      <w:color w:val="auto"/>
                      <w:kern w:val="0"/>
                      <w:sz w:val="20"/>
                      <w:szCs w:val="20"/>
                      <w:highlight w:val="none"/>
                      <w:lang w:bidi="ar"/>
                    </w:rPr>
                    <w:t>3</w:t>
                  </w:r>
                </w:p>
              </w:tc>
              <w:tc>
                <w:tcPr>
                  <w:tcW w:w="0" w:type="auto"/>
                  <w:tcBorders>
                    <w:top w:val="single" w:color="000000" w:sz="4" w:space="0"/>
                    <w:left w:val="single" w:color="000000" w:sz="4" w:space="0"/>
                    <w:bottom w:val="single" w:color="000000" w:sz="4" w:space="0"/>
                    <w:right w:val="single" w:color="auto" w:sz="4" w:space="0"/>
                  </w:tcBorders>
                  <w:vAlign w:val="center"/>
                </w:tcPr>
                <w:p w14:paraId="09ED6AFA">
                  <w:pPr>
                    <w:widowControl/>
                    <w:jc w:val="left"/>
                    <w:textAlignment w:val="top"/>
                    <w:rPr>
                      <w:color w:val="auto"/>
                      <w:sz w:val="20"/>
                      <w:szCs w:val="20"/>
                      <w:highlight w:val="none"/>
                    </w:rPr>
                  </w:pPr>
                  <w:r>
                    <w:rPr>
                      <w:color w:val="auto"/>
                      <w:kern w:val="0"/>
                      <w:highlight w:val="none"/>
                      <w:lang w:bidi="ar"/>
                    </w:rPr>
                    <w:t>DNA+RNA-病原微生物宏基因组高通量测序</w:t>
                  </w:r>
                </w:p>
              </w:tc>
              <w:tc>
                <w:tcPr>
                  <w:tcW w:w="0" w:type="auto"/>
                  <w:tcBorders>
                    <w:top w:val="single" w:color="auto" w:sz="4" w:space="0"/>
                    <w:left w:val="single" w:color="auto" w:sz="4" w:space="0"/>
                    <w:bottom w:val="single" w:color="auto" w:sz="4" w:space="0"/>
                    <w:right w:val="single" w:color="auto" w:sz="4" w:space="0"/>
                  </w:tcBorders>
                  <w:vAlign w:val="center"/>
                </w:tcPr>
                <w:p w14:paraId="742DB6B5">
                  <w:pPr>
                    <w:widowControl/>
                    <w:jc w:val="left"/>
                    <w:textAlignment w:val="top"/>
                    <w:rPr>
                      <w:color w:val="auto"/>
                      <w:sz w:val="20"/>
                      <w:szCs w:val="20"/>
                      <w:highlight w:val="none"/>
                    </w:rPr>
                  </w:pPr>
                  <w:r>
                    <w:rPr>
                      <w:rFonts w:hint="eastAsia"/>
                      <w:color w:val="auto"/>
                      <w:kern w:val="0"/>
                      <w:highlight w:val="none"/>
                      <w:lang w:bidi="ar"/>
                    </w:rPr>
                    <w:t>检测送检标本中≥</w:t>
                  </w:r>
                  <w:r>
                    <w:rPr>
                      <w:color w:val="auto"/>
                      <w:kern w:val="0"/>
                      <w:highlight w:val="none"/>
                      <w:lang w:bidi="ar"/>
                    </w:rPr>
                    <w:t>1</w:t>
                  </w:r>
                  <w:r>
                    <w:rPr>
                      <w:rFonts w:hint="eastAsia"/>
                      <w:color w:val="auto"/>
                      <w:kern w:val="0"/>
                      <w:highlight w:val="none"/>
                      <w:lang w:bidi="ar"/>
                    </w:rPr>
                    <w:t>8</w:t>
                  </w:r>
                  <w:r>
                    <w:rPr>
                      <w:color w:val="auto"/>
                      <w:kern w:val="0"/>
                      <w:highlight w:val="none"/>
                      <w:lang w:bidi="ar"/>
                    </w:rPr>
                    <w:t>000种DNA/RNA病原微生物</w:t>
                  </w:r>
                </w:p>
              </w:tc>
              <w:tc>
                <w:tcPr>
                  <w:tcW w:w="0" w:type="auto"/>
                  <w:tcBorders>
                    <w:top w:val="single" w:color="auto" w:sz="4" w:space="0"/>
                    <w:left w:val="single" w:color="auto" w:sz="4" w:space="0"/>
                    <w:bottom w:val="single" w:color="auto" w:sz="4" w:space="0"/>
                    <w:right w:val="single" w:color="auto" w:sz="4" w:space="0"/>
                  </w:tcBorders>
                  <w:vAlign w:val="center"/>
                </w:tcPr>
                <w:p w14:paraId="18C73F4F">
                  <w:pPr>
                    <w:widowControl/>
                    <w:jc w:val="center"/>
                    <w:textAlignment w:val="center"/>
                    <w:rPr>
                      <w:color w:val="auto"/>
                      <w:kern w:val="0"/>
                      <w:sz w:val="20"/>
                      <w:szCs w:val="20"/>
                      <w:highlight w:val="none"/>
                      <w:lang w:bidi="ar"/>
                    </w:rPr>
                  </w:pPr>
                  <w:r>
                    <w:rPr>
                      <w:color w:val="auto"/>
                      <w:highlight w:val="none"/>
                    </w:rPr>
                    <w:t>250700031F</w:t>
                  </w:r>
                </w:p>
              </w:tc>
              <w:tc>
                <w:tcPr>
                  <w:tcW w:w="0" w:type="auto"/>
                  <w:tcBorders>
                    <w:top w:val="single" w:color="auto" w:sz="4" w:space="0"/>
                    <w:left w:val="single" w:color="auto" w:sz="4" w:space="0"/>
                    <w:bottom w:val="single" w:color="auto" w:sz="4" w:space="0"/>
                    <w:right w:val="single" w:color="auto" w:sz="4" w:space="0"/>
                  </w:tcBorders>
                  <w:vAlign w:val="center"/>
                </w:tcPr>
                <w:p w14:paraId="2ED46F6D">
                  <w:pPr>
                    <w:widowControl/>
                    <w:jc w:val="center"/>
                    <w:textAlignment w:val="center"/>
                    <w:rPr>
                      <w:color w:val="auto"/>
                      <w:kern w:val="0"/>
                      <w:sz w:val="20"/>
                      <w:szCs w:val="20"/>
                      <w:highlight w:val="none"/>
                      <w:lang w:bidi="ar"/>
                    </w:rPr>
                  </w:pPr>
                  <w:r>
                    <w:rPr>
                      <w:rFonts w:hint="eastAsia"/>
                      <w:color w:val="auto"/>
                      <w:highlight w:val="none"/>
                    </w:rPr>
                    <w:t>27</w:t>
                  </w:r>
                </w:p>
              </w:tc>
              <w:tc>
                <w:tcPr>
                  <w:tcW w:w="0" w:type="auto"/>
                  <w:tcBorders>
                    <w:top w:val="single" w:color="auto" w:sz="4" w:space="0"/>
                    <w:left w:val="single" w:color="auto" w:sz="4" w:space="0"/>
                    <w:bottom w:val="single" w:color="auto" w:sz="4" w:space="0"/>
                    <w:right w:val="single" w:color="auto" w:sz="4" w:space="0"/>
                  </w:tcBorders>
                  <w:vAlign w:val="center"/>
                </w:tcPr>
                <w:p w14:paraId="4B5FF5C3">
                  <w:pPr>
                    <w:widowControl/>
                    <w:jc w:val="center"/>
                    <w:textAlignment w:val="center"/>
                    <w:rPr>
                      <w:rFonts w:hint="default" w:eastAsia="宋体"/>
                      <w:color w:val="auto"/>
                      <w:highlight w:val="none"/>
                      <w:lang w:val="en-US" w:eastAsia="zh-CN"/>
                    </w:rPr>
                  </w:pPr>
                  <w:r>
                    <w:rPr>
                      <w:rFonts w:hint="eastAsia"/>
                      <w:color w:val="auto"/>
                      <w:highlight w:val="none"/>
                      <w:lang w:val="en-US" w:eastAsia="zh-CN"/>
                    </w:rPr>
                    <w:t>50</w:t>
                  </w:r>
                </w:p>
              </w:tc>
            </w:tr>
            <w:tr w14:paraId="7081EDB1">
              <w:tblPrEx>
                <w:tblCellMar>
                  <w:top w:w="0" w:type="dxa"/>
                  <w:left w:w="108" w:type="dxa"/>
                  <w:bottom w:w="0" w:type="dxa"/>
                  <w:right w:w="108" w:type="dxa"/>
                </w:tblCellMar>
              </w:tblPrEx>
              <w:trPr>
                <w:trHeight w:val="1215"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310BE6ED">
                  <w:pPr>
                    <w:widowControl/>
                    <w:jc w:val="center"/>
                    <w:textAlignment w:val="center"/>
                    <w:rPr>
                      <w:color w:val="auto"/>
                      <w:kern w:val="0"/>
                      <w:sz w:val="20"/>
                      <w:szCs w:val="20"/>
                      <w:highlight w:val="none"/>
                      <w:lang w:bidi="ar"/>
                    </w:rPr>
                  </w:pPr>
                  <w:r>
                    <w:rPr>
                      <w:color w:val="auto"/>
                      <w:kern w:val="0"/>
                      <w:sz w:val="20"/>
                      <w:szCs w:val="20"/>
                      <w:highlight w:val="none"/>
                      <w:lang w:bidi="ar"/>
                    </w:rPr>
                    <w:t>4</w:t>
                  </w:r>
                </w:p>
              </w:tc>
              <w:tc>
                <w:tcPr>
                  <w:tcW w:w="0" w:type="auto"/>
                  <w:tcBorders>
                    <w:top w:val="single" w:color="000000" w:sz="4" w:space="0"/>
                    <w:left w:val="single" w:color="000000" w:sz="4" w:space="0"/>
                    <w:bottom w:val="single" w:color="000000" w:sz="4" w:space="0"/>
                    <w:right w:val="single" w:color="000000" w:sz="4" w:space="0"/>
                  </w:tcBorders>
                  <w:vAlign w:val="center"/>
                </w:tcPr>
                <w:p w14:paraId="30A6EB90">
                  <w:pPr>
                    <w:widowControl/>
                    <w:jc w:val="left"/>
                    <w:textAlignment w:val="top"/>
                    <w:rPr>
                      <w:color w:val="auto"/>
                      <w:sz w:val="20"/>
                      <w:szCs w:val="20"/>
                      <w:highlight w:val="none"/>
                    </w:rPr>
                  </w:pPr>
                  <w:r>
                    <w:rPr>
                      <w:color w:val="auto"/>
                      <w:kern w:val="0"/>
                      <w:highlight w:val="none"/>
                      <w:lang w:bidi="ar"/>
                    </w:rPr>
                    <w:t>DNA+RNA-病原微生物核酸高通量测序</w:t>
                  </w:r>
                </w:p>
              </w:tc>
              <w:tc>
                <w:tcPr>
                  <w:tcW w:w="0" w:type="auto"/>
                  <w:tcBorders>
                    <w:top w:val="single" w:color="auto" w:sz="4" w:space="0"/>
                    <w:left w:val="single" w:color="000000" w:sz="4" w:space="0"/>
                    <w:bottom w:val="single" w:color="000000" w:sz="4" w:space="0"/>
                    <w:right w:val="single" w:color="000000" w:sz="4" w:space="0"/>
                  </w:tcBorders>
                  <w:vAlign w:val="center"/>
                </w:tcPr>
                <w:p w14:paraId="0EA7C882">
                  <w:pPr>
                    <w:widowControl/>
                    <w:jc w:val="left"/>
                    <w:textAlignment w:val="top"/>
                    <w:rPr>
                      <w:color w:val="auto"/>
                      <w:sz w:val="20"/>
                      <w:szCs w:val="20"/>
                      <w:highlight w:val="none"/>
                    </w:rPr>
                  </w:pPr>
                  <w:r>
                    <w:rPr>
                      <w:rFonts w:hint="eastAsia"/>
                      <w:color w:val="auto"/>
                      <w:kern w:val="0"/>
                      <w:highlight w:val="none"/>
                      <w:lang w:bidi="ar"/>
                    </w:rPr>
                    <w:t>检测送检标本中≥2</w:t>
                  </w:r>
                  <w:r>
                    <w:rPr>
                      <w:color w:val="auto"/>
                      <w:kern w:val="0"/>
                      <w:highlight w:val="none"/>
                      <w:lang w:bidi="ar"/>
                    </w:rPr>
                    <w:t>000种DNA/RNA病原微生物（细菌、支原体、病毒等）</w:t>
                  </w:r>
                </w:p>
              </w:tc>
              <w:tc>
                <w:tcPr>
                  <w:tcW w:w="0" w:type="auto"/>
                  <w:tcBorders>
                    <w:top w:val="single" w:color="auto" w:sz="4" w:space="0"/>
                    <w:left w:val="single" w:color="000000" w:sz="4" w:space="0"/>
                    <w:bottom w:val="single" w:color="000000" w:sz="4" w:space="0"/>
                    <w:right w:val="single" w:color="000000" w:sz="4" w:space="0"/>
                  </w:tcBorders>
                  <w:vAlign w:val="center"/>
                </w:tcPr>
                <w:p w14:paraId="55C3EADB">
                  <w:pPr>
                    <w:widowControl/>
                    <w:jc w:val="center"/>
                    <w:textAlignment w:val="center"/>
                    <w:rPr>
                      <w:color w:val="auto"/>
                      <w:kern w:val="0"/>
                      <w:sz w:val="20"/>
                      <w:szCs w:val="20"/>
                      <w:highlight w:val="none"/>
                      <w:lang w:bidi="ar"/>
                    </w:rPr>
                  </w:pPr>
                  <w:r>
                    <w:rPr>
                      <w:color w:val="auto"/>
                      <w:highlight w:val="none"/>
                    </w:rPr>
                    <w:t>250700031F</w:t>
                  </w:r>
                </w:p>
              </w:tc>
              <w:tc>
                <w:tcPr>
                  <w:tcW w:w="0" w:type="auto"/>
                  <w:tcBorders>
                    <w:top w:val="single" w:color="auto" w:sz="4" w:space="0"/>
                    <w:left w:val="single" w:color="000000" w:sz="4" w:space="0"/>
                    <w:bottom w:val="single" w:color="000000" w:sz="4" w:space="0"/>
                    <w:right w:val="single" w:color="000000" w:sz="4" w:space="0"/>
                  </w:tcBorders>
                  <w:vAlign w:val="center"/>
                </w:tcPr>
                <w:p w14:paraId="5815C646">
                  <w:pPr>
                    <w:widowControl/>
                    <w:jc w:val="center"/>
                    <w:textAlignment w:val="center"/>
                    <w:rPr>
                      <w:color w:val="auto"/>
                      <w:kern w:val="0"/>
                      <w:sz w:val="20"/>
                      <w:szCs w:val="20"/>
                      <w:highlight w:val="none"/>
                      <w:lang w:bidi="ar"/>
                    </w:rPr>
                  </w:pPr>
                  <w:r>
                    <w:rPr>
                      <w:rFonts w:hint="eastAsia"/>
                      <w:color w:val="auto"/>
                      <w:highlight w:val="none"/>
                    </w:rPr>
                    <w:t>11</w:t>
                  </w:r>
                </w:p>
              </w:tc>
              <w:tc>
                <w:tcPr>
                  <w:tcW w:w="0" w:type="auto"/>
                  <w:tcBorders>
                    <w:top w:val="single" w:color="auto" w:sz="4" w:space="0"/>
                    <w:left w:val="single" w:color="000000" w:sz="4" w:space="0"/>
                    <w:bottom w:val="single" w:color="000000" w:sz="4" w:space="0"/>
                    <w:right w:val="single" w:color="000000" w:sz="4" w:space="0"/>
                  </w:tcBorders>
                  <w:vAlign w:val="center"/>
                </w:tcPr>
                <w:p w14:paraId="7EDCEA8A">
                  <w:pPr>
                    <w:widowControl/>
                    <w:jc w:val="center"/>
                    <w:textAlignment w:val="center"/>
                    <w:rPr>
                      <w:rFonts w:hint="default" w:eastAsia="宋体"/>
                      <w:color w:val="auto"/>
                      <w:highlight w:val="none"/>
                      <w:lang w:val="en-US" w:eastAsia="zh-CN"/>
                    </w:rPr>
                  </w:pPr>
                  <w:r>
                    <w:rPr>
                      <w:rFonts w:hint="eastAsia"/>
                      <w:color w:val="auto"/>
                      <w:highlight w:val="none"/>
                      <w:lang w:val="en-US" w:eastAsia="zh-CN"/>
                    </w:rPr>
                    <w:t>106</w:t>
                  </w:r>
                </w:p>
              </w:tc>
            </w:tr>
            <w:tr w14:paraId="0D93BDD8">
              <w:tblPrEx>
                <w:tblCellMar>
                  <w:top w:w="0" w:type="dxa"/>
                  <w:left w:w="108" w:type="dxa"/>
                  <w:bottom w:w="0" w:type="dxa"/>
                  <w:right w:w="108" w:type="dxa"/>
                </w:tblCellMar>
              </w:tblPrEx>
              <w:trPr>
                <w:trHeight w:val="1129"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604953A9">
                  <w:pPr>
                    <w:widowControl/>
                    <w:jc w:val="center"/>
                    <w:textAlignment w:val="center"/>
                    <w:rPr>
                      <w:color w:val="auto"/>
                      <w:kern w:val="0"/>
                      <w:sz w:val="20"/>
                      <w:szCs w:val="20"/>
                      <w:highlight w:val="none"/>
                      <w:lang w:bidi="ar"/>
                    </w:rPr>
                  </w:pPr>
                  <w:r>
                    <w:rPr>
                      <w:color w:val="auto"/>
                      <w:kern w:val="0"/>
                      <w:sz w:val="20"/>
                      <w:szCs w:val="20"/>
                      <w:highlight w:val="none"/>
                      <w:lang w:bidi="ar"/>
                    </w:rPr>
                    <w:t>5</w:t>
                  </w:r>
                </w:p>
              </w:tc>
              <w:tc>
                <w:tcPr>
                  <w:tcW w:w="0" w:type="auto"/>
                  <w:tcBorders>
                    <w:top w:val="single" w:color="000000" w:sz="4" w:space="0"/>
                    <w:left w:val="single" w:color="000000" w:sz="4" w:space="0"/>
                    <w:bottom w:val="single" w:color="000000" w:sz="4" w:space="0"/>
                    <w:right w:val="single" w:color="000000" w:sz="4" w:space="0"/>
                  </w:tcBorders>
                  <w:vAlign w:val="center"/>
                </w:tcPr>
                <w:p w14:paraId="781B51E8">
                  <w:pPr>
                    <w:widowControl/>
                    <w:jc w:val="left"/>
                    <w:textAlignment w:val="top"/>
                    <w:rPr>
                      <w:color w:val="auto"/>
                      <w:sz w:val="20"/>
                      <w:szCs w:val="20"/>
                      <w:highlight w:val="none"/>
                    </w:rPr>
                  </w:pPr>
                  <w:r>
                    <w:rPr>
                      <w:color w:val="auto"/>
                      <w:kern w:val="0"/>
                      <w:highlight w:val="none"/>
                      <w:lang w:bidi="ar"/>
                    </w:rPr>
                    <w:t>病原微生物靶向高通量测序</w:t>
                  </w:r>
                  <w:r>
                    <w:rPr>
                      <w:rFonts w:hint="eastAsia"/>
                      <w:color w:val="auto"/>
                      <w:kern w:val="0"/>
                      <w:highlight w:val="none"/>
                      <w:lang w:bidi="ar"/>
                    </w:rPr>
                    <w:t>（泛感染）</w:t>
                  </w:r>
                </w:p>
              </w:tc>
              <w:tc>
                <w:tcPr>
                  <w:tcW w:w="0" w:type="auto"/>
                  <w:tcBorders>
                    <w:top w:val="single" w:color="000000" w:sz="4" w:space="0"/>
                    <w:left w:val="single" w:color="000000" w:sz="4" w:space="0"/>
                    <w:bottom w:val="single" w:color="000000" w:sz="4" w:space="0"/>
                    <w:right w:val="single" w:color="000000" w:sz="4" w:space="0"/>
                  </w:tcBorders>
                  <w:vAlign w:val="center"/>
                </w:tcPr>
                <w:p w14:paraId="4B22377A">
                  <w:pPr>
                    <w:widowControl/>
                    <w:jc w:val="left"/>
                    <w:textAlignment w:val="top"/>
                    <w:rPr>
                      <w:color w:val="auto"/>
                      <w:sz w:val="20"/>
                      <w:szCs w:val="20"/>
                      <w:highlight w:val="none"/>
                    </w:rPr>
                  </w:pPr>
                  <w:r>
                    <w:rPr>
                      <w:rFonts w:hint="eastAsia"/>
                      <w:color w:val="auto"/>
                      <w:kern w:val="0"/>
                      <w:highlight w:val="none"/>
                      <w:lang w:bidi="ar"/>
                    </w:rPr>
                    <w:t>检测送检标本中≥16</w:t>
                  </w:r>
                  <w:r>
                    <w:rPr>
                      <w:color w:val="auto"/>
                      <w:kern w:val="0"/>
                      <w:highlight w:val="none"/>
                      <w:lang w:bidi="ar"/>
                    </w:rPr>
                    <w:t>0种以上常见感染病原体</w:t>
                  </w:r>
                </w:p>
              </w:tc>
              <w:tc>
                <w:tcPr>
                  <w:tcW w:w="0" w:type="auto"/>
                  <w:tcBorders>
                    <w:top w:val="single" w:color="000000" w:sz="4" w:space="0"/>
                    <w:left w:val="single" w:color="000000" w:sz="4" w:space="0"/>
                    <w:bottom w:val="single" w:color="000000" w:sz="4" w:space="0"/>
                    <w:right w:val="single" w:color="000000" w:sz="4" w:space="0"/>
                  </w:tcBorders>
                  <w:vAlign w:val="center"/>
                </w:tcPr>
                <w:p w14:paraId="7AB72972">
                  <w:pPr>
                    <w:widowControl/>
                    <w:jc w:val="center"/>
                    <w:textAlignment w:val="center"/>
                    <w:rPr>
                      <w:color w:val="auto"/>
                      <w:kern w:val="0"/>
                      <w:sz w:val="20"/>
                      <w:szCs w:val="20"/>
                      <w:highlight w:val="none"/>
                      <w:lang w:bidi="ar"/>
                    </w:rPr>
                  </w:pPr>
                  <w:r>
                    <w:rPr>
                      <w:color w:val="auto"/>
                      <w:highlight w:val="none"/>
                    </w:rPr>
                    <w:t>250700031F</w:t>
                  </w:r>
                </w:p>
              </w:tc>
              <w:tc>
                <w:tcPr>
                  <w:tcW w:w="0" w:type="auto"/>
                  <w:tcBorders>
                    <w:top w:val="single" w:color="000000" w:sz="4" w:space="0"/>
                    <w:left w:val="single" w:color="000000" w:sz="4" w:space="0"/>
                    <w:bottom w:val="single" w:color="000000" w:sz="4" w:space="0"/>
                    <w:right w:val="single" w:color="000000" w:sz="4" w:space="0"/>
                  </w:tcBorders>
                  <w:vAlign w:val="center"/>
                </w:tcPr>
                <w:p w14:paraId="5FBDEA5B">
                  <w:pPr>
                    <w:widowControl/>
                    <w:jc w:val="center"/>
                    <w:textAlignment w:val="center"/>
                    <w:rPr>
                      <w:color w:val="auto"/>
                      <w:kern w:val="0"/>
                      <w:sz w:val="20"/>
                      <w:szCs w:val="20"/>
                      <w:highlight w:val="none"/>
                      <w:lang w:bidi="ar"/>
                    </w:rPr>
                  </w:pPr>
                  <w:r>
                    <w:rPr>
                      <w:rFonts w:hint="eastAsia"/>
                      <w:color w:val="auto"/>
                      <w:highlight w:val="none"/>
                    </w:rPr>
                    <w:t>4</w:t>
                  </w:r>
                </w:p>
              </w:tc>
              <w:tc>
                <w:tcPr>
                  <w:tcW w:w="0" w:type="auto"/>
                  <w:tcBorders>
                    <w:top w:val="single" w:color="000000" w:sz="4" w:space="0"/>
                    <w:left w:val="single" w:color="000000" w:sz="4" w:space="0"/>
                    <w:bottom w:val="single" w:color="000000" w:sz="4" w:space="0"/>
                    <w:right w:val="single" w:color="000000" w:sz="4" w:space="0"/>
                  </w:tcBorders>
                  <w:vAlign w:val="center"/>
                </w:tcPr>
                <w:p w14:paraId="30E735D0">
                  <w:pPr>
                    <w:widowControl/>
                    <w:jc w:val="center"/>
                    <w:textAlignment w:val="center"/>
                    <w:rPr>
                      <w:rFonts w:hint="default" w:eastAsia="宋体"/>
                      <w:color w:val="auto"/>
                      <w:highlight w:val="none"/>
                      <w:lang w:val="en-US" w:eastAsia="zh-CN"/>
                    </w:rPr>
                  </w:pPr>
                  <w:r>
                    <w:rPr>
                      <w:rFonts w:hint="eastAsia"/>
                      <w:color w:val="auto"/>
                      <w:highlight w:val="none"/>
                      <w:lang w:val="en-US" w:eastAsia="zh-CN"/>
                    </w:rPr>
                    <w:t>173</w:t>
                  </w:r>
                </w:p>
              </w:tc>
            </w:tr>
            <w:tr w14:paraId="53755C8D">
              <w:tblPrEx>
                <w:tblCellMar>
                  <w:top w:w="0" w:type="dxa"/>
                  <w:left w:w="108" w:type="dxa"/>
                  <w:bottom w:w="0" w:type="dxa"/>
                  <w:right w:w="108" w:type="dxa"/>
                </w:tblCellMar>
              </w:tblPrEx>
              <w:trPr>
                <w:trHeight w:val="914"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5C3CF665">
                  <w:pPr>
                    <w:widowControl/>
                    <w:jc w:val="center"/>
                    <w:textAlignment w:val="center"/>
                    <w:rPr>
                      <w:color w:val="auto"/>
                      <w:kern w:val="0"/>
                      <w:sz w:val="20"/>
                      <w:szCs w:val="20"/>
                      <w:highlight w:val="none"/>
                      <w:lang w:bidi="ar"/>
                    </w:rPr>
                  </w:pPr>
                  <w:r>
                    <w:rPr>
                      <w:color w:val="auto"/>
                      <w:kern w:val="0"/>
                      <w:sz w:val="20"/>
                      <w:szCs w:val="20"/>
                      <w:highlight w:val="none"/>
                      <w:lang w:bidi="ar"/>
                    </w:rPr>
                    <w:t>6</w:t>
                  </w:r>
                </w:p>
              </w:tc>
              <w:tc>
                <w:tcPr>
                  <w:tcW w:w="0" w:type="auto"/>
                  <w:tcBorders>
                    <w:top w:val="single" w:color="000000" w:sz="4" w:space="0"/>
                    <w:left w:val="single" w:color="000000" w:sz="4" w:space="0"/>
                    <w:bottom w:val="single" w:color="000000" w:sz="4" w:space="0"/>
                    <w:right w:val="single" w:color="000000" w:sz="4" w:space="0"/>
                  </w:tcBorders>
                  <w:vAlign w:val="center"/>
                </w:tcPr>
                <w:p w14:paraId="29C56878">
                  <w:pPr>
                    <w:widowControl/>
                    <w:jc w:val="left"/>
                    <w:textAlignment w:val="top"/>
                    <w:rPr>
                      <w:color w:val="auto"/>
                      <w:sz w:val="20"/>
                      <w:szCs w:val="20"/>
                      <w:highlight w:val="none"/>
                    </w:rPr>
                  </w:pPr>
                  <w:r>
                    <w:rPr>
                      <w:rFonts w:hint="eastAsia"/>
                      <w:color w:val="auto"/>
                      <w:kern w:val="0"/>
                      <w:highlight w:val="none"/>
                      <w:lang w:bidi="ar"/>
                    </w:rPr>
                    <w:t>上</w:t>
                  </w:r>
                  <w:r>
                    <w:rPr>
                      <w:color w:val="auto"/>
                      <w:kern w:val="0"/>
                      <w:highlight w:val="none"/>
                      <w:lang w:bidi="ar"/>
                    </w:rPr>
                    <w:t>呼吸道病原体靶向高通量测序</w:t>
                  </w:r>
                </w:p>
              </w:tc>
              <w:tc>
                <w:tcPr>
                  <w:tcW w:w="0" w:type="auto"/>
                  <w:tcBorders>
                    <w:top w:val="single" w:color="000000" w:sz="4" w:space="0"/>
                    <w:left w:val="single" w:color="000000" w:sz="4" w:space="0"/>
                    <w:bottom w:val="single" w:color="000000" w:sz="4" w:space="0"/>
                    <w:right w:val="single" w:color="000000" w:sz="4" w:space="0"/>
                  </w:tcBorders>
                  <w:vAlign w:val="center"/>
                </w:tcPr>
                <w:p w14:paraId="15458D07">
                  <w:pPr>
                    <w:widowControl/>
                    <w:jc w:val="left"/>
                    <w:textAlignment w:val="top"/>
                    <w:rPr>
                      <w:color w:val="auto"/>
                      <w:sz w:val="20"/>
                      <w:szCs w:val="20"/>
                      <w:highlight w:val="none"/>
                    </w:rPr>
                  </w:pPr>
                  <w:r>
                    <w:rPr>
                      <w:rFonts w:hint="eastAsia"/>
                      <w:color w:val="auto"/>
                      <w:kern w:val="0"/>
                      <w:highlight w:val="none"/>
                      <w:lang w:bidi="ar"/>
                    </w:rPr>
                    <w:t>检测上呼吸道标本中≥8</w:t>
                  </w:r>
                  <w:r>
                    <w:rPr>
                      <w:color w:val="auto"/>
                      <w:kern w:val="0"/>
                      <w:highlight w:val="none"/>
                      <w:lang w:bidi="ar"/>
                    </w:rPr>
                    <w:t>0种</w:t>
                  </w:r>
                  <w:r>
                    <w:rPr>
                      <w:rFonts w:hint="eastAsia"/>
                      <w:color w:val="auto"/>
                      <w:kern w:val="0"/>
                      <w:highlight w:val="none"/>
                      <w:lang w:bidi="ar"/>
                    </w:rPr>
                    <w:t>致病病原体</w:t>
                  </w:r>
                </w:p>
              </w:tc>
              <w:tc>
                <w:tcPr>
                  <w:tcW w:w="0" w:type="auto"/>
                  <w:tcBorders>
                    <w:top w:val="single" w:color="000000" w:sz="4" w:space="0"/>
                    <w:left w:val="single" w:color="000000" w:sz="4" w:space="0"/>
                    <w:bottom w:val="single" w:color="000000" w:sz="4" w:space="0"/>
                    <w:right w:val="single" w:color="000000" w:sz="4" w:space="0"/>
                  </w:tcBorders>
                  <w:vAlign w:val="center"/>
                </w:tcPr>
                <w:p w14:paraId="283FF952">
                  <w:pPr>
                    <w:widowControl/>
                    <w:jc w:val="center"/>
                    <w:textAlignment w:val="center"/>
                    <w:rPr>
                      <w:color w:val="auto"/>
                      <w:kern w:val="0"/>
                      <w:sz w:val="20"/>
                      <w:szCs w:val="20"/>
                      <w:highlight w:val="none"/>
                      <w:lang w:bidi="ar"/>
                    </w:rPr>
                  </w:pPr>
                  <w:r>
                    <w:rPr>
                      <w:color w:val="auto"/>
                      <w:highlight w:val="none"/>
                    </w:rPr>
                    <w:t>250700031F</w:t>
                  </w:r>
                </w:p>
              </w:tc>
              <w:tc>
                <w:tcPr>
                  <w:tcW w:w="0" w:type="auto"/>
                  <w:tcBorders>
                    <w:top w:val="single" w:color="000000" w:sz="4" w:space="0"/>
                    <w:left w:val="single" w:color="000000" w:sz="4" w:space="0"/>
                    <w:bottom w:val="single" w:color="000000" w:sz="4" w:space="0"/>
                    <w:right w:val="single" w:color="000000" w:sz="4" w:space="0"/>
                  </w:tcBorders>
                  <w:vAlign w:val="center"/>
                </w:tcPr>
                <w:p w14:paraId="394C85F9">
                  <w:pPr>
                    <w:widowControl/>
                    <w:jc w:val="center"/>
                    <w:textAlignment w:val="center"/>
                    <w:rPr>
                      <w:color w:val="auto"/>
                      <w:kern w:val="0"/>
                      <w:sz w:val="20"/>
                      <w:szCs w:val="20"/>
                      <w:highlight w:val="none"/>
                      <w:lang w:bidi="ar"/>
                    </w:rPr>
                  </w:pPr>
                  <w:r>
                    <w:rPr>
                      <w:rFonts w:hint="eastAsia"/>
                      <w:color w:val="auto"/>
                      <w:highlight w:val="none"/>
                    </w:rPr>
                    <w:t>3</w:t>
                  </w:r>
                </w:p>
              </w:tc>
              <w:tc>
                <w:tcPr>
                  <w:tcW w:w="0" w:type="auto"/>
                  <w:tcBorders>
                    <w:top w:val="single" w:color="000000" w:sz="4" w:space="0"/>
                    <w:left w:val="single" w:color="000000" w:sz="4" w:space="0"/>
                    <w:bottom w:val="single" w:color="000000" w:sz="4" w:space="0"/>
                    <w:right w:val="single" w:color="000000" w:sz="4" w:space="0"/>
                  </w:tcBorders>
                  <w:vAlign w:val="center"/>
                </w:tcPr>
                <w:p w14:paraId="0F903E01">
                  <w:pPr>
                    <w:widowControl/>
                    <w:jc w:val="center"/>
                    <w:textAlignment w:val="center"/>
                    <w:rPr>
                      <w:rFonts w:hint="default" w:eastAsia="宋体"/>
                      <w:color w:val="auto"/>
                      <w:highlight w:val="none"/>
                      <w:lang w:val="en-US" w:eastAsia="zh-CN"/>
                    </w:rPr>
                  </w:pPr>
                  <w:r>
                    <w:rPr>
                      <w:rFonts w:hint="eastAsia"/>
                      <w:color w:val="auto"/>
                      <w:highlight w:val="none"/>
                      <w:lang w:val="en-US" w:eastAsia="zh-CN"/>
                    </w:rPr>
                    <w:t>96</w:t>
                  </w:r>
                </w:p>
              </w:tc>
            </w:tr>
            <w:tr w14:paraId="4A9DDE18">
              <w:tblPrEx>
                <w:tblCellMar>
                  <w:top w:w="0" w:type="dxa"/>
                  <w:left w:w="108" w:type="dxa"/>
                  <w:bottom w:w="0" w:type="dxa"/>
                  <w:right w:w="108" w:type="dxa"/>
                </w:tblCellMar>
              </w:tblPrEx>
              <w:trPr>
                <w:trHeight w:val="23"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22494183">
                  <w:pPr>
                    <w:widowControl/>
                    <w:jc w:val="center"/>
                    <w:textAlignment w:val="center"/>
                    <w:rPr>
                      <w:color w:val="auto"/>
                      <w:kern w:val="0"/>
                      <w:sz w:val="20"/>
                      <w:szCs w:val="20"/>
                      <w:highlight w:val="none"/>
                      <w:lang w:bidi="ar"/>
                    </w:rPr>
                  </w:pPr>
                  <w:r>
                    <w:rPr>
                      <w:rFonts w:hint="eastAsia"/>
                      <w:color w:val="auto"/>
                      <w:kern w:val="0"/>
                      <w:sz w:val="20"/>
                      <w:szCs w:val="20"/>
                      <w:highlight w:val="none"/>
                      <w:lang w:bidi="ar"/>
                    </w:rPr>
                    <w:t>7</w:t>
                  </w:r>
                </w:p>
              </w:tc>
              <w:tc>
                <w:tcPr>
                  <w:tcW w:w="0" w:type="auto"/>
                  <w:tcBorders>
                    <w:top w:val="single" w:color="000000" w:sz="4" w:space="0"/>
                    <w:left w:val="single" w:color="000000" w:sz="4" w:space="0"/>
                    <w:bottom w:val="single" w:color="000000" w:sz="4" w:space="0"/>
                    <w:right w:val="single" w:color="000000" w:sz="4" w:space="0"/>
                  </w:tcBorders>
                  <w:vAlign w:val="center"/>
                </w:tcPr>
                <w:p w14:paraId="6F62FC41">
                  <w:pPr>
                    <w:widowControl/>
                    <w:jc w:val="left"/>
                    <w:textAlignment w:val="top"/>
                    <w:rPr>
                      <w:color w:val="auto"/>
                      <w:sz w:val="20"/>
                      <w:szCs w:val="20"/>
                      <w:highlight w:val="none"/>
                    </w:rPr>
                  </w:pPr>
                  <w:r>
                    <w:rPr>
                      <w:rFonts w:hint="eastAsia"/>
                      <w:color w:val="auto"/>
                      <w:kern w:val="0"/>
                      <w:highlight w:val="none"/>
                      <w:lang w:bidi="ar"/>
                    </w:rPr>
                    <w:t>下</w:t>
                  </w:r>
                  <w:r>
                    <w:rPr>
                      <w:color w:val="auto"/>
                      <w:kern w:val="0"/>
                      <w:highlight w:val="none"/>
                      <w:lang w:bidi="ar"/>
                    </w:rPr>
                    <w:t>呼吸道病原体靶向高通量测序</w:t>
                  </w:r>
                </w:p>
              </w:tc>
              <w:tc>
                <w:tcPr>
                  <w:tcW w:w="0" w:type="auto"/>
                  <w:tcBorders>
                    <w:top w:val="single" w:color="000000" w:sz="4" w:space="0"/>
                    <w:left w:val="single" w:color="000000" w:sz="4" w:space="0"/>
                    <w:bottom w:val="single" w:color="000000" w:sz="4" w:space="0"/>
                    <w:right w:val="single" w:color="000000" w:sz="4" w:space="0"/>
                  </w:tcBorders>
                  <w:vAlign w:val="center"/>
                </w:tcPr>
                <w:p w14:paraId="43743642">
                  <w:pPr>
                    <w:widowControl/>
                    <w:jc w:val="left"/>
                    <w:textAlignment w:val="top"/>
                    <w:rPr>
                      <w:color w:val="auto"/>
                      <w:sz w:val="20"/>
                      <w:szCs w:val="20"/>
                      <w:highlight w:val="none"/>
                    </w:rPr>
                  </w:pPr>
                  <w:r>
                    <w:rPr>
                      <w:rFonts w:hint="eastAsia"/>
                      <w:color w:val="auto"/>
                      <w:kern w:val="0"/>
                      <w:highlight w:val="none"/>
                      <w:lang w:bidi="ar"/>
                    </w:rPr>
                    <w:t>检测下呼吸道标本中≥160</w:t>
                  </w:r>
                  <w:r>
                    <w:rPr>
                      <w:color w:val="auto"/>
                      <w:kern w:val="0"/>
                      <w:highlight w:val="none"/>
                      <w:lang w:bidi="ar"/>
                    </w:rPr>
                    <w:t>种</w:t>
                  </w:r>
                  <w:r>
                    <w:rPr>
                      <w:rFonts w:hint="eastAsia"/>
                      <w:color w:val="auto"/>
                      <w:kern w:val="0"/>
                      <w:highlight w:val="none"/>
                      <w:lang w:bidi="ar"/>
                    </w:rPr>
                    <w:t>致病病原体</w:t>
                  </w:r>
                </w:p>
              </w:tc>
              <w:tc>
                <w:tcPr>
                  <w:tcW w:w="0" w:type="auto"/>
                  <w:tcBorders>
                    <w:top w:val="single" w:color="000000" w:sz="4" w:space="0"/>
                    <w:left w:val="single" w:color="000000" w:sz="4" w:space="0"/>
                    <w:bottom w:val="single" w:color="000000" w:sz="4" w:space="0"/>
                    <w:right w:val="single" w:color="000000" w:sz="4" w:space="0"/>
                  </w:tcBorders>
                  <w:vAlign w:val="center"/>
                </w:tcPr>
                <w:p w14:paraId="5C526A80">
                  <w:pPr>
                    <w:widowControl/>
                    <w:jc w:val="center"/>
                    <w:textAlignment w:val="center"/>
                    <w:rPr>
                      <w:color w:val="auto"/>
                      <w:kern w:val="0"/>
                      <w:sz w:val="20"/>
                      <w:szCs w:val="20"/>
                      <w:highlight w:val="none"/>
                      <w:lang w:bidi="ar"/>
                    </w:rPr>
                  </w:pPr>
                  <w:r>
                    <w:rPr>
                      <w:color w:val="auto"/>
                      <w:highlight w:val="none"/>
                    </w:rPr>
                    <w:t>250700031F</w:t>
                  </w:r>
                </w:p>
              </w:tc>
              <w:tc>
                <w:tcPr>
                  <w:tcW w:w="0" w:type="auto"/>
                  <w:tcBorders>
                    <w:top w:val="single" w:color="000000" w:sz="4" w:space="0"/>
                    <w:left w:val="single" w:color="000000" w:sz="4" w:space="0"/>
                    <w:bottom w:val="single" w:color="000000" w:sz="4" w:space="0"/>
                    <w:right w:val="single" w:color="000000" w:sz="4" w:space="0"/>
                  </w:tcBorders>
                  <w:vAlign w:val="center"/>
                </w:tcPr>
                <w:p w14:paraId="60CC9940">
                  <w:pPr>
                    <w:widowControl/>
                    <w:jc w:val="center"/>
                    <w:textAlignment w:val="center"/>
                    <w:rPr>
                      <w:color w:val="auto"/>
                      <w:kern w:val="0"/>
                      <w:sz w:val="20"/>
                      <w:szCs w:val="20"/>
                      <w:highlight w:val="none"/>
                      <w:lang w:bidi="ar"/>
                    </w:rPr>
                  </w:pPr>
                  <w:r>
                    <w:rPr>
                      <w:rFonts w:hint="eastAsia"/>
                      <w:color w:val="auto"/>
                      <w:highlight w:val="none"/>
                    </w:rPr>
                    <w:t>4</w:t>
                  </w:r>
                </w:p>
              </w:tc>
              <w:tc>
                <w:tcPr>
                  <w:tcW w:w="0" w:type="auto"/>
                  <w:tcBorders>
                    <w:top w:val="single" w:color="000000" w:sz="4" w:space="0"/>
                    <w:left w:val="single" w:color="000000" w:sz="4" w:space="0"/>
                    <w:bottom w:val="single" w:color="000000" w:sz="4" w:space="0"/>
                    <w:right w:val="single" w:color="000000" w:sz="4" w:space="0"/>
                  </w:tcBorders>
                  <w:vAlign w:val="center"/>
                </w:tcPr>
                <w:p w14:paraId="2F9E2226">
                  <w:pPr>
                    <w:widowControl/>
                    <w:jc w:val="center"/>
                    <w:textAlignment w:val="center"/>
                    <w:rPr>
                      <w:rFonts w:hint="default" w:eastAsia="宋体"/>
                      <w:color w:val="auto"/>
                      <w:highlight w:val="none"/>
                      <w:lang w:val="en-US" w:eastAsia="zh-CN"/>
                    </w:rPr>
                  </w:pPr>
                  <w:r>
                    <w:rPr>
                      <w:rFonts w:hint="eastAsia"/>
                      <w:color w:val="auto"/>
                      <w:highlight w:val="none"/>
                      <w:lang w:val="en-US" w:eastAsia="zh-CN"/>
                    </w:rPr>
                    <w:t>96</w:t>
                  </w:r>
                </w:p>
              </w:tc>
            </w:tr>
            <w:tr w14:paraId="24398ED2">
              <w:tblPrEx>
                <w:tblCellMar>
                  <w:top w:w="0" w:type="dxa"/>
                  <w:left w:w="108" w:type="dxa"/>
                  <w:bottom w:w="0" w:type="dxa"/>
                  <w:right w:w="108" w:type="dxa"/>
                </w:tblCellMar>
              </w:tblPrEx>
              <w:trPr>
                <w:trHeight w:val="23"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7B34B66C">
                  <w:pPr>
                    <w:widowControl/>
                    <w:jc w:val="center"/>
                    <w:textAlignment w:val="center"/>
                    <w:rPr>
                      <w:color w:val="auto"/>
                      <w:kern w:val="0"/>
                      <w:sz w:val="20"/>
                      <w:szCs w:val="20"/>
                      <w:highlight w:val="none"/>
                      <w:lang w:bidi="ar"/>
                    </w:rPr>
                  </w:pPr>
                  <w:r>
                    <w:rPr>
                      <w:color w:val="auto"/>
                      <w:kern w:val="0"/>
                      <w:sz w:val="20"/>
                      <w:szCs w:val="20"/>
                      <w:highlight w:val="none"/>
                      <w:lang w:bidi="ar"/>
                    </w:rPr>
                    <w:t>8</w:t>
                  </w:r>
                </w:p>
              </w:tc>
              <w:tc>
                <w:tcPr>
                  <w:tcW w:w="0" w:type="auto"/>
                  <w:tcBorders>
                    <w:top w:val="single" w:color="000000" w:sz="4" w:space="0"/>
                    <w:left w:val="single" w:color="000000" w:sz="4" w:space="0"/>
                    <w:bottom w:val="single" w:color="000000" w:sz="4" w:space="0"/>
                    <w:right w:val="single" w:color="000000" w:sz="4" w:space="0"/>
                  </w:tcBorders>
                  <w:vAlign w:val="center"/>
                </w:tcPr>
                <w:p w14:paraId="30473FA7">
                  <w:pPr>
                    <w:widowControl/>
                    <w:jc w:val="left"/>
                    <w:textAlignment w:val="top"/>
                    <w:rPr>
                      <w:color w:val="auto"/>
                      <w:sz w:val="20"/>
                      <w:szCs w:val="20"/>
                      <w:highlight w:val="none"/>
                    </w:rPr>
                  </w:pPr>
                  <w:r>
                    <w:rPr>
                      <w:color w:val="auto"/>
                      <w:kern w:val="0"/>
                      <w:highlight w:val="none"/>
                      <w:lang w:bidi="ar"/>
                    </w:rPr>
                    <w:t>结核分枝杆菌复合群及</w:t>
                  </w:r>
                  <w:r>
                    <w:rPr>
                      <w:rFonts w:hint="eastAsia"/>
                      <w:color w:val="auto"/>
                      <w:kern w:val="0"/>
                      <w:highlight w:val="none"/>
                      <w:lang w:bidi="ar"/>
                    </w:rPr>
                    <w:t>非结核分枝杆菌</w:t>
                  </w:r>
                  <w:r>
                    <w:rPr>
                      <w:color w:val="auto"/>
                      <w:kern w:val="0"/>
                      <w:highlight w:val="none"/>
                      <w:lang w:bidi="ar"/>
                    </w:rPr>
                    <w:t>靶向测序</w:t>
                  </w:r>
                </w:p>
              </w:tc>
              <w:tc>
                <w:tcPr>
                  <w:tcW w:w="0" w:type="auto"/>
                  <w:tcBorders>
                    <w:top w:val="single" w:color="000000" w:sz="4" w:space="0"/>
                    <w:left w:val="single" w:color="000000" w:sz="4" w:space="0"/>
                    <w:bottom w:val="single" w:color="000000" w:sz="4" w:space="0"/>
                    <w:right w:val="single" w:color="000000" w:sz="4" w:space="0"/>
                  </w:tcBorders>
                  <w:vAlign w:val="center"/>
                </w:tcPr>
                <w:p w14:paraId="3861AB3B">
                  <w:pPr>
                    <w:widowControl/>
                    <w:jc w:val="left"/>
                    <w:textAlignment w:val="top"/>
                    <w:rPr>
                      <w:color w:val="auto"/>
                      <w:sz w:val="20"/>
                      <w:szCs w:val="20"/>
                      <w:highlight w:val="none"/>
                    </w:rPr>
                  </w:pPr>
                  <w:r>
                    <w:rPr>
                      <w:rFonts w:hint="eastAsia"/>
                      <w:color w:val="auto"/>
                      <w:kern w:val="0"/>
                      <w:highlight w:val="none"/>
                      <w:lang w:bidi="ar"/>
                    </w:rPr>
                    <w:t>检测送检标本中≥70</w:t>
                  </w:r>
                  <w:r>
                    <w:rPr>
                      <w:color w:val="auto"/>
                      <w:kern w:val="0"/>
                      <w:highlight w:val="none"/>
                      <w:lang w:bidi="ar"/>
                    </w:rPr>
                    <w:t>种以上</w:t>
                  </w:r>
                  <w:r>
                    <w:rPr>
                      <w:rFonts w:hint="eastAsia"/>
                      <w:color w:val="auto"/>
                      <w:kern w:val="0"/>
                      <w:highlight w:val="none"/>
                      <w:lang w:bidi="ar"/>
                    </w:rPr>
                    <w:t>结核分枝杆菌及非结核分枝杆菌鉴定</w:t>
                  </w:r>
                </w:p>
              </w:tc>
              <w:tc>
                <w:tcPr>
                  <w:tcW w:w="0" w:type="auto"/>
                  <w:tcBorders>
                    <w:top w:val="single" w:color="000000" w:sz="4" w:space="0"/>
                    <w:left w:val="single" w:color="000000" w:sz="4" w:space="0"/>
                    <w:bottom w:val="single" w:color="000000" w:sz="4" w:space="0"/>
                    <w:right w:val="single" w:color="000000" w:sz="4" w:space="0"/>
                  </w:tcBorders>
                  <w:vAlign w:val="center"/>
                </w:tcPr>
                <w:p w14:paraId="15F2CDCE">
                  <w:pPr>
                    <w:widowControl/>
                    <w:jc w:val="center"/>
                    <w:textAlignment w:val="center"/>
                    <w:rPr>
                      <w:color w:val="auto"/>
                      <w:kern w:val="0"/>
                      <w:sz w:val="20"/>
                      <w:szCs w:val="20"/>
                      <w:highlight w:val="none"/>
                      <w:lang w:bidi="ar"/>
                    </w:rPr>
                  </w:pPr>
                  <w:r>
                    <w:rPr>
                      <w:color w:val="auto"/>
                      <w:highlight w:val="none"/>
                    </w:rPr>
                    <w:t>250700031F</w:t>
                  </w:r>
                </w:p>
              </w:tc>
              <w:tc>
                <w:tcPr>
                  <w:tcW w:w="0" w:type="auto"/>
                  <w:tcBorders>
                    <w:top w:val="single" w:color="000000" w:sz="4" w:space="0"/>
                    <w:left w:val="single" w:color="000000" w:sz="4" w:space="0"/>
                    <w:bottom w:val="single" w:color="000000" w:sz="4" w:space="0"/>
                    <w:right w:val="single" w:color="000000" w:sz="4" w:space="0"/>
                  </w:tcBorders>
                  <w:vAlign w:val="center"/>
                </w:tcPr>
                <w:p w14:paraId="1ECE035F">
                  <w:pPr>
                    <w:widowControl/>
                    <w:jc w:val="center"/>
                    <w:textAlignment w:val="center"/>
                    <w:rPr>
                      <w:color w:val="auto"/>
                      <w:kern w:val="0"/>
                      <w:sz w:val="20"/>
                      <w:szCs w:val="20"/>
                      <w:highlight w:val="none"/>
                      <w:lang w:bidi="ar"/>
                    </w:rPr>
                  </w:pPr>
                  <w:r>
                    <w:rPr>
                      <w:rFonts w:hint="eastAsia"/>
                      <w:color w:val="auto"/>
                      <w:highlight w:val="none"/>
                    </w:rPr>
                    <w:t>4</w:t>
                  </w:r>
                </w:p>
              </w:tc>
              <w:tc>
                <w:tcPr>
                  <w:tcW w:w="0" w:type="auto"/>
                  <w:tcBorders>
                    <w:top w:val="single" w:color="000000" w:sz="4" w:space="0"/>
                    <w:left w:val="single" w:color="000000" w:sz="4" w:space="0"/>
                    <w:bottom w:val="single" w:color="000000" w:sz="4" w:space="0"/>
                    <w:right w:val="single" w:color="000000" w:sz="4" w:space="0"/>
                  </w:tcBorders>
                  <w:vAlign w:val="center"/>
                </w:tcPr>
                <w:p w14:paraId="6B8F4F6C">
                  <w:pPr>
                    <w:widowControl/>
                    <w:jc w:val="center"/>
                    <w:textAlignment w:val="center"/>
                    <w:rPr>
                      <w:rFonts w:hint="default" w:eastAsia="宋体"/>
                      <w:color w:val="auto"/>
                      <w:highlight w:val="none"/>
                      <w:lang w:val="en-US" w:eastAsia="zh-CN"/>
                    </w:rPr>
                  </w:pPr>
                  <w:r>
                    <w:rPr>
                      <w:rFonts w:hint="eastAsia"/>
                      <w:color w:val="auto"/>
                      <w:highlight w:val="none"/>
                      <w:lang w:val="en-US" w:eastAsia="zh-CN"/>
                    </w:rPr>
                    <w:t>16</w:t>
                  </w:r>
                </w:p>
              </w:tc>
            </w:tr>
            <w:tr w14:paraId="5667D0BE">
              <w:tblPrEx>
                <w:tblCellMar>
                  <w:top w:w="0" w:type="dxa"/>
                  <w:left w:w="108" w:type="dxa"/>
                  <w:bottom w:w="0" w:type="dxa"/>
                  <w:right w:w="108" w:type="dxa"/>
                </w:tblCellMar>
              </w:tblPrEx>
              <w:trPr>
                <w:trHeight w:val="23"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7B7DA646">
                  <w:pPr>
                    <w:widowControl/>
                    <w:jc w:val="center"/>
                    <w:textAlignment w:val="center"/>
                    <w:rPr>
                      <w:color w:val="auto"/>
                      <w:kern w:val="0"/>
                      <w:sz w:val="20"/>
                      <w:szCs w:val="20"/>
                      <w:highlight w:val="none"/>
                      <w:lang w:bidi="ar"/>
                    </w:rPr>
                  </w:pPr>
                  <w:r>
                    <w:rPr>
                      <w:color w:val="auto"/>
                      <w:kern w:val="0"/>
                      <w:sz w:val="20"/>
                      <w:szCs w:val="20"/>
                      <w:highlight w:val="none"/>
                      <w:lang w:bidi="ar"/>
                    </w:rPr>
                    <w:t>9</w:t>
                  </w:r>
                </w:p>
              </w:tc>
              <w:tc>
                <w:tcPr>
                  <w:tcW w:w="0" w:type="auto"/>
                  <w:tcBorders>
                    <w:top w:val="single" w:color="000000" w:sz="4" w:space="0"/>
                    <w:left w:val="single" w:color="000000" w:sz="4" w:space="0"/>
                    <w:bottom w:val="single" w:color="000000" w:sz="4" w:space="0"/>
                    <w:right w:val="single" w:color="000000" w:sz="4" w:space="0"/>
                  </w:tcBorders>
                  <w:vAlign w:val="center"/>
                </w:tcPr>
                <w:p w14:paraId="1E60BEAC">
                  <w:pPr>
                    <w:widowControl/>
                    <w:jc w:val="left"/>
                    <w:textAlignment w:val="top"/>
                    <w:rPr>
                      <w:color w:val="auto"/>
                      <w:sz w:val="20"/>
                      <w:szCs w:val="20"/>
                      <w:highlight w:val="none"/>
                    </w:rPr>
                  </w:pPr>
                  <w:r>
                    <w:rPr>
                      <w:color w:val="auto"/>
                      <w:kern w:val="0"/>
                      <w:highlight w:val="none"/>
                      <w:lang w:bidi="ar"/>
                    </w:rPr>
                    <w:t>中枢神经系统多种病原体靶向高通量测序</w:t>
                  </w:r>
                </w:p>
              </w:tc>
              <w:tc>
                <w:tcPr>
                  <w:tcW w:w="0" w:type="auto"/>
                  <w:tcBorders>
                    <w:top w:val="single" w:color="000000" w:sz="4" w:space="0"/>
                    <w:left w:val="single" w:color="000000" w:sz="4" w:space="0"/>
                    <w:bottom w:val="single" w:color="000000" w:sz="4" w:space="0"/>
                    <w:right w:val="single" w:color="000000" w:sz="4" w:space="0"/>
                  </w:tcBorders>
                  <w:vAlign w:val="center"/>
                </w:tcPr>
                <w:p w14:paraId="007F8E0D">
                  <w:pPr>
                    <w:widowControl/>
                    <w:jc w:val="left"/>
                    <w:textAlignment w:val="top"/>
                    <w:rPr>
                      <w:color w:val="auto"/>
                      <w:sz w:val="20"/>
                      <w:szCs w:val="20"/>
                      <w:highlight w:val="none"/>
                    </w:rPr>
                  </w:pPr>
                  <w:r>
                    <w:rPr>
                      <w:color w:val="auto"/>
                      <w:kern w:val="0"/>
                      <w:highlight w:val="none"/>
                      <w:lang w:bidi="ar"/>
                    </w:rPr>
                    <w:t>200种以上常见神经系统感染病原体</w:t>
                  </w:r>
                </w:p>
              </w:tc>
              <w:tc>
                <w:tcPr>
                  <w:tcW w:w="0" w:type="auto"/>
                  <w:tcBorders>
                    <w:top w:val="single" w:color="000000" w:sz="4" w:space="0"/>
                    <w:left w:val="single" w:color="000000" w:sz="4" w:space="0"/>
                    <w:bottom w:val="single" w:color="000000" w:sz="4" w:space="0"/>
                    <w:right w:val="single" w:color="000000" w:sz="4" w:space="0"/>
                  </w:tcBorders>
                  <w:vAlign w:val="center"/>
                </w:tcPr>
                <w:p w14:paraId="387939BA">
                  <w:pPr>
                    <w:widowControl/>
                    <w:jc w:val="center"/>
                    <w:textAlignment w:val="center"/>
                    <w:rPr>
                      <w:color w:val="auto"/>
                      <w:kern w:val="0"/>
                      <w:sz w:val="20"/>
                      <w:szCs w:val="20"/>
                      <w:highlight w:val="none"/>
                      <w:lang w:bidi="ar"/>
                    </w:rPr>
                  </w:pPr>
                  <w:r>
                    <w:rPr>
                      <w:color w:val="auto"/>
                      <w:highlight w:val="none"/>
                    </w:rPr>
                    <w:t>250700031F</w:t>
                  </w:r>
                </w:p>
              </w:tc>
              <w:tc>
                <w:tcPr>
                  <w:tcW w:w="0" w:type="auto"/>
                  <w:tcBorders>
                    <w:top w:val="single" w:color="000000" w:sz="4" w:space="0"/>
                    <w:left w:val="single" w:color="000000" w:sz="4" w:space="0"/>
                    <w:bottom w:val="single" w:color="000000" w:sz="4" w:space="0"/>
                    <w:right w:val="single" w:color="000000" w:sz="4" w:space="0"/>
                  </w:tcBorders>
                  <w:vAlign w:val="center"/>
                </w:tcPr>
                <w:p w14:paraId="1DA86678">
                  <w:pPr>
                    <w:widowControl/>
                    <w:jc w:val="center"/>
                    <w:textAlignment w:val="center"/>
                    <w:rPr>
                      <w:color w:val="auto"/>
                      <w:kern w:val="0"/>
                      <w:sz w:val="20"/>
                      <w:szCs w:val="20"/>
                      <w:highlight w:val="none"/>
                      <w:lang w:bidi="ar"/>
                    </w:rPr>
                  </w:pPr>
                  <w:r>
                    <w:rPr>
                      <w:rFonts w:hint="eastAsia"/>
                      <w:color w:val="auto"/>
                      <w:highlight w:val="none"/>
                    </w:rPr>
                    <w:t>4</w:t>
                  </w:r>
                </w:p>
              </w:tc>
              <w:tc>
                <w:tcPr>
                  <w:tcW w:w="0" w:type="auto"/>
                  <w:tcBorders>
                    <w:top w:val="single" w:color="000000" w:sz="4" w:space="0"/>
                    <w:left w:val="single" w:color="000000" w:sz="4" w:space="0"/>
                    <w:bottom w:val="single" w:color="000000" w:sz="4" w:space="0"/>
                    <w:right w:val="single" w:color="000000" w:sz="4" w:space="0"/>
                  </w:tcBorders>
                  <w:vAlign w:val="center"/>
                </w:tcPr>
                <w:p w14:paraId="1F56D76A">
                  <w:pPr>
                    <w:widowControl/>
                    <w:jc w:val="center"/>
                    <w:textAlignment w:val="center"/>
                    <w:rPr>
                      <w:rFonts w:hint="default" w:eastAsia="宋体"/>
                      <w:color w:val="auto"/>
                      <w:highlight w:val="none"/>
                      <w:lang w:val="en-US" w:eastAsia="zh-CN"/>
                    </w:rPr>
                  </w:pPr>
                  <w:r>
                    <w:rPr>
                      <w:rFonts w:hint="eastAsia"/>
                      <w:color w:val="auto"/>
                      <w:highlight w:val="none"/>
                      <w:lang w:val="en-US" w:eastAsia="zh-CN"/>
                    </w:rPr>
                    <w:t>14</w:t>
                  </w:r>
                </w:p>
              </w:tc>
            </w:tr>
            <w:tr w14:paraId="621A03FD">
              <w:tblPrEx>
                <w:tblCellMar>
                  <w:top w:w="0" w:type="dxa"/>
                  <w:left w:w="108" w:type="dxa"/>
                  <w:bottom w:w="0" w:type="dxa"/>
                  <w:right w:w="108" w:type="dxa"/>
                </w:tblCellMar>
              </w:tblPrEx>
              <w:trPr>
                <w:trHeight w:val="503" w:hRule="atLeast"/>
              </w:trPr>
              <w:tc>
                <w:tcPr>
                  <w:tcW w:w="0" w:type="auto"/>
                  <w:gridSpan w:val="5"/>
                  <w:tcBorders>
                    <w:top w:val="single" w:color="000000" w:sz="4" w:space="0"/>
                    <w:left w:val="single" w:color="000000" w:sz="4" w:space="0"/>
                    <w:bottom w:val="single" w:color="000000" w:sz="4" w:space="0"/>
                    <w:right w:val="single" w:color="000000" w:sz="4" w:space="0"/>
                  </w:tcBorders>
                  <w:vAlign w:val="center"/>
                </w:tcPr>
                <w:p w14:paraId="3E7DB61E">
                  <w:pPr>
                    <w:widowControl/>
                    <w:jc w:val="left"/>
                    <w:textAlignment w:val="center"/>
                    <w:rPr>
                      <w:color w:val="auto"/>
                      <w:kern w:val="0"/>
                      <w:sz w:val="20"/>
                      <w:szCs w:val="20"/>
                      <w:highlight w:val="none"/>
                      <w:lang w:bidi="ar"/>
                    </w:rPr>
                  </w:pPr>
                  <w:r>
                    <w:rPr>
                      <w:color w:val="auto"/>
                      <w:kern w:val="0"/>
                      <w:sz w:val="20"/>
                      <w:szCs w:val="20"/>
                      <w:highlight w:val="none"/>
                      <w:lang w:bidi="ar"/>
                    </w:rPr>
                    <w:t>注：250700031F为市场调节价项目，高通量基因测序，需医院进行自主定价，本院定价为210元/项，本项目为检验项目，需遵循收费说明“组合的检验项目超过8项的，各项目价格按80%计价。</w:t>
                  </w:r>
                </w:p>
              </w:tc>
              <w:tc>
                <w:tcPr>
                  <w:tcW w:w="0" w:type="auto"/>
                  <w:tcBorders>
                    <w:top w:val="single" w:color="000000" w:sz="4" w:space="0"/>
                    <w:left w:val="single" w:color="000000" w:sz="4" w:space="0"/>
                    <w:bottom w:val="single" w:color="000000" w:sz="4" w:space="0"/>
                    <w:right w:val="single" w:color="000000" w:sz="4" w:space="0"/>
                  </w:tcBorders>
                  <w:vAlign w:val="center"/>
                </w:tcPr>
                <w:p w14:paraId="7E366C37">
                  <w:pPr>
                    <w:widowControl/>
                    <w:jc w:val="left"/>
                    <w:textAlignment w:val="center"/>
                    <w:rPr>
                      <w:color w:val="auto"/>
                      <w:kern w:val="0"/>
                      <w:sz w:val="20"/>
                      <w:szCs w:val="20"/>
                      <w:highlight w:val="none"/>
                      <w:lang w:bidi="ar"/>
                    </w:rPr>
                  </w:pPr>
                </w:p>
              </w:tc>
            </w:tr>
          </w:tbl>
          <w:p w14:paraId="4D509214">
            <w:pPr>
              <w:spacing w:line="440" w:lineRule="exact"/>
              <w:rPr>
                <w:rFonts w:hint="eastAsia"/>
                <w:lang w:val="en-US" w:eastAsia="zh-CN"/>
              </w:rPr>
            </w:pP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EC0F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AB2BD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71FFB8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1465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0CA7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default" w:ascii="宋体" w:hAnsi="宋体" w:eastAsia="宋体" w:cs="宋体"/>
                <w:b w:val="0"/>
                <w:bCs w:val="0"/>
                <w:color w:val="auto"/>
                <w:kern w:val="2"/>
                <w:sz w:val="21"/>
                <w:szCs w:val="21"/>
                <w:lang w:val="en-US" w:eastAsia="zh-CN"/>
              </w:rPr>
            </w:pPr>
            <w:r>
              <w:rPr>
                <w:rStyle w:val="20"/>
                <w:rFonts w:hint="eastAsia" w:ascii="宋体" w:hAnsi="宋体" w:eastAsia="宋体" w:cs="宋体"/>
                <w:b w:val="0"/>
                <w:bCs w:val="0"/>
                <w:color w:val="auto"/>
                <w:kern w:val="2"/>
                <w:sz w:val="21"/>
                <w:szCs w:val="21"/>
                <w:lang w:val="en-US" w:eastAsia="zh-CN"/>
              </w:rPr>
              <w:t>三、技术要求</w:t>
            </w:r>
          </w:p>
        </w:tc>
      </w:tr>
      <w:tr w14:paraId="7E07F14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55ACAE">
            <w:pPr>
              <w:spacing w:line="440" w:lineRule="exact"/>
              <w:rPr>
                <w:rFonts w:hint="default" w:ascii="宋体" w:hAnsi="宋体" w:eastAsia="宋体" w:cs="宋体"/>
                <w:color w:val="auto"/>
                <w:sz w:val="24"/>
                <w:highlight w:val="none"/>
                <w:lang w:val="en-US" w:eastAsia="zh-CN"/>
              </w:rPr>
            </w:pPr>
            <w:r>
              <w:rPr>
                <w:color w:val="auto"/>
                <w:sz w:val="20"/>
                <w:szCs w:val="20"/>
                <w:highlight w:val="none"/>
              </w:rPr>
              <w:t>▲</w:t>
            </w:r>
            <w:r>
              <w:rPr>
                <w:rFonts w:hint="eastAsia" w:ascii="宋体" w:hAnsi="宋体" w:eastAsia="宋体" w:cs="宋体"/>
                <w:color w:val="auto"/>
                <w:sz w:val="24"/>
                <w:highlight w:val="none"/>
                <w:lang w:val="en-US" w:eastAsia="zh-CN"/>
              </w:rPr>
              <w:t>1</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FC9B496">
            <w:pPr>
              <w:numPr>
                <w:ilvl w:val="0"/>
                <w:numId w:val="4"/>
              </w:numPr>
              <w:spacing w:line="360" w:lineRule="auto"/>
              <w:rPr>
                <w:color w:val="auto"/>
                <w:sz w:val="20"/>
                <w:szCs w:val="20"/>
                <w:highlight w:val="none"/>
              </w:rPr>
            </w:pPr>
            <w:r>
              <w:rPr>
                <w:color w:val="auto"/>
                <w:sz w:val="20"/>
                <w:szCs w:val="20"/>
                <w:highlight w:val="none"/>
              </w:rPr>
              <w:t>▲质量要求：</w:t>
            </w:r>
          </w:p>
          <w:p w14:paraId="18219F88">
            <w:pPr>
              <w:numPr>
                <w:ilvl w:val="0"/>
                <w:numId w:val="5"/>
              </w:numPr>
              <w:spacing w:line="360" w:lineRule="auto"/>
              <w:ind w:firstLine="400" w:firstLineChars="200"/>
              <w:rPr>
                <w:color w:val="auto"/>
                <w:sz w:val="20"/>
                <w:szCs w:val="20"/>
                <w:highlight w:val="none"/>
              </w:rPr>
            </w:pPr>
            <w:r>
              <w:rPr>
                <w:color w:val="auto"/>
                <w:sz w:val="20"/>
                <w:szCs w:val="20"/>
                <w:highlight w:val="none"/>
              </w:rPr>
              <w:t>误验例数:每年度不高于1例；</w:t>
            </w:r>
          </w:p>
          <w:p w14:paraId="5CF1F15B">
            <w:pPr>
              <w:numPr>
                <w:ilvl w:val="0"/>
                <w:numId w:val="5"/>
              </w:numPr>
              <w:spacing w:line="360" w:lineRule="auto"/>
              <w:ind w:firstLine="400" w:firstLineChars="200"/>
              <w:rPr>
                <w:color w:val="auto"/>
                <w:sz w:val="20"/>
                <w:szCs w:val="20"/>
                <w:highlight w:val="none"/>
              </w:rPr>
            </w:pPr>
            <w:r>
              <w:rPr>
                <w:color w:val="auto"/>
                <w:sz w:val="20"/>
                <w:szCs w:val="20"/>
                <w:highlight w:val="none"/>
              </w:rPr>
              <w:t>漏检例数:每年度不高于1例；</w:t>
            </w:r>
          </w:p>
          <w:p w14:paraId="48C51ECD">
            <w:pPr>
              <w:numPr>
                <w:ilvl w:val="0"/>
                <w:numId w:val="5"/>
              </w:numPr>
              <w:spacing w:line="360" w:lineRule="auto"/>
              <w:ind w:firstLine="400" w:firstLineChars="200"/>
              <w:rPr>
                <w:color w:val="auto"/>
                <w:sz w:val="20"/>
                <w:szCs w:val="20"/>
                <w:highlight w:val="none"/>
              </w:rPr>
            </w:pPr>
            <w:r>
              <w:rPr>
                <w:color w:val="auto"/>
                <w:sz w:val="20"/>
                <w:szCs w:val="20"/>
                <w:highlight w:val="none"/>
              </w:rPr>
              <w:t>误报率:每年度不高于1例；</w:t>
            </w:r>
          </w:p>
          <w:p w14:paraId="4D3B8A25">
            <w:pPr>
              <w:numPr>
                <w:ilvl w:val="0"/>
                <w:numId w:val="5"/>
              </w:numPr>
              <w:spacing w:line="360" w:lineRule="auto"/>
              <w:ind w:firstLine="400" w:firstLineChars="200"/>
              <w:rPr>
                <w:color w:val="auto"/>
                <w:sz w:val="20"/>
                <w:szCs w:val="20"/>
                <w:highlight w:val="none"/>
              </w:rPr>
            </w:pPr>
            <w:r>
              <w:rPr>
                <w:color w:val="auto"/>
                <w:sz w:val="20"/>
                <w:szCs w:val="20"/>
                <w:highlight w:val="none"/>
              </w:rPr>
              <w:t>检测标本丢失、运送错误:每年度不高于1例；</w:t>
            </w:r>
          </w:p>
          <w:p w14:paraId="1A13927E">
            <w:pPr>
              <w:numPr>
                <w:ilvl w:val="0"/>
                <w:numId w:val="5"/>
              </w:numPr>
              <w:spacing w:line="360" w:lineRule="auto"/>
              <w:ind w:firstLine="400" w:firstLineChars="200"/>
              <w:rPr>
                <w:rFonts w:hint="eastAsia" w:ascii="宋体" w:hAnsi="宋体" w:eastAsia="宋体" w:cs="宋体"/>
                <w:color w:val="auto"/>
                <w:sz w:val="24"/>
                <w:highlight w:val="none"/>
                <w:lang w:val="en-US" w:eastAsia="zh-CN"/>
              </w:rPr>
            </w:pPr>
            <w:r>
              <w:rPr>
                <w:color w:val="auto"/>
                <w:sz w:val="20"/>
                <w:szCs w:val="20"/>
                <w:highlight w:val="none"/>
              </w:rPr>
              <w:t>危急值通报率和及时率达到100％。</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99A7B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692C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4569F2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68852A">
            <w:pPr>
              <w:spacing w:line="440" w:lineRule="exact"/>
              <w:rPr>
                <w:rFonts w:hint="default" w:ascii="宋体" w:hAnsi="宋体" w:eastAsia="宋体" w:cs="宋体"/>
                <w:color w:val="auto"/>
                <w:sz w:val="24"/>
                <w:highlight w:val="none"/>
                <w:lang w:val="en-US" w:eastAsia="zh-CN"/>
              </w:rPr>
            </w:pPr>
            <w:r>
              <w:rPr>
                <w:color w:val="auto"/>
                <w:sz w:val="20"/>
                <w:szCs w:val="20"/>
                <w:highlight w:val="none"/>
              </w:rPr>
              <w:t>★</w:t>
            </w:r>
            <w:r>
              <w:rPr>
                <w:rFonts w:hint="eastAsia" w:ascii="宋体" w:hAnsi="宋体" w:eastAsia="宋体" w:cs="宋体"/>
                <w:color w:val="auto"/>
                <w:sz w:val="24"/>
                <w:highlight w:val="none"/>
                <w:lang w:val="en-US" w:eastAsia="zh-CN"/>
              </w:rPr>
              <w:t>2</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464A82C">
            <w:pPr>
              <w:numPr>
                <w:ilvl w:val="0"/>
                <w:numId w:val="4"/>
              </w:numPr>
              <w:spacing w:line="360" w:lineRule="auto"/>
              <w:rPr>
                <w:rFonts w:hint="eastAsia" w:ascii="宋体" w:hAnsi="宋体" w:eastAsia="宋体" w:cs="宋体"/>
                <w:color w:val="auto"/>
                <w:sz w:val="24"/>
                <w:highlight w:val="none"/>
                <w:lang w:val="en-US" w:eastAsia="zh-CN"/>
              </w:rPr>
            </w:pPr>
            <w:r>
              <w:rPr>
                <w:color w:val="auto"/>
                <w:sz w:val="20"/>
                <w:szCs w:val="20"/>
                <w:highlight w:val="none"/>
              </w:rPr>
              <w:t>★投标人对采购人送检的合格样本结果进行负责，对于按照投标人取材要求进行取材的合格样本，若因投标人原因导致检测结果存在质量问题，由投标人承担相关责任。</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3031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3A5B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7F0A48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2CA682">
            <w:pPr>
              <w:spacing w:line="440" w:lineRule="exact"/>
              <w:rPr>
                <w:rFonts w:hint="default" w:ascii="宋体" w:hAnsi="宋体" w:eastAsia="宋体" w:cs="宋体"/>
                <w:color w:val="auto"/>
                <w:sz w:val="24"/>
                <w:highlight w:val="none"/>
                <w:lang w:val="en-US" w:eastAsia="zh-CN"/>
              </w:rPr>
            </w:pPr>
            <w:r>
              <w:rPr>
                <w:color w:val="auto"/>
                <w:sz w:val="20"/>
                <w:szCs w:val="20"/>
                <w:highlight w:val="none"/>
              </w:rPr>
              <w:t>▲</w:t>
            </w:r>
            <w:r>
              <w:rPr>
                <w:rFonts w:hint="eastAsia" w:ascii="宋体" w:hAnsi="宋体" w:eastAsia="宋体" w:cs="宋体"/>
                <w:color w:val="auto"/>
                <w:sz w:val="24"/>
                <w:highlight w:val="none"/>
                <w:lang w:val="en-US" w:eastAsia="zh-CN"/>
              </w:rPr>
              <w:t>3</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94FEDAD">
            <w:pPr>
              <w:numPr>
                <w:ilvl w:val="0"/>
                <w:numId w:val="4"/>
              </w:numPr>
              <w:spacing w:line="360" w:lineRule="auto"/>
              <w:rPr>
                <w:rFonts w:hint="eastAsia" w:ascii="宋体" w:hAnsi="宋体" w:eastAsia="宋体" w:cs="宋体"/>
                <w:color w:val="auto"/>
                <w:sz w:val="24"/>
                <w:highlight w:val="none"/>
                <w:lang w:val="en-US" w:eastAsia="zh-CN"/>
              </w:rPr>
            </w:pPr>
            <w:r>
              <w:rPr>
                <w:color w:val="auto"/>
                <w:sz w:val="20"/>
                <w:szCs w:val="20"/>
                <w:highlight w:val="none"/>
              </w:rPr>
              <w:t>▲投标人均按日或检测批次对采购人委托项目进行室内质控，按季度提供室内质量控制报表，其内容包括质控检测数据、控制标准、质控分析、失控报告。</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F735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E594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567667B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A0B073">
            <w:pPr>
              <w:spacing w:line="440" w:lineRule="exact"/>
              <w:rPr>
                <w:rFonts w:hint="eastAsia" w:ascii="宋体" w:hAnsi="宋体" w:eastAsia="宋体" w:cs="宋体"/>
                <w:color w:val="auto"/>
                <w:sz w:val="24"/>
                <w:highlight w:val="none"/>
                <w:lang w:val="en-US" w:eastAsia="zh-CN"/>
              </w:rPr>
            </w:pPr>
            <w:r>
              <w:rPr>
                <w:color w:val="auto"/>
                <w:sz w:val="20"/>
                <w:szCs w:val="20"/>
                <w:highlight w:val="none"/>
              </w:rPr>
              <w:t>▲</w:t>
            </w:r>
            <w:r>
              <w:rPr>
                <w:rFonts w:hint="eastAsia" w:ascii="宋体" w:hAnsi="宋体" w:eastAsia="宋体" w:cs="宋体"/>
                <w:color w:val="auto"/>
                <w:sz w:val="24"/>
                <w:highlight w:val="none"/>
                <w:lang w:val="en-US" w:eastAsia="zh-CN"/>
              </w:rPr>
              <w:t>4</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BBFCD02">
            <w:pPr>
              <w:numPr>
                <w:ilvl w:val="0"/>
                <w:numId w:val="4"/>
              </w:numPr>
              <w:spacing w:line="360" w:lineRule="auto"/>
              <w:rPr>
                <w:rFonts w:hint="eastAsia" w:ascii="宋体" w:hAnsi="宋体" w:eastAsia="宋体" w:cs="宋体"/>
                <w:color w:val="auto"/>
                <w:sz w:val="24"/>
                <w:highlight w:val="none"/>
                <w:lang w:val="en-US" w:eastAsia="zh-CN"/>
              </w:rPr>
            </w:pPr>
            <w:r>
              <w:rPr>
                <w:color w:val="auto"/>
                <w:sz w:val="20"/>
                <w:szCs w:val="20"/>
                <w:highlight w:val="none"/>
              </w:rPr>
              <w:t>▲投标人中标后按要求参加国家级临床检验中心组织的室间质评，每年提供室间质评报告，如室间质评有不合格项目应提交失控分析报告。没有能力验证的检验项目应提供与采购人认可的实验室结果一致性的证据。</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47C19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ECC83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17D424B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66CE9F">
            <w:pPr>
              <w:spacing w:line="440" w:lineRule="exact"/>
              <w:rPr>
                <w:rFonts w:hint="default" w:ascii="宋体" w:hAnsi="宋体" w:eastAsia="宋体" w:cs="宋体"/>
                <w:color w:val="auto"/>
                <w:sz w:val="24"/>
                <w:highlight w:val="none"/>
                <w:lang w:val="en-US" w:eastAsia="zh-CN"/>
              </w:rPr>
            </w:pPr>
            <w:r>
              <w:rPr>
                <w:color w:val="auto"/>
                <w:sz w:val="20"/>
                <w:szCs w:val="20"/>
                <w:highlight w:val="none"/>
              </w:rPr>
              <w:t>▲</w:t>
            </w:r>
            <w:r>
              <w:rPr>
                <w:rFonts w:hint="eastAsia" w:ascii="宋体" w:hAnsi="宋体" w:eastAsia="宋体" w:cs="宋体"/>
                <w:color w:val="auto"/>
                <w:sz w:val="24"/>
                <w:highlight w:val="none"/>
                <w:lang w:val="en-US" w:eastAsia="zh-CN"/>
              </w:rPr>
              <w:t>5</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2EE10E3">
            <w:pPr>
              <w:numPr>
                <w:ilvl w:val="0"/>
                <w:numId w:val="4"/>
              </w:numPr>
              <w:spacing w:line="360" w:lineRule="auto"/>
              <w:rPr>
                <w:rFonts w:hint="eastAsia" w:ascii="宋体" w:hAnsi="宋体" w:eastAsia="宋体" w:cs="宋体"/>
                <w:color w:val="auto"/>
                <w:sz w:val="24"/>
                <w:highlight w:val="none"/>
                <w:lang w:val="en-US" w:eastAsia="zh-CN"/>
              </w:rPr>
            </w:pPr>
            <w:r>
              <w:rPr>
                <w:color w:val="auto"/>
                <w:sz w:val="20"/>
                <w:szCs w:val="20"/>
                <w:highlight w:val="none"/>
              </w:rPr>
              <w:t>▲按采购人要求，随时提供质量和技术资料，如更换试剂批号、仪器维修后、检验系统更换后的质控记录和性能验证报告等。</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5DB7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3F130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39CB47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26"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CF565A">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BD3B1D2">
            <w:pPr>
              <w:numPr>
                <w:ilvl w:val="0"/>
                <w:numId w:val="4"/>
              </w:numPr>
              <w:spacing w:line="360" w:lineRule="auto"/>
              <w:rPr>
                <w:rFonts w:hint="eastAsia" w:ascii="宋体" w:hAnsi="宋体" w:eastAsia="宋体" w:cs="宋体"/>
                <w:color w:val="auto"/>
                <w:sz w:val="24"/>
                <w:highlight w:val="none"/>
                <w:lang w:val="en-US" w:eastAsia="zh-CN"/>
              </w:rPr>
            </w:pPr>
            <w:r>
              <w:rPr>
                <w:color w:val="auto"/>
                <w:sz w:val="20"/>
                <w:szCs w:val="20"/>
                <w:highlight w:val="none"/>
              </w:rPr>
              <w:t>投标人需安排专人负责采购人业务及质量、技术、培训等工作。</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F2A62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30A3A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33BF2CD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8894A2">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7D4754C">
            <w:pPr>
              <w:numPr>
                <w:ilvl w:val="0"/>
                <w:numId w:val="4"/>
              </w:numPr>
              <w:spacing w:line="360" w:lineRule="auto"/>
              <w:rPr>
                <w:rFonts w:hint="eastAsia" w:ascii="宋体" w:hAnsi="宋体" w:eastAsia="宋体" w:cs="宋体"/>
                <w:color w:val="auto"/>
                <w:sz w:val="24"/>
                <w:highlight w:val="none"/>
                <w:lang w:val="en-US" w:eastAsia="zh-CN"/>
              </w:rPr>
            </w:pPr>
            <w:r>
              <w:rPr>
                <w:color w:val="auto"/>
                <w:sz w:val="20"/>
                <w:szCs w:val="20"/>
                <w:highlight w:val="none"/>
              </w:rPr>
              <w:t>投标人随时接受并妥善安排采购人查阅项目检测、质量控制等情况。</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97BE6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EE71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5E80E16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E1EEDE">
            <w:pPr>
              <w:spacing w:line="440" w:lineRule="exact"/>
              <w:rPr>
                <w:rFonts w:hint="default" w:ascii="宋体" w:hAnsi="宋体" w:eastAsia="宋体" w:cs="宋体"/>
                <w:color w:val="auto"/>
                <w:sz w:val="24"/>
                <w:highlight w:val="none"/>
                <w:lang w:val="en-US" w:eastAsia="zh-CN"/>
              </w:rPr>
            </w:pPr>
            <w:r>
              <w:rPr>
                <w:color w:val="auto"/>
                <w:sz w:val="20"/>
                <w:szCs w:val="20"/>
                <w:highlight w:val="none"/>
              </w:rPr>
              <w:t>▲</w:t>
            </w:r>
            <w:r>
              <w:rPr>
                <w:rFonts w:hint="eastAsia" w:ascii="宋体" w:hAnsi="宋体" w:eastAsia="宋体" w:cs="宋体"/>
                <w:color w:val="auto"/>
                <w:sz w:val="24"/>
                <w:highlight w:val="none"/>
                <w:lang w:val="en-US" w:eastAsia="zh-CN"/>
              </w:rPr>
              <w:t>8</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0C6F969">
            <w:pPr>
              <w:numPr>
                <w:ilvl w:val="0"/>
                <w:numId w:val="4"/>
              </w:numPr>
              <w:spacing w:line="360" w:lineRule="auto"/>
              <w:rPr>
                <w:color w:val="auto"/>
                <w:sz w:val="20"/>
                <w:szCs w:val="20"/>
                <w:highlight w:val="none"/>
              </w:rPr>
            </w:pPr>
            <w:r>
              <w:rPr>
                <w:color w:val="auto"/>
                <w:sz w:val="20"/>
                <w:szCs w:val="20"/>
                <w:highlight w:val="none"/>
              </w:rPr>
              <w:t>▲对于标本周转时间（TAT）的要求：</w:t>
            </w:r>
          </w:p>
          <w:p w14:paraId="7C5B24AE">
            <w:pPr>
              <w:numPr>
                <w:ilvl w:val="255"/>
                <w:numId w:val="0"/>
              </w:numPr>
              <w:spacing w:line="360" w:lineRule="auto"/>
              <w:ind w:firstLine="400" w:firstLineChars="200"/>
              <w:rPr>
                <w:color w:val="auto"/>
                <w:sz w:val="20"/>
                <w:szCs w:val="20"/>
                <w:highlight w:val="none"/>
              </w:rPr>
            </w:pPr>
            <w:r>
              <w:rPr>
                <w:color w:val="auto"/>
                <w:sz w:val="20"/>
                <w:szCs w:val="20"/>
                <w:highlight w:val="none"/>
              </w:rPr>
              <w:t>①有明确的标本送检和报告发布时间服务承诺。</w:t>
            </w:r>
          </w:p>
          <w:p w14:paraId="4F9B2ADC">
            <w:pPr>
              <w:numPr>
                <w:ilvl w:val="255"/>
                <w:numId w:val="0"/>
              </w:numPr>
              <w:spacing w:line="360" w:lineRule="auto"/>
              <w:ind w:firstLine="400" w:firstLineChars="200"/>
              <w:rPr>
                <w:color w:val="auto"/>
                <w:sz w:val="20"/>
                <w:szCs w:val="20"/>
                <w:highlight w:val="none"/>
              </w:rPr>
            </w:pPr>
            <w:r>
              <w:rPr>
                <w:color w:val="auto"/>
                <w:sz w:val="20"/>
                <w:szCs w:val="20"/>
                <w:highlight w:val="none"/>
              </w:rPr>
              <w:t>②标本周转时间起点为投标人实验室接收标本，终点为采购人收到检验报告。</w:t>
            </w:r>
          </w:p>
          <w:p w14:paraId="0EC8194F">
            <w:pPr>
              <w:numPr>
                <w:ilvl w:val="255"/>
                <w:numId w:val="0"/>
              </w:numPr>
              <w:spacing w:line="360" w:lineRule="auto"/>
              <w:ind w:firstLine="400" w:firstLineChars="200"/>
              <w:rPr>
                <w:color w:val="auto"/>
                <w:sz w:val="20"/>
                <w:szCs w:val="20"/>
                <w:highlight w:val="none"/>
              </w:rPr>
            </w:pPr>
            <w:r>
              <w:rPr>
                <w:color w:val="auto"/>
                <w:sz w:val="20"/>
                <w:szCs w:val="20"/>
                <w:highlight w:val="none"/>
              </w:rPr>
              <w:t>③报告延误率≤1/1000。</w:t>
            </w:r>
          </w:p>
          <w:p w14:paraId="2D7FA7F1">
            <w:pPr>
              <w:numPr>
                <w:ilvl w:val="255"/>
                <w:numId w:val="0"/>
              </w:numPr>
              <w:spacing w:line="360" w:lineRule="auto"/>
              <w:ind w:firstLine="400" w:firstLineChars="200"/>
              <w:rPr>
                <w:color w:val="auto"/>
                <w:sz w:val="20"/>
                <w:szCs w:val="20"/>
                <w:highlight w:val="none"/>
              </w:rPr>
            </w:pPr>
            <w:r>
              <w:rPr>
                <w:color w:val="auto"/>
                <w:sz w:val="20"/>
                <w:szCs w:val="20"/>
                <w:highlight w:val="none"/>
              </w:rPr>
              <w:t>④定期提供委托项目的标本周转时间（TAT）分析，对于用户提出的要求及时反馈并更正。</w:t>
            </w:r>
          </w:p>
          <w:p w14:paraId="303B38DA">
            <w:pPr>
              <w:numPr>
                <w:ilvl w:val="255"/>
                <w:numId w:val="0"/>
              </w:numPr>
              <w:spacing w:line="360" w:lineRule="auto"/>
              <w:ind w:firstLine="400" w:firstLineChars="200"/>
              <w:rPr>
                <w:rFonts w:hint="eastAsia" w:ascii="宋体" w:hAnsi="宋体" w:eastAsia="宋体" w:cs="宋体"/>
                <w:color w:val="auto"/>
                <w:sz w:val="24"/>
                <w:highlight w:val="none"/>
                <w:lang w:val="en-US" w:eastAsia="zh-CN"/>
              </w:rPr>
            </w:pPr>
            <w:r>
              <w:rPr>
                <w:color w:val="auto"/>
                <w:sz w:val="20"/>
                <w:szCs w:val="20"/>
                <w:highlight w:val="none"/>
              </w:rPr>
              <w:t>⑤如投标人检测报告超出约定时间而又未出具书面通知采购人造成恶劣影响的，包括造成医疗纠纷、有群众投诉造成严重后果等情况，投标人应承担相应的经济和法律责任。</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A36D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A9B64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013BCAE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9BE268">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9</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208571A">
            <w:pPr>
              <w:numPr>
                <w:ilvl w:val="0"/>
                <w:numId w:val="4"/>
              </w:numPr>
              <w:spacing w:line="360" w:lineRule="auto"/>
              <w:rPr>
                <w:rFonts w:hint="eastAsia" w:ascii="宋体" w:hAnsi="宋体" w:eastAsia="宋体" w:cs="宋体"/>
                <w:color w:val="auto"/>
                <w:sz w:val="24"/>
                <w:highlight w:val="none"/>
                <w:lang w:val="en-US" w:eastAsia="zh-CN"/>
              </w:rPr>
            </w:pPr>
            <w:r>
              <w:rPr>
                <w:color w:val="auto"/>
                <w:sz w:val="20"/>
                <w:szCs w:val="20"/>
                <w:highlight w:val="none"/>
              </w:rPr>
              <w:t>标本采集后应按《标本采集手册》要求进行放置，应在规定的时间内送到实验室。如果需要长途运输标本，应采用项目标准操作规程规定（SOP规定）的方式进行保存，严格按照相关规定包装运输。</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6363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7A825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67595EA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AE77D0">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A3A5DDF">
            <w:pPr>
              <w:numPr>
                <w:ilvl w:val="0"/>
                <w:numId w:val="4"/>
              </w:numPr>
              <w:spacing w:line="360" w:lineRule="auto"/>
              <w:rPr>
                <w:rFonts w:hint="eastAsia" w:ascii="宋体" w:hAnsi="宋体" w:eastAsia="宋体" w:cs="宋体"/>
                <w:color w:val="auto"/>
                <w:sz w:val="24"/>
                <w:highlight w:val="none"/>
                <w:lang w:val="en-US" w:eastAsia="zh-CN"/>
              </w:rPr>
            </w:pPr>
            <w:r>
              <w:rPr>
                <w:color w:val="auto"/>
                <w:sz w:val="20"/>
                <w:szCs w:val="20"/>
                <w:highlight w:val="none"/>
              </w:rPr>
              <w:t>标本接收人员的按照相关要求的个人防护装备执行，标本运送人员和接收人员对标本进行双签收及核对。</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B6131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6B381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0AFF2C1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ADEB04">
            <w:pPr>
              <w:spacing w:line="440" w:lineRule="exact"/>
              <w:rPr>
                <w:rFonts w:hint="default" w:ascii="宋体" w:hAnsi="宋体" w:eastAsia="宋体" w:cs="宋体"/>
                <w:color w:val="auto"/>
                <w:sz w:val="24"/>
                <w:highlight w:val="none"/>
                <w:lang w:val="en-US" w:eastAsia="zh-CN"/>
              </w:rPr>
            </w:pPr>
            <w:r>
              <w:rPr>
                <w:color w:val="auto"/>
                <w:sz w:val="20"/>
                <w:szCs w:val="20"/>
                <w:highlight w:val="none"/>
              </w:rPr>
              <w:t>★</w:t>
            </w:r>
            <w:r>
              <w:rPr>
                <w:rFonts w:hint="eastAsia" w:ascii="宋体" w:hAnsi="宋体" w:eastAsia="宋体" w:cs="宋体"/>
                <w:color w:val="auto"/>
                <w:sz w:val="24"/>
                <w:highlight w:val="none"/>
                <w:lang w:val="en-US" w:eastAsia="zh-CN"/>
              </w:rPr>
              <w:t>11</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65762BE">
            <w:pPr>
              <w:numPr>
                <w:ilvl w:val="0"/>
                <w:numId w:val="4"/>
              </w:numPr>
              <w:spacing w:line="360" w:lineRule="auto"/>
              <w:rPr>
                <w:rFonts w:hint="eastAsia" w:ascii="宋体" w:hAnsi="宋体" w:eastAsia="宋体" w:cs="宋体"/>
                <w:color w:val="auto"/>
                <w:sz w:val="24"/>
                <w:highlight w:val="none"/>
                <w:lang w:val="en-US" w:eastAsia="zh-CN"/>
              </w:rPr>
            </w:pPr>
            <w:r>
              <w:rPr>
                <w:color w:val="auto"/>
                <w:sz w:val="20"/>
                <w:szCs w:val="20"/>
                <w:highlight w:val="none"/>
              </w:rPr>
              <w:t>★标本转运箱封闭前，须使用75%酒精或0.2%含氯消毒剂喷洒消毒。标本包装应符合国际民航组织文件Doc9284《危险品航空安全运输技术细则》的PI602分类包装要求。根据当前版本的国际航空运输协会（IATA）《危险品规则》， SARS-CoV-2感染疑似和确诊患者标本属于UN3373B类生物物质，涉及外部标本运输的，应按照B类感染性物质进行三层包装。投标人为采购人配备的服务团队具有冷链物流服务，并提供《道路运输经营许可证》（经营范围包含“货物专用运输（冷藏保鲜）”），标本运输须要求直立、冷藏、封闭，符合《GBT 28577-2012 冷链物流分类与基本要求》与生物安全要求，确保运输过程的样品质量和环境安全。对于需低温冷冻或有特殊要求的样本视具体项目与采购人商定。（或提供承诺函</w:t>
            </w:r>
            <w:r>
              <w:rPr>
                <w:color w:val="auto"/>
                <w:kern w:val="0"/>
                <w:highlight w:val="none"/>
                <w:lang w:bidi="ar"/>
              </w:rPr>
              <w:t>加盖投标人公章</w:t>
            </w:r>
            <w:r>
              <w:rPr>
                <w:color w:val="auto"/>
                <w:sz w:val="20"/>
                <w:szCs w:val="20"/>
                <w:highlight w:val="none"/>
              </w:rPr>
              <w:t>，承诺函内容包括但不限于以下内容：若我单位中标，中标后提供道路运输经营许可证，否则视为我单位放弃中标资格。）</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2D587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AA42A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2397597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465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A31E5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default" w:ascii="宋体" w:hAnsi="宋体" w:eastAsia="宋体" w:cs="宋体"/>
                <w:b w:val="0"/>
                <w:bCs w:val="0"/>
                <w:color w:val="auto"/>
                <w:kern w:val="2"/>
                <w:sz w:val="21"/>
                <w:szCs w:val="21"/>
                <w:lang w:val="en-US" w:eastAsia="zh-CN"/>
              </w:rPr>
            </w:pPr>
            <w:r>
              <w:rPr>
                <w:rStyle w:val="20"/>
                <w:rFonts w:hint="eastAsia" w:ascii="宋体" w:hAnsi="宋体" w:eastAsia="宋体" w:cs="宋体"/>
                <w:b w:val="0"/>
                <w:bCs w:val="0"/>
                <w:color w:val="auto"/>
                <w:kern w:val="2"/>
                <w:sz w:val="21"/>
                <w:szCs w:val="21"/>
                <w:lang w:val="en-US" w:eastAsia="zh-CN"/>
              </w:rPr>
              <w:t>三、检测项目详细参数要求</w:t>
            </w:r>
          </w:p>
        </w:tc>
      </w:tr>
      <w:tr w14:paraId="0489D6F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86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561315">
            <w:pPr>
              <w:pStyle w:val="23"/>
              <w:rPr>
                <w:rFonts w:hint="eastAsia" w:ascii="宋体" w:hAnsi="宋体" w:eastAsia="宋体" w:cs="宋体"/>
                <w:color w:val="auto"/>
                <w:sz w:val="24"/>
                <w:highlight w:val="none"/>
                <w:lang w:val="en-US" w:eastAsia="zh-CN"/>
              </w:rPr>
            </w:pPr>
            <w:r>
              <w:rPr>
                <w:rFonts w:hint="default"/>
                <w:color w:val="auto"/>
                <w:sz w:val="20"/>
                <w:szCs w:val="20"/>
                <w:highlight w:val="none"/>
              </w:rPr>
              <w:t>1、</w:t>
            </w:r>
            <w:r>
              <w:rPr>
                <w:rFonts w:hint="default"/>
                <w:color w:val="auto"/>
                <w:kern w:val="0"/>
                <w:highlight w:val="none"/>
                <w:lang w:bidi="ar"/>
              </w:rPr>
              <w:t>DNA-病原微生物宏基因组高通量测序</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B217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84782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2D0E46C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97778E">
            <w:pPr>
              <w:spacing w:line="440" w:lineRule="exact"/>
              <w:rPr>
                <w:rFonts w:hint="default" w:ascii="宋体" w:hAnsi="宋体" w:eastAsia="宋体" w:cs="宋体"/>
                <w:color w:val="auto"/>
                <w:sz w:val="24"/>
                <w:highlight w:val="none"/>
                <w:lang w:val="en-US" w:eastAsia="zh-CN"/>
              </w:rPr>
            </w:pPr>
            <w:r>
              <w:rPr>
                <w:color w:val="auto"/>
                <w:sz w:val="20"/>
                <w:szCs w:val="20"/>
                <w:highlight w:val="none"/>
              </w:rPr>
              <w:t>★</w:t>
            </w:r>
            <w:r>
              <w:rPr>
                <w:rFonts w:hint="eastAsia" w:ascii="宋体" w:hAnsi="宋体" w:eastAsia="宋体" w:cs="宋体"/>
                <w:color w:val="auto"/>
                <w:sz w:val="24"/>
                <w:highlight w:val="none"/>
                <w:lang w:val="en-US" w:eastAsia="zh-CN"/>
              </w:rPr>
              <w:t>12</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694CCCA">
            <w:pPr>
              <w:numPr>
                <w:ilvl w:val="1"/>
                <w:numId w:val="0"/>
              </w:numPr>
              <w:ind w:left="525" w:hanging="525"/>
              <w:rPr>
                <w:rFonts w:hint="default" w:ascii="宋体" w:hAnsi="宋体" w:eastAsia="宋体" w:cs="宋体"/>
                <w:color w:val="auto"/>
                <w:sz w:val="24"/>
                <w:highlight w:val="none"/>
                <w:lang w:val="en-US" w:eastAsia="zh-CN"/>
              </w:rPr>
            </w:pPr>
            <w:r>
              <w:rPr>
                <w:color w:val="auto"/>
                <w:sz w:val="20"/>
                <w:szCs w:val="20"/>
                <w:highlight w:val="none"/>
              </w:rPr>
              <w:t>1.1.★检测内容：覆盖细菌、真菌、寄生虫、DNA病毒、分枝杆菌、支原体、衣原体、立克次体、螺旋体等</w:t>
            </w:r>
            <w:r>
              <w:rPr>
                <w:rFonts w:hint="eastAsia"/>
                <w:color w:val="auto"/>
                <w:sz w:val="20"/>
                <w:szCs w:val="20"/>
                <w:highlight w:val="none"/>
              </w:rPr>
              <w:t>10000种以上</w:t>
            </w:r>
            <w:r>
              <w:rPr>
                <w:color w:val="auto"/>
                <w:sz w:val="20"/>
                <w:szCs w:val="20"/>
                <w:highlight w:val="none"/>
              </w:rPr>
              <w:t>DNA类病原微生物</w:t>
            </w:r>
            <w:r>
              <w:rPr>
                <w:rFonts w:hint="eastAsia"/>
                <w:color w:val="auto"/>
                <w:sz w:val="20"/>
                <w:szCs w:val="20"/>
                <w:highlight w:val="none"/>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60AD5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C18D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4628F2C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53700">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13</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A91A289">
            <w:pPr>
              <w:numPr>
                <w:ilvl w:val="1"/>
                <w:numId w:val="0"/>
              </w:numPr>
              <w:ind w:left="525" w:hanging="525"/>
              <w:rPr>
                <w:rFonts w:hint="eastAsia" w:ascii="宋体" w:hAnsi="宋体" w:eastAsia="宋体" w:cs="宋体"/>
                <w:color w:val="auto"/>
                <w:sz w:val="24"/>
                <w:highlight w:val="none"/>
                <w:lang w:val="en-US" w:eastAsia="zh-CN"/>
              </w:rPr>
            </w:pPr>
            <w:r>
              <w:rPr>
                <w:color w:val="auto"/>
                <w:sz w:val="20"/>
                <w:szCs w:val="20"/>
                <w:highlight w:val="none"/>
              </w:rPr>
              <w:t>1.2.可同步检测临床常见耐药基因、毒力基因</w:t>
            </w:r>
            <w:r>
              <w:rPr>
                <w:rFonts w:hint="eastAsia"/>
                <w:color w:val="auto"/>
                <w:sz w:val="20"/>
                <w:szCs w:val="20"/>
                <w:highlight w:val="none"/>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3E76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94A14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64EFB1A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115E5D">
            <w:pPr>
              <w:spacing w:line="440" w:lineRule="exact"/>
              <w:rPr>
                <w:rFonts w:hint="default" w:ascii="宋体" w:hAnsi="宋体" w:eastAsia="宋体" w:cs="宋体"/>
                <w:color w:val="auto"/>
                <w:sz w:val="24"/>
                <w:highlight w:val="none"/>
                <w:lang w:val="en-US" w:eastAsia="zh-CN"/>
              </w:rPr>
            </w:pPr>
            <w:r>
              <w:rPr>
                <w:color w:val="auto"/>
                <w:sz w:val="20"/>
                <w:szCs w:val="20"/>
                <w:highlight w:val="none"/>
                <w:lang w:val="en-GB"/>
              </w:rPr>
              <w:t>▲</w:t>
            </w:r>
            <w:r>
              <w:rPr>
                <w:rFonts w:hint="eastAsia" w:ascii="宋体" w:hAnsi="宋体" w:eastAsia="宋体" w:cs="宋体"/>
                <w:color w:val="auto"/>
                <w:sz w:val="24"/>
                <w:highlight w:val="none"/>
                <w:lang w:val="en-US" w:eastAsia="zh-CN"/>
              </w:rPr>
              <w:t>14</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B663EAF">
            <w:pPr>
              <w:numPr>
                <w:ilvl w:val="1"/>
                <w:numId w:val="0"/>
              </w:numPr>
              <w:ind w:left="525" w:hanging="525"/>
              <w:rPr>
                <w:rFonts w:hint="eastAsia" w:ascii="宋体" w:hAnsi="宋体" w:eastAsia="宋体" w:cs="宋体"/>
                <w:color w:val="auto"/>
                <w:sz w:val="24"/>
                <w:highlight w:val="none"/>
                <w:lang w:val="en-US" w:eastAsia="zh-CN"/>
              </w:rPr>
            </w:pPr>
            <w:r>
              <w:rPr>
                <w:rFonts w:hint="eastAsia"/>
                <w:color w:val="auto"/>
                <w:sz w:val="20"/>
                <w:szCs w:val="20"/>
                <w:highlight w:val="none"/>
              </w:rPr>
              <w:t>1.3.</w:t>
            </w:r>
            <w:r>
              <w:rPr>
                <w:color w:val="auto"/>
                <w:sz w:val="20"/>
                <w:szCs w:val="20"/>
                <w:highlight w:val="none"/>
                <w:lang w:val="en-GB"/>
              </w:rPr>
              <w:t>▲</w:t>
            </w:r>
            <w:r>
              <w:rPr>
                <w:rFonts w:hint="eastAsia"/>
                <w:color w:val="auto"/>
                <w:sz w:val="20"/>
                <w:szCs w:val="20"/>
                <w:highlight w:val="none"/>
              </w:rPr>
              <w:t>药敏表型表型预测准确性&gt;90%</w:t>
            </w:r>
            <w:r>
              <w:rPr>
                <w:color w:val="auto"/>
                <w:sz w:val="20"/>
                <w:szCs w:val="20"/>
                <w:highlight w:val="none"/>
              </w:rPr>
              <w:t>（投标文件中需提供</w:t>
            </w:r>
            <w:r>
              <w:rPr>
                <w:rFonts w:hint="eastAsia"/>
                <w:color w:val="auto"/>
                <w:sz w:val="20"/>
                <w:szCs w:val="20"/>
                <w:highlight w:val="none"/>
              </w:rPr>
              <w:t>佐证材料</w:t>
            </w:r>
            <w:r>
              <w:rPr>
                <w:color w:val="auto"/>
                <w:sz w:val="20"/>
                <w:szCs w:val="20"/>
                <w:highlight w:val="none"/>
              </w:rPr>
              <w:t>，并加盖投标人公章）</w:t>
            </w:r>
            <w:r>
              <w:rPr>
                <w:rFonts w:hint="eastAsia"/>
                <w:color w:val="auto"/>
                <w:sz w:val="20"/>
                <w:szCs w:val="20"/>
                <w:highlight w:val="none"/>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A6DA8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35CBD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61E0C0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26B1DD">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15</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333ADFB">
            <w:pPr>
              <w:numPr>
                <w:ilvl w:val="1"/>
                <w:numId w:val="0"/>
              </w:numPr>
              <w:ind w:left="525" w:hanging="525"/>
              <w:rPr>
                <w:rFonts w:hint="eastAsia" w:ascii="宋体" w:hAnsi="宋体" w:eastAsia="宋体" w:cs="宋体"/>
                <w:color w:val="auto"/>
                <w:sz w:val="24"/>
                <w:highlight w:val="none"/>
                <w:lang w:val="en-US" w:eastAsia="zh-CN"/>
              </w:rPr>
            </w:pPr>
            <w:r>
              <w:rPr>
                <w:color w:val="auto"/>
                <w:sz w:val="20"/>
                <w:szCs w:val="20"/>
                <w:highlight w:val="none"/>
                <w:lang w:val="en-GB"/>
              </w:rPr>
              <w:t>1.</w:t>
            </w:r>
            <w:r>
              <w:rPr>
                <w:rFonts w:hint="eastAsia"/>
                <w:color w:val="auto"/>
                <w:sz w:val="20"/>
                <w:szCs w:val="20"/>
                <w:highlight w:val="none"/>
              </w:rPr>
              <w:t>4</w:t>
            </w:r>
            <w:r>
              <w:rPr>
                <w:color w:val="auto"/>
                <w:sz w:val="20"/>
                <w:szCs w:val="20"/>
                <w:highlight w:val="none"/>
                <w:lang w:val="en-GB"/>
              </w:rPr>
              <w:t>.</w:t>
            </w:r>
            <w:r>
              <w:rPr>
                <w:rFonts w:hint="eastAsia"/>
                <w:color w:val="auto"/>
                <w:sz w:val="20"/>
                <w:szCs w:val="20"/>
                <w:highlight w:val="none"/>
              </w:rPr>
              <w:t>建库方式</w:t>
            </w:r>
            <w:r>
              <w:rPr>
                <w:color w:val="auto"/>
                <w:sz w:val="20"/>
                <w:szCs w:val="20"/>
                <w:highlight w:val="none"/>
              </w:rPr>
              <w:t>：</w:t>
            </w:r>
            <w:r>
              <w:rPr>
                <w:rFonts w:hint="eastAsia"/>
                <w:color w:val="auto"/>
                <w:sz w:val="20"/>
                <w:szCs w:val="20"/>
                <w:highlight w:val="none"/>
              </w:rPr>
              <w:t>DNA和RNA病原分别进行独立建库及测序；</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5F48C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8CA9E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240BA68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0F43C3">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16</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EB93FBD">
            <w:pPr>
              <w:numPr>
                <w:ilvl w:val="1"/>
                <w:numId w:val="0"/>
              </w:numPr>
              <w:ind w:left="525" w:hanging="525"/>
              <w:rPr>
                <w:rFonts w:hint="eastAsia" w:ascii="宋体" w:hAnsi="宋体" w:eastAsia="宋体" w:cs="宋体"/>
                <w:color w:val="auto"/>
                <w:sz w:val="24"/>
                <w:highlight w:val="none"/>
                <w:lang w:val="en-US" w:eastAsia="zh-CN"/>
              </w:rPr>
            </w:pPr>
            <w:r>
              <w:rPr>
                <w:color w:val="auto"/>
                <w:sz w:val="20"/>
                <w:szCs w:val="20"/>
                <w:highlight w:val="none"/>
                <w:lang w:val="en-GB"/>
              </w:rPr>
              <w:t>1.</w:t>
            </w:r>
            <w:r>
              <w:rPr>
                <w:rFonts w:hint="eastAsia"/>
                <w:color w:val="auto"/>
                <w:sz w:val="20"/>
                <w:szCs w:val="20"/>
                <w:highlight w:val="none"/>
              </w:rPr>
              <w:t>5</w:t>
            </w:r>
            <w:r>
              <w:rPr>
                <w:color w:val="auto"/>
                <w:sz w:val="20"/>
                <w:szCs w:val="20"/>
                <w:highlight w:val="none"/>
                <w:lang w:val="en-GB"/>
              </w:rPr>
              <w:t>.检测性能：</w:t>
            </w:r>
            <w:r>
              <w:rPr>
                <w:rFonts w:hint="eastAsia"/>
                <w:color w:val="auto"/>
                <w:sz w:val="20"/>
                <w:szCs w:val="20"/>
                <w:highlight w:val="none"/>
              </w:rPr>
              <w:t>测序总</w:t>
            </w:r>
            <w:r>
              <w:rPr>
                <w:color w:val="auto"/>
                <w:sz w:val="20"/>
                <w:szCs w:val="20"/>
                <w:highlight w:val="none"/>
              </w:rPr>
              <w:t>数据量不少于2</w:t>
            </w:r>
            <w:r>
              <w:rPr>
                <w:rFonts w:hint="eastAsia"/>
                <w:color w:val="auto"/>
                <w:sz w:val="20"/>
                <w:szCs w:val="20"/>
                <w:highlight w:val="none"/>
              </w:rPr>
              <w:t>0</w:t>
            </w:r>
            <w:r>
              <w:rPr>
                <w:color w:val="auto"/>
                <w:sz w:val="20"/>
                <w:szCs w:val="20"/>
                <w:highlight w:val="none"/>
              </w:rPr>
              <w:t>M reads；</w:t>
            </w:r>
            <w:r>
              <w:rPr>
                <w:rFonts w:hint="eastAsia" w:ascii="Times New Roman Regular" w:hAnsi="Times New Roman Regular" w:cs="Times New Roman Regular"/>
                <w:color w:val="auto"/>
                <w:highlight w:val="none"/>
              </w:rPr>
              <w:t>测序数据质量Q30≥85%，数据量波动＜35%</w:t>
            </w:r>
            <w:r>
              <w:rPr>
                <w:color w:val="auto"/>
                <w:sz w:val="20"/>
                <w:szCs w:val="20"/>
                <w:highlight w:val="none"/>
                <w:lang w:val="en-GB"/>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1F29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F4161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2242A71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7F389C">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17</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062E2FA">
            <w:pPr>
              <w:numPr>
                <w:ilvl w:val="1"/>
                <w:numId w:val="0"/>
              </w:numPr>
              <w:ind w:left="525" w:hanging="525"/>
              <w:rPr>
                <w:rFonts w:hint="eastAsia" w:ascii="宋体" w:hAnsi="宋体" w:eastAsia="宋体" w:cs="宋体"/>
                <w:color w:val="auto"/>
                <w:sz w:val="24"/>
                <w:highlight w:val="none"/>
                <w:lang w:val="en-US" w:eastAsia="zh-CN"/>
              </w:rPr>
            </w:pPr>
            <w:r>
              <w:rPr>
                <w:color w:val="auto"/>
                <w:sz w:val="20"/>
                <w:szCs w:val="20"/>
                <w:highlight w:val="none"/>
                <w:lang w:val="en-GB"/>
              </w:rPr>
              <w:t>1.</w:t>
            </w:r>
            <w:r>
              <w:rPr>
                <w:rFonts w:hint="eastAsia"/>
                <w:color w:val="auto"/>
                <w:sz w:val="20"/>
                <w:szCs w:val="20"/>
                <w:highlight w:val="none"/>
              </w:rPr>
              <w:t>6</w:t>
            </w:r>
            <w:r>
              <w:rPr>
                <w:color w:val="auto"/>
                <w:sz w:val="20"/>
                <w:szCs w:val="20"/>
                <w:highlight w:val="none"/>
                <w:lang w:val="en-GB"/>
              </w:rPr>
              <w:t>.</w:t>
            </w:r>
            <w:r>
              <w:rPr>
                <w:rFonts w:hint="eastAsia"/>
                <w:color w:val="auto"/>
                <w:sz w:val="20"/>
                <w:szCs w:val="20"/>
                <w:highlight w:val="none"/>
              </w:rPr>
              <w:t>适用样本类型：血液、脑脊液、呼吸道标本（痰液、鼻/咽拭子、肺泡灌洗液、支气管刷刷头等）、尿液、拭子、其他无菌体液标本（胸腔积液、腹腔积液、眼内液、房水、关节液及穿刺液等）、新鲜组织及石蜡组织等样本；</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30E37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25DBB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512F71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C30326">
            <w:pPr>
              <w:spacing w:line="440" w:lineRule="exact"/>
              <w:rPr>
                <w:rFonts w:hint="default" w:ascii="宋体" w:hAnsi="宋体" w:eastAsia="宋体" w:cs="宋体"/>
                <w:color w:val="auto"/>
                <w:sz w:val="24"/>
                <w:highlight w:val="none"/>
                <w:lang w:val="en-US" w:eastAsia="zh-CN"/>
              </w:rPr>
            </w:pPr>
            <w:r>
              <w:rPr>
                <w:color w:val="auto"/>
                <w:sz w:val="20"/>
                <w:szCs w:val="20"/>
                <w:highlight w:val="none"/>
                <w:lang w:val="en-GB"/>
              </w:rPr>
              <w:t>▲</w:t>
            </w:r>
            <w:r>
              <w:rPr>
                <w:rFonts w:hint="eastAsia" w:ascii="宋体" w:hAnsi="宋体" w:eastAsia="宋体" w:cs="宋体"/>
                <w:color w:val="auto"/>
                <w:sz w:val="24"/>
                <w:highlight w:val="none"/>
                <w:lang w:val="en-US" w:eastAsia="zh-CN"/>
              </w:rPr>
              <w:t>18</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1EBCD97">
            <w:pPr>
              <w:numPr>
                <w:ilvl w:val="1"/>
                <w:numId w:val="0"/>
              </w:numPr>
              <w:ind w:left="525" w:hanging="525"/>
              <w:rPr>
                <w:rFonts w:hint="eastAsia" w:ascii="宋体" w:hAnsi="宋体" w:eastAsia="宋体" w:cs="宋体"/>
                <w:color w:val="auto"/>
                <w:sz w:val="24"/>
                <w:highlight w:val="none"/>
                <w:lang w:val="en-US" w:eastAsia="zh-CN"/>
              </w:rPr>
            </w:pPr>
            <w:r>
              <w:rPr>
                <w:rFonts w:hint="eastAsia"/>
                <w:color w:val="auto"/>
                <w:sz w:val="20"/>
                <w:szCs w:val="20"/>
                <w:highlight w:val="none"/>
              </w:rPr>
              <w:t>1.7.</w:t>
            </w:r>
            <w:r>
              <w:rPr>
                <w:color w:val="auto"/>
                <w:sz w:val="20"/>
                <w:szCs w:val="20"/>
                <w:highlight w:val="none"/>
                <w:lang w:val="en-GB"/>
              </w:rPr>
              <w:t>▲</w:t>
            </w:r>
            <w:r>
              <w:rPr>
                <w:rFonts w:hint="eastAsia"/>
                <w:color w:val="auto"/>
                <w:sz w:val="20"/>
                <w:szCs w:val="20"/>
                <w:highlight w:val="none"/>
              </w:rPr>
              <w:t>在核酸提取前，提供可定量判断临床样本人源宿主含量的质控方法，依据鉴定结果选择是否去宿主</w:t>
            </w:r>
            <w:r>
              <w:rPr>
                <w:color w:val="auto"/>
                <w:sz w:val="20"/>
                <w:szCs w:val="20"/>
                <w:highlight w:val="none"/>
              </w:rPr>
              <w:t>（投标文件中需提供</w:t>
            </w:r>
            <w:r>
              <w:rPr>
                <w:rFonts w:hint="eastAsia"/>
                <w:color w:val="auto"/>
                <w:sz w:val="20"/>
                <w:szCs w:val="20"/>
                <w:highlight w:val="none"/>
              </w:rPr>
              <w:t>佐证材料</w:t>
            </w:r>
            <w:r>
              <w:rPr>
                <w:color w:val="auto"/>
                <w:sz w:val="20"/>
                <w:szCs w:val="20"/>
                <w:highlight w:val="none"/>
              </w:rPr>
              <w:t>，并加盖投标人公章）</w:t>
            </w:r>
            <w:r>
              <w:rPr>
                <w:rFonts w:hint="eastAsia"/>
                <w:color w:val="auto"/>
                <w:sz w:val="20"/>
                <w:szCs w:val="20"/>
                <w:highlight w:val="none"/>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541BF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19B08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5069D63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94DE76">
            <w:pPr>
              <w:spacing w:line="440" w:lineRule="exact"/>
              <w:rPr>
                <w:rFonts w:hint="default" w:ascii="宋体" w:hAnsi="宋体" w:eastAsia="宋体" w:cs="宋体"/>
                <w:color w:val="auto"/>
                <w:sz w:val="24"/>
                <w:highlight w:val="none"/>
                <w:lang w:val="en-US" w:eastAsia="zh-CN"/>
              </w:rPr>
            </w:pPr>
            <w:r>
              <w:rPr>
                <w:color w:val="auto"/>
                <w:sz w:val="20"/>
                <w:szCs w:val="20"/>
                <w:highlight w:val="none"/>
                <w:lang w:val="en-GB"/>
              </w:rPr>
              <w:t>▲</w:t>
            </w:r>
            <w:r>
              <w:rPr>
                <w:rFonts w:hint="eastAsia" w:ascii="宋体" w:hAnsi="宋体" w:eastAsia="宋体" w:cs="宋体"/>
                <w:color w:val="auto"/>
                <w:sz w:val="24"/>
                <w:highlight w:val="none"/>
                <w:lang w:val="en-US" w:eastAsia="zh-CN"/>
              </w:rPr>
              <w:t>21</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951A407">
            <w:pPr>
              <w:numPr>
                <w:ilvl w:val="1"/>
                <w:numId w:val="0"/>
              </w:numPr>
              <w:ind w:left="525" w:hanging="525"/>
              <w:rPr>
                <w:rFonts w:hint="eastAsia" w:ascii="宋体" w:hAnsi="宋体" w:eastAsia="宋体" w:cs="宋体"/>
                <w:color w:val="auto"/>
                <w:sz w:val="24"/>
                <w:highlight w:val="none"/>
                <w:lang w:val="en-US" w:eastAsia="zh-CN"/>
              </w:rPr>
            </w:pPr>
            <w:r>
              <w:rPr>
                <w:rFonts w:hint="eastAsia"/>
                <w:color w:val="auto"/>
                <w:sz w:val="20"/>
                <w:szCs w:val="20"/>
                <w:highlight w:val="none"/>
              </w:rPr>
              <w:t>1.8.</w:t>
            </w:r>
            <w:r>
              <w:rPr>
                <w:color w:val="auto"/>
                <w:sz w:val="20"/>
                <w:szCs w:val="20"/>
                <w:highlight w:val="none"/>
                <w:lang w:val="en-GB"/>
              </w:rPr>
              <w:t>▲</w:t>
            </w:r>
            <w:r>
              <w:rPr>
                <w:rFonts w:hint="eastAsia"/>
                <w:color w:val="auto"/>
                <w:sz w:val="20"/>
                <w:szCs w:val="20"/>
                <w:highlight w:val="none"/>
              </w:rPr>
              <w:t>针对新鲜组织样本应具有去宿主技术，以达到人员序列占比低于85%，提高去宿主的效果；</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30F30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F3A2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65220AD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DDFCF1">
            <w:pPr>
              <w:spacing w:line="440" w:lineRule="exact"/>
              <w:rPr>
                <w:rFonts w:hint="default" w:ascii="宋体" w:hAnsi="宋体" w:eastAsia="宋体" w:cs="宋体"/>
                <w:color w:val="auto"/>
                <w:sz w:val="24"/>
                <w:highlight w:val="none"/>
                <w:lang w:val="en-US" w:eastAsia="zh-CN"/>
              </w:rPr>
            </w:pPr>
            <w:r>
              <w:rPr>
                <w:color w:val="auto"/>
                <w:sz w:val="20"/>
                <w:szCs w:val="20"/>
                <w:highlight w:val="none"/>
              </w:rPr>
              <w:t>★</w:t>
            </w:r>
            <w:r>
              <w:rPr>
                <w:rFonts w:hint="eastAsia" w:ascii="宋体" w:hAnsi="宋体" w:eastAsia="宋体" w:cs="宋体"/>
                <w:color w:val="auto"/>
                <w:sz w:val="24"/>
                <w:highlight w:val="none"/>
                <w:lang w:val="en-US" w:eastAsia="zh-CN"/>
              </w:rPr>
              <w:t>22</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2E7B2A9">
            <w:pPr>
              <w:numPr>
                <w:ilvl w:val="1"/>
                <w:numId w:val="0"/>
              </w:numPr>
              <w:ind w:left="525" w:hanging="525"/>
              <w:rPr>
                <w:rFonts w:hint="eastAsia" w:ascii="宋体" w:hAnsi="宋体" w:eastAsia="宋体" w:cs="宋体"/>
                <w:color w:val="auto"/>
                <w:sz w:val="24"/>
                <w:highlight w:val="none"/>
                <w:lang w:val="en-US" w:eastAsia="zh-CN"/>
              </w:rPr>
            </w:pPr>
            <w:r>
              <w:rPr>
                <w:color w:val="auto"/>
                <w:sz w:val="20"/>
                <w:szCs w:val="20"/>
                <w:highlight w:val="none"/>
              </w:rPr>
              <w:t>1.</w:t>
            </w:r>
            <w:r>
              <w:rPr>
                <w:rFonts w:hint="eastAsia"/>
                <w:color w:val="auto"/>
                <w:sz w:val="20"/>
                <w:szCs w:val="20"/>
                <w:highlight w:val="none"/>
              </w:rPr>
              <w:t>9</w:t>
            </w:r>
            <w:r>
              <w:rPr>
                <w:color w:val="auto"/>
                <w:sz w:val="20"/>
                <w:szCs w:val="20"/>
                <w:highlight w:val="none"/>
              </w:rPr>
              <w:t>.★</w:t>
            </w:r>
            <w:r>
              <w:rPr>
                <w:rFonts w:hint="eastAsia"/>
                <w:color w:val="auto"/>
                <w:sz w:val="20"/>
                <w:szCs w:val="20"/>
                <w:highlight w:val="none"/>
              </w:rPr>
              <w:t>报告周期</w:t>
            </w:r>
            <w:r>
              <w:rPr>
                <w:color w:val="auto"/>
                <w:sz w:val="20"/>
                <w:szCs w:val="20"/>
                <w:highlight w:val="none"/>
              </w:rPr>
              <w:t>：</w:t>
            </w:r>
            <w:r>
              <w:rPr>
                <w:rFonts w:hint="eastAsia"/>
                <w:color w:val="auto"/>
                <w:sz w:val="20"/>
                <w:szCs w:val="20"/>
                <w:highlight w:val="none"/>
              </w:rPr>
              <w:t>＜24小时</w:t>
            </w:r>
            <w:r>
              <w:rPr>
                <w:color w:val="auto"/>
                <w:sz w:val="20"/>
                <w:szCs w:val="20"/>
                <w:highlight w:val="none"/>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57160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F8377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585DC1B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E8B24B">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23</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1246B74">
            <w:pPr>
              <w:numPr>
                <w:ilvl w:val="1"/>
                <w:numId w:val="0"/>
              </w:numPr>
              <w:ind w:left="525" w:hanging="525"/>
              <w:rPr>
                <w:rFonts w:hint="eastAsia" w:ascii="宋体" w:hAnsi="宋体" w:eastAsia="宋体" w:cs="宋体"/>
                <w:color w:val="auto"/>
                <w:sz w:val="24"/>
                <w:highlight w:val="none"/>
                <w:lang w:val="en-US" w:eastAsia="zh-CN"/>
              </w:rPr>
            </w:pPr>
            <w:r>
              <w:rPr>
                <w:rFonts w:eastAsiaTheme="minorEastAsia"/>
                <w:color w:val="auto"/>
                <w:kern w:val="0"/>
                <w:sz w:val="20"/>
                <w:szCs w:val="20"/>
                <w:highlight w:val="none"/>
              </w:rPr>
              <w:t>1.</w:t>
            </w:r>
            <w:r>
              <w:rPr>
                <w:rFonts w:hint="eastAsia" w:eastAsiaTheme="minorEastAsia"/>
                <w:color w:val="auto"/>
                <w:kern w:val="0"/>
                <w:sz w:val="20"/>
                <w:szCs w:val="20"/>
                <w:highlight w:val="none"/>
              </w:rPr>
              <w:t>10</w:t>
            </w:r>
            <w:r>
              <w:rPr>
                <w:rFonts w:eastAsiaTheme="minorEastAsia"/>
                <w:color w:val="auto"/>
                <w:kern w:val="0"/>
                <w:sz w:val="20"/>
                <w:szCs w:val="20"/>
                <w:highlight w:val="none"/>
              </w:rPr>
              <w:t>.</w:t>
            </w:r>
            <w:r>
              <w:rPr>
                <w:rFonts w:hint="eastAsia"/>
                <w:color w:val="auto"/>
                <w:sz w:val="20"/>
                <w:szCs w:val="20"/>
                <w:highlight w:val="none"/>
              </w:rPr>
              <w:t>报告单内容：至少包含，但不限于以下内容：样本信息、检测方法、测序质量（总数据量、Q30比例等）、病原体检出结果（序列数、相对丰度、覆盖度等）、耐药/毒力基因结果、结果解读、检测局限性说明等。</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BD1EB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6949C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4A25B3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C51920">
            <w:pPr>
              <w:spacing w:line="440" w:lineRule="exact"/>
              <w:rPr>
                <w:rFonts w:hint="default" w:ascii="宋体" w:hAnsi="宋体" w:eastAsia="宋体" w:cs="宋体"/>
                <w:color w:val="auto"/>
                <w:sz w:val="24"/>
                <w:highlight w:val="none"/>
                <w:lang w:val="en-US" w:eastAsia="zh-CN"/>
              </w:rPr>
            </w:pPr>
            <w:r>
              <w:rPr>
                <w:color w:val="auto"/>
                <w:sz w:val="20"/>
                <w:szCs w:val="20"/>
                <w:highlight w:val="none"/>
                <w:lang w:val="en-GB"/>
              </w:rPr>
              <w:t>▲</w:t>
            </w:r>
            <w:r>
              <w:rPr>
                <w:rFonts w:hint="eastAsia" w:ascii="宋体" w:hAnsi="宋体" w:eastAsia="宋体" w:cs="宋体"/>
                <w:color w:val="auto"/>
                <w:sz w:val="24"/>
                <w:highlight w:val="none"/>
                <w:lang w:val="en-US" w:eastAsia="zh-CN"/>
              </w:rPr>
              <w:t>24</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33ED5FD">
            <w:pPr>
              <w:spacing w:line="440" w:lineRule="exact"/>
              <w:rPr>
                <w:rFonts w:hint="eastAsia" w:ascii="宋体" w:hAnsi="宋体" w:eastAsia="宋体" w:cs="宋体"/>
                <w:color w:val="auto"/>
                <w:sz w:val="24"/>
                <w:highlight w:val="none"/>
                <w:lang w:val="en-US" w:eastAsia="zh-CN"/>
              </w:rPr>
            </w:pPr>
            <w:r>
              <w:rPr>
                <w:rFonts w:hint="eastAsia"/>
                <w:color w:val="auto"/>
                <w:sz w:val="20"/>
                <w:szCs w:val="20"/>
                <w:highlight w:val="none"/>
              </w:rPr>
              <w:t>1.11.</w:t>
            </w:r>
            <w:r>
              <w:rPr>
                <w:color w:val="auto"/>
                <w:sz w:val="20"/>
                <w:szCs w:val="20"/>
                <w:highlight w:val="none"/>
                <w:lang w:val="en-GB"/>
              </w:rPr>
              <w:t>▲</w:t>
            </w:r>
            <w:r>
              <w:rPr>
                <w:rFonts w:hint="eastAsia"/>
                <w:color w:val="auto"/>
                <w:sz w:val="20"/>
                <w:szCs w:val="20"/>
                <w:highlight w:val="none"/>
              </w:rPr>
              <w:t>病原微生物测序数据分析软件具有二类注册证，且病原种类＞500种，包含</w:t>
            </w:r>
            <w:r>
              <w:rPr>
                <w:color w:val="auto"/>
                <w:sz w:val="20"/>
                <w:szCs w:val="20"/>
                <w:highlight w:val="none"/>
              </w:rPr>
              <w:t>细菌、真菌、寄生虫</w:t>
            </w:r>
            <w:r>
              <w:rPr>
                <w:rFonts w:hint="eastAsia"/>
                <w:color w:val="auto"/>
                <w:sz w:val="20"/>
                <w:szCs w:val="20"/>
                <w:highlight w:val="none"/>
              </w:rPr>
              <w:t>、病毒</w:t>
            </w:r>
            <w:r>
              <w:rPr>
                <w:color w:val="auto"/>
                <w:sz w:val="20"/>
                <w:szCs w:val="20"/>
                <w:highlight w:val="none"/>
              </w:rPr>
              <w:t>等</w:t>
            </w:r>
            <w:r>
              <w:rPr>
                <w:rFonts w:hint="eastAsia"/>
                <w:color w:val="auto"/>
                <w:sz w:val="20"/>
                <w:szCs w:val="20"/>
                <w:highlight w:val="none"/>
              </w:rPr>
              <w:t>，同时注册证内容包含耐药基因、毒力基因等模版</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684ED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41436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07A185C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86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2C93AE">
            <w:pPr>
              <w:pStyle w:val="23"/>
              <w:rPr>
                <w:rFonts w:hint="eastAsia" w:ascii="宋体" w:hAnsi="宋体" w:eastAsia="宋体" w:cs="宋体"/>
                <w:color w:val="auto"/>
                <w:sz w:val="24"/>
                <w:highlight w:val="none"/>
                <w:lang w:val="en-US" w:eastAsia="zh-CN"/>
              </w:rPr>
            </w:pPr>
            <w:r>
              <w:rPr>
                <w:color w:val="auto"/>
                <w:sz w:val="20"/>
                <w:szCs w:val="20"/>
                <w:highlight w:val="none"/>
              </w:rPr>
              <w:t>2</w:t>
            </w:r>
            <w:r>
              <w:rPr>
                <w:rFonts w:hint="default"/>
                <w:color w:val="auto"/>
                <w:sz w:val="20"/>
                <w:szCs w:val="20"/>
                <w:highlight w:val="none"/>
              </w:rPr>
              <w:t>、</w:t>
            </w:r>
            <w:r>
              <w:rPr>
                <w:rFonts w:hint="default"/>
                <w:color w:val="auto"/>
                <w:kern w:val="0"/>
                <w:highlight w:val="none"/>
                <w:lang w:bidi="ar"/>
              </w:rPr>
              <w:t>RNA-病原微生物宏基因组高通量测序</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444E0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1A099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1F8693D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E4F4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color w:val="auto"/>
                <w:sz w:val="20"/>
                <w:szCs w:val="20"/>
                <w:highlight w:val="none"/>
                <w:lang w:val="en-GB"/>
              </w:rPr>
              <w:t>★</w:t>
            </w:r>
            <w:r>
              <w:rPr>
                <w:rFonts w:hint="eastAsia" w:ascii="仿宋" w:hAnsi="仿宋" w:eastAsia="仿宋" w:cs="仿宋"/>
                <w:color w:val="auto"/>
                <w:sz w:val="24"/>
                <w:lang w:val="en-US" w:eastAsia="zh-CN"/>
              </w:rPr>
              <w:t>25</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03DC6DA">
            <w:pPr>
              <w:numPr>
                <w:ilvl w:val="1"/>
                <w:numId w:val="0"/>
              </w:numPr>
              <w:ind w:left="525" w:hanging="525"/>
              <w:rPr>
                <w:rFonts w:hint="eastAsia" w:ascii="宋体" w:hAnsi="宋体" w:eastAsia="宋体" w:cs="宋体"/>
                <w:color w:val="auto"/>
                <w:szCs w:val="21"/>
                <w:highlight w:val="none"/>
              </w:rPr>
            </w:pPr>
            <w:r>
              <w:rPr>
                <w:rFonts w:hint="eastAsia"/>
                <w:color w:val="auto"/>
                <w:sz w:val="20"/>
                <w:szCs w:val="20"/>
                <w:highlight w:val="none"/>
              </w:rPr>
              <w:t>2</w:t>
            </w:r>
            <w:r>
              <w:rPr>
                <w:color w:val="auto"/>
                <w:sz w:val="20"/>
                <w:szCs w:val="20"/>
                <w:highlight w:val="none"/>
                <w:lang w:val="en-GB"/>
              </w:rPr>
              <w:t>.1.★检测内容：</w:t>
            </w:r>
            <w:r>
              <w:rPr>
                <w:rFonts w:hint="eastAsia"/>
                <w:color w:val="auto"/>
                <w:sz w:val="20"/>
                <w:szCs w:val="20"/>
                <w:highlight w:val="none"/>
              </w:rPr>
              <w:t>覆盖</w:t>
            </w:r>
            <w:r>
              <w:rPr>
                <w:color w:val="auto"/>
                <w:kern w:val="0"/>
                <w:highlight w:val="none"/>
                <w:lang w:bidi="ar"/>
              </w:rPr>
              <w:t>遗传物质为RNA的3000种以上病原微生物</w:t>
            </w:r>
            <w:r>
              <w:rPr>
                <w:rFonts w:hint="eastAsia"/>
                <w:color w:val="auto"/>
                <w:sz w:val="20"/>
                <w:szCs w:val="20"/>
                <w:highlight w:val="none"/>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90F6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F2BE9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497888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00EFD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26</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16633BC">
            <w:pPr>
              <w:numPr>
                <w:ilvl w:val="1"/>
                <w:numId w:val="0"/>
              </w:numPr>
              <w:ind w:left="567" w:hanging="567"/>
              <w:rPr>
                <w:rFonts w:hint="eastAsia" w:ascii="仿宋" w:hAnsi="仿宋" w:eastAsia="仿宋" w:cs="仿宋"/>
                <w:color w:val="auto"/>
                <w:sz w:val="24"/>
                <w:lang w:val="en-US" w:eastAsia="zh-CN"/>
              </w:rPr>
            </w:pPr>
            <w:r>
              <w:rPr>
                <w:rFonts w:hint="eastAsia"/>
                <w:color w:val="auto"/>
                <w:sz w:val="20"/>
                <w:szCs w:val="20"/>
                <w:highlight w:val="none"/>
              </w:rPr>
              <w:t>2</w:t>
            </w:r>
            <w:r>
              <w:rPr>
                <w:color w:val="auto"/>
                <w:sz w:val="20"/>
                <w:szCs w:val="20"/>
                <w:highlight w:val="none"/>
                <w:lang w:val="en-GB"/>
              </w:rPr>
              <w:t>.2.</w:t>
            </w:r>
            <w:r>
              <w:rPr>
                <w:rFonts w:hint="eastAsia"/>
                <w:color w:val="auto"/>
                <w:sz w:val="20"/>
                <w:szCs w:val="20"/>
                <w:highlight w:val="none"/>
              </w:rPr>
              <w:t>建库方式</w:t>
            </w:r>
            <w:r>
              <w:rPr>
                <w:color w:val="auto"/>
                <w:sz w:val="20"/>
                <w:szCs w:val="20"/>
                <w:highlight w:val="none"/>
                <w:lang w:val="en-GB"/>
              </w:rPr>
              <w:t>：DNA与RNA</w:t>
            </w:r>
            <w:r>
              <w:rPr>
                <w:rFonts w:hint="eastAsia"/>
                <w:color w:val="auto"/>
                <w:sz w:val="20"/>
                <w:szCs w:val="20"/>
                <w:highlight w:val="none"/>
              </w:rPr>
              <w:t>病原</w:t>
            </w:r>
            <w:r>
              <w:rPr>
                <w:color w:val="auto"/>
                <w:sz w:val="20"/>
                <w:szCs w:val="20"/>
                <w:highlight w:val="none"/>
                <w:lang w:val="en-GB"/>
              </w:rPr>
              <w:t>分别独立提取、建库，合并</w:t>
            </w:r>
            <w:r>
              <w:rPr>
                <w:rFonts w:hint="eastAsia"/>
                <w:color w:val="auto"/>
                <w:sz w:val="20"/>
                <w:szCs w:val="20"/>
                <w:highlight w:val="none"/>
              </w:rPr>
              <w:t>检测</w:t>
            </w:r>
            <w:r>
              <w:rPr>
                <w:color w:val="auto"/>
                <w:sz w:val="20"/>
                <w:szCs w:val="20"/>
                <w:highlight w:val="none"/>
                <w:lang w:val="en-GB"/>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C50AC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43D0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43C13F1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88321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27</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F1A0011">
            <w:pPr>
              <w:numPr>
                <w:ilvl w:val="1"/>
                <w:numId w:val="0"/>
              </w:numPr>
              <w:ind w:left="525" w:hanging="525"/>
              <w:rPr>
                <w:rFonts w:hint="eastAsia" w:ascii="仿宋" w:hAnsi="仿宋" w:eastAsia="仿宋" w:cs="仿宋"/>
                <w:color w:val="auto"/>
                <w:sz w:val="24"/>
                <w:lang w:val="en-US" w:eastAsia="zh-CN"/>
              </w:rPr>
            </w:pPr>
            <w:r>
              <w:rPr>
                <w:rFonts w:hint="eastAsia"/>
                <w:color w:val="auto"/>
                <w:sz w:val="20"/>
                <w:szCs w:val="20"/>
                <w:highlight w:val="none"/>
              </w:rPr>
              <w:t>2</w:t>
            </w:r>
            <w:r>
              <w:rPr>
                <w:color w:val="auto"/>
                <w:sz w:val="20"/>
                <w:szCs w:val="20"/>
                <w:highlight w:val="none"/>
                <w:lang w:val="en-GB"/>
              </w:rPr>
              <w:t>.3.</w:t>
            </w:r>
            <w:r>
              <w:rPr>
                <w:rFonts w:hint="eastAsia"/>
                <w:color w:val="auto"/>
                <w:sz w:val="20"/>
                <w:szCs w:val="20"/>
                <w:highlight w:val="none"/>
              </w:rPr>
              <w:t>检测性能：测序总</w:t>
            </w:r>
            <w:r>
              <w:rPr>
                <w:color w:val="auto"/>
                <w:sz w:val="20"/>
                <w:szCs w:val="20"/>
                <w:highlight w:val="none"/>
              </w:rPr>
              <w:t>数据量不少于2</w:t>
            </w:r>
            <w:r>
              <w:rPr>
                <w:rFonts w:hint="eastAsia"/>
                <w:color w:val="auto"/>
                <w:sz w:val="20"/>
                <w:szCs w:val="20"/>
                <w:highlight w:val="none"/>
              </w:rPr>
              <w:t>0</w:t>
            </w:r>
            <w:r>
              <w:rPr>
                <w:color w:val="auto"/>
                <w:sz w:val="20"/>
                <w:szCs w:val="20"/>
                <w:highlight w:val="none"/>
              </w:rPr>
              <w:t>M reads；</w:t>
            </w:r>
            <w:r>
              <w:rPr>
                <w:rFonts w:hint="eastAsia" w:ascii="Times New Roman Regular" w:hAnsi="Times New Roman Regular" w:cs="Times New Roman Regular"/>
                <w:color w:val="auto"/>
                <w:highlight w:val="none"/>
              </w:rPr>
              <w:t>测序数据质量Q30≥85%，数据量波动＜35%</w:t>
            </w:r>
            <w:r>
              <w:rPr>
                <w:color w:val="auto"/>
                <w:sz w:val="20"/>
                <w:szCs w:val="20"/>
                <w:highlight w:val="none"/>
                <w:lang w:val="en-GB"/>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FCE2E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8293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14F972D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3E793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27</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9926BA9">
            <w:pPr>
              <w:numPr>
                <w:ilvl w:val="1"/>
                <w:numId w:val="0"/>
              </w:numPr>
              <w:ind w:left="525" w:hanging="525"/>
              <w:rPr>
                <w:rFonts w:hint="eastAsia" w:ascii="仿宋" w:hAnsi="仿宋" w:eastAsia="仿宋" w:cs="仿宋"/>
                <w:color w:val="auto"/>
                <w:sz w:val="24"/>
                <w:lang w:val="en-US" w:eastAsia="zh-CN"/>
              </w:rPr>
            </w:pPr>
            <w:r>
              <w:rPr>
                <w:rFonts w:hint="eastAsia"/>
                <w:color w:val="auto"/>
                <w:sz w:val="20"/>
                <w:szCs w:val="20"/>
                <w:highlight w:val="none"/>
              </w:rPr>
              <w:t>2.4</w:t>
            </w:r>
            <w:r>
              <w:rPr>
                <w:color w:val="auto"/>
                <w:sz w:val="20"/>
                <w:szCs w:val="20"/>
                <w:highlight w:val="none"/>
                <w:lang w:val="en-GB"/>
              </w:rPr>
              <w:t>.</w:t>
            </w:r>
            <w:r>
              <w:rPr>
                <w:rFonts w:hint="eastAsia"/>
                <w:color w:val="auto"/>
                <w:sz w:val="20"/>
                <w:szCs w:val="20"/>
                <w:highlight w:val="none"/>
              </w:rPr>
              <w:t>适用样本类型：血液、脑脊液、呼吸道标本（痰液、鼻/咽拭子、肺泡灌洗液、支气管刷刷头等）、尿液、拭子、其他无菌体液标本（胸腔积液、腹腔积液、眼内液、房水、关节液及穿刺液等）、新鲜组织等样本；</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F7772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CAAC6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0F8AC02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99BA5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color w:val="auto"/>
                <w:sz w:val="20"/>
                <w:szCs w:val="20"/>
                <w:highlight w:val="none"/>
                <w:lang w:val="en-GB"/>
              </w:rPr>
              <w:t>★</w:t>
            </w:r>
            <w:r>
              <w:rPr>
                <w:rFonts w:hint="eastAsia" w:ascii="仿宋" w:hAnsi="仿宋" w:eastAsia="仿宋" w:cs="仿宋"/>
                <w:color w:val="auto"/>
                <w:sz w:val="24"/>
                <w:lang w:val="en-US" w:eastAsia="zh-CN"/>
              </w:rPr>
              <w:t>29</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E7BE74B">
            <w:pPr>
              <w:numPr>
                <w:ilvl w:val="1"/>
                <w:numId w:val="0"/>
              </w:numPr>
              <w:ind w:left="525" w:hanging="525"/>
              <w:rPr>
                <w:rFonts w:hint="eastAsia" w:ascii="宋体" w:hAnsi="宋体" w:eastAsia="宋体" w:cs="宋体"/>
                <w:color w:val="auto"/>
                <w:szCs w:val="21"/>
                <w:highlight w:val="none"/>
              </w:rPr>
            </w:pPr>
            <w:r>
              <w:rPr>
                <w:rFonts w:hint="eastAsia"/>
                <w:color w:val="auto"/>
                <w:sz w:val="20"/>
                <w:szCs w:val="20"/>
                <w:highlight w:val="none"/>
              </w:rPr>
              <w:t>2.5</w:t>
            </w:r>
            <w:r>
              <w:rPr>
                <w:color w:val="auto"/>
                <w:sz w:val="20"/>
                <w:szCs w:val="20"/>
                <w:highlight w:val="none"/>
              </w:rPr>
              <w:t>.</w:t>
            </w:r>
            <w:r>
              <w:rPr>
                <w:color w:val="auto"/>
                <w:sz w:val="20"/>
                <w:szCs w:val="20"/>
                <w:highlight w:val="none"/>
                <w:lang w:val="en-GB"/>
              </w:rPr>
              <w:t>★</w:t>
            </w:r>
            <w:r>
              <w:rPr>
                <w:rFonts w:hint="eastAsia"/>
                <w:color w:val="auto"/>
                <w:sz w:val="20"/>
                <w:szCs w:val="20"/>
                <w:highlight w:val="none"/>
              </w:rPr>
              <w:t>报告周期</w:t>
            </w:r>
            <w:r>
              <w:rPr>
                <w:color w:val="auto"/>
                <w:sz w:val="20"/>
                <w:szCs w:val="20"/>
                <w:highlight w:val="none"/>
              </w:rPr>
              <w:t>：</w:t>
            </w:r>
            <w:r>
              <w:rPr>
                <w:rFonts w:hint="eastAsia"/>
                <w:color w:val="auto"/>
                <w:sz w:val="20"/>
                <w:szCs w:val="20"/>
                <w:highlight w:val="none"/>
              </w:rPr>
              <w:t>＜24小时</w:t>
            </w:r>
            <w:r>
              <w:rPr>
                <w:color w:val="auto"/>
                <w:sz w:val="20"/>
                <w:szCs w:val="20"/>
                <w:highlight w:val="none"/>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3066B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B688F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74EE246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1C8DA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30</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75EE1F1">
            <w:pPr>
              <w:numPr>
                <w:ilvl w:val="0"/>
                <w:numId w:val="0"/>
              </w:numPr>
              <w:spacing w:line="440" w:lineRule="exact"/>
              <w:ind w:leftChars="0"/>
              <w:rPr>
                <w:rFonts w:hint="eastAsia" w:ascii="宋体" w:hAnsi="宋体" w:eastAsia="宋体" w:cs="宋体"/>
                <w:color w:val="auto"/>
                <w:szCs w:val="21"/>
                <w:highlight w:val="none"/>
              </w:rPr>
            </w:pPr>
            <w:r>
              <w:rPr>
                <w:rFonts w:hint="eastAsia"/>
                <w:color w:val="auto"/>
                <w:sz w:val="20"/>
                <w:szCs w:val="20"/>
                <w:highlight w:val="none"/>
              </w:rPr>
              <w:t>2.6</w:t>
            </w:r>
            <w:r>
              <w:rPr>
                <w:rFonts w:eastAsiaTheme="minorEastAsia"/>
                <w:color w:val="auto"/>
                <w:kern w:val="0"/>
                <w:sz w:val="20"/>
                <w:szCs w:val="20"/>
                <w:highlight w:val="none"/>
              </w:rPr>
              <w:t>.</w:t>
            </w:r>
            <w:r>
              <w:rPr>
                <w:rFonts w:hint="eastAsia"/>
                <w:color w:val="auto"/>
                <w:sz w:val="20"/>
                <w:szCs w:val="20"/>
                <w:highlight w:val="none"/>
              </w:rPr>
              <w:t>报告单内容：样本信息、检测方法、测序质量（总数据量、Q30比例等）、病原体检出结果（序列数、相对丰度、覆盖度等）、耐药/毒力基因结果、结果解读、检测局限性说明。</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95793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D35F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7C50306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86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E7EB18">
            <w:pPr>
              <w:pStyle w:val="23"/>
              <w:numPr>
                <w:ilvl w:val="0"/>
                <w:numId w:val="6"/>
              </w:numPr>
              <w:rPr>
                <w:rFonts w:hint="eastAsia" w:ascii="宋体" w:hAnsi="宋体" w:eastAsia="宋体" w:cs="宋体"/>
                <w:color w:val="auto"/>
                <w:szCs w:val="21"/>
                <w:highlight w:val="none"/>
              </w:rPr>
            </w:pPr>
            <w:r>
              <w:rPr>
                <w:rFonts w:hint="default"/>
                <w:color w:val="auto"/>
                <w:kern w:val="0"/>
                <w:highlight w:val="none"/>
                <w:lang w:bidi="ar"/>
              </w:rPr>
              <w:t>DNA+RNA-病原微生物宏基因组高通量测序</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E083F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195F9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756EB63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67E78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color w:val="auto"/>
                <w:sz w:val="20"/>
                <w:szCs w:val="20"/>
                <w:highlight w:val="none"/>
              </w:rPr>
              <w:t>★</w:t>
            </w:r>
            <w:r>
              <w:rPr>
                <w:rFonts w:hint="eastAsia" w:ascii="仿宋" w:hAnsi="仿宋" w:eastAsia="仿宋" w:cs="仿宋"/>
                <w:color w:val="auto"/>
                <w:sz w:val="24"/>
                <w:lang w:val="en-US" w:eastAsia="zh-CN"/>
              </w:rPr>
              <w:t>31</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F9DBB35">
            <w:pPr>
              <w:numPr>
                <w:ilvl w:val="1"/>
                <w:numId w:val="0"/>
              </w:numPr>
              <w:ind w:left="525" w:hanging="525"/>
              <w:rPr>
                <w:rFonts w:hint="eastAsia" w:ascii="宋体" w:hAnsi="宋体" w:eastAsia="宋体" w:cs="宋体"/>
                <w:color w:val="auto"/>
                <w:szCs w:val="21"/>
                <w:highlight w:val="none"/>
              </w:rPr>
            </w:pPr>
            <w:r>
              <w:rPr>
                <w:rFonts w:hint="eastAsia"/>
                <w:color w:val="auto"/>
                <w:sz w:val="20"/>
                <w:szCs w:val="20"/>
                <w:highlight w:val="none"/>
              </w:rPr>
              <w:t>3.1</w:t>
            </w:r>
            <w:r>
              <w:rPr>
                <w:color w:val="auto"/>
                <w:sz w:val="20"/>
                <w:szCs w:val="20"/>
                <w:highlight w:val="none"/>
              </w:rPr>
              <w:t>.★检测内容：覆盖细菌、真菌、寄生虫、DNA病毒、分枝杆菌、支原体、衣原体、立克次体、螺旋体等DNA类病原微生物</w:t>
            </w:r>
            <w:r>
              <w:rPr>
                <w:rFonts w:hint="eastAsia"/>
                <w:color w:val="auto"/>
                <w:sz w:val="20"/>
                <w:szCs w:val="20"/>
                <w:highlight w:val="none"/>
              </w:rPr>
              <w:t>，以及RNA病毒，病原体种类不少于18000种；</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5FBEB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FD16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005F4F5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AFF3E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32</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C58B396">
            <w:pPr>
              <w:numPr>
                <w:ilvl w:val="1"/>
                <w:numId w:val="0"/>
              </w:numPr>
              <w:ind w:left="525" w:hanging="525"/>
              <w:rPr>
                <w:rFonts w:hint="eastAsia" w:ascii="宋体" w:hAnsi="宋体" w:eastAsia="宋体" w:cs="宋体"/>
                <w:color w:val="auto"/>
                <w:szCs w:val="21"/>
                <w:highlight w:val="none"/>
              </w:rPr>
            </w:pPr>
            <w:r>
              <w:rPr>
                <w:rFonts w:hint="eastAsia"/>
                <w:color w:val="auto"/>
                <w:sz w:val="20"/>
                <w:szCs w:val="20"/>
                <w:highlight w:val="none"/>
              </w:rPr>
              <w:t>3</w:t>
            </w:r>
            <w:r>
              <w:rPr>
                <w:color w:val="auto"/>
                <w:sz w:val="20"/>
                <w:szCs w:val="20"/>
                <w:highlight w:val="none"/>
              </w:rPr>
              <w:t>.2.可同步检测临床常见耐药基因、毒力基因</w:t>
            </w:r>
            <w:r>
              <w:rPr>
                <w:rFonts w:hint="eastAsia"/>
                <w:color w:val="auto"/>
                <w:sz w:val="20"/>
                <w:szCs w:val="20"/>
                <w:highlight w:val="none"/>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1CF16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33F4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1C6BB04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94D5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color w:val="auto"/>
                <w:sz w:val="20"/>
                <w:szCs w:val="20"/>
                <w:highlight w:val="none"/>
                <w:lang w:val="en-GB"/>
              </w:rPr>
              <w:t>▲</w:t>
            </w:r>
            <w:r>
              <w:rPr>
                <w:rFonts w:hint="eastAsia" w:ascii="仿宋" w:hAnsi="仿宋" w:eastAsia="仿宋" w:cs="仿宋"/>
                <w:color w:val="auto"/>
                <w:sz w:val="24"/>
                <w:lang w:val="en-US" w:eastAsia="zh-CN"/>
              </w:rPr>
              <w:t>33</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F1208D7">
            <w:pPr>
              <w:numPr>
                <w:ilvl w:val="1"/>
                <w:numId w:val="0"/>
              </w:numPr>
              <w:ind w:left="525" w:hanging="525"/>
              <w:rPr>
                <w:rFonts w:hint="eastAsia" w:ascii="宋体" w:hAnsi="宋体" w:eastAsia="宋体" w:cs="宋体"/>
                <w:color w:val="auto"/>
                <w:szCs w:val="21"/>
                <w:highlight w:val="none"/>
              </w:rPr>
            </w:pPr>
            <w:r>
              <w:rPr>
                <w:rFonts w:hint="eastAsia"/>
                <w:color w:val="auto"/>
                <w:sz w:val="20"/>
                <w:szCs w:val="20"/>
                <w:highlight w:val="none"/>
              </w:rPr>
              <w:t>3.3.</w:t>
            </w:r>
            <w:r>
              <w:rPr>
                <w:color w:val="auto"/>
                <w:sz w:val="20"/>
                <w:szCs w:val="20"/>
                <w:highlight w:val="none"/>
                <w:lang w:val="en-GB"/>
              </w:rPr>
              <w:t>▲</w:t>
            </w:r>
            <w:r>
              <w:rPr>
                <w:rFonts w:hint="eastAsia"/>
                <w:color w:val="auto"/>
                <w:sz w:val="20"/>
                <w:szCs w:val="20"/>
                <w:highlight w:val="none"/>
              </w:rPr>
              <w:t>药敏表型表型预测准确性&gt;90%</w:t>
            </w:r>
            <w:r>
              <w:rPr>
                <w:color w:val="auto"/>
                <w:sz w:val="20"/>
                <w:szCs w:val="20"/>
                <w:highlight w:val="none"/>
              </w:rPr>
              <w:t>（投标文件中需提供</w:t>
            </w:r>
            <w:r>
              <w:rPr>
                <w:rFonts w:hint="eastAsia"/>
                <w:color w:val="auto"/>
                <w:sz w:val="20"/>
                <w:szCs w:val="20"/>
                <w:highlight w:val="none"/>
              </w:rPr>
              <w:t>佐证材料</w:t>
            </w:r>
            <w:r>
              <w:rPr>
                <w:color w:val="auto"/>
                <w:sz w:val="20"/>
                <w:szCs w:val="20"/>
                <w:highlight w:val="none"/>
              </w:rPr>
              <w:t>，并加盖投标人公章）</w:t>
            </w:r>
            <w:r>
              <w:rPr>
                <w:rFonts w:hint="eastAsia"/>
                <w:color w:val="auto"/>
                <w:sz w:val="20"/>
                <w:szCs w:val="20"/>
                <w:highlight w:val="none"/>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0BB25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76EA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5568473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CABFE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34</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76DC5A0">
            <w:pPr>
              <w:numPr>
                <w:ilvl w:val="1"/>
                <w:numId w:val="0"/>
              </w:numPr>
              <w:ind w:left="525" w:hanging="525"/>
              <w:rPr>
                <w:rFonts w:hint="eastAsia" w:ascii="宋体" w:hAnsi="宋体" w:eastAsia="宋体" w:cs="宋体"/>
                <w:color w:val="auto"/>
                <w:szCs w:val="21"/>
                <w:highlight w:val="none"/>
              </w:rPr>
            </w:pPr>
            <w:r>
              <w:rPr>
                <w:rFonts w:hint="eastAsia"/>
                <w:color w:val="auto"/>
                <w:sz w:val="20"/>
                <w:szCs w:val="20"/>
                <w:highlight w:val="none"/>
              </w:rPr>
              <w:t>3</w:t>
            </w:r>
            <w:r>
              <w:rPr>
                <w:color w:val="auto"/>
                <w:sz w:val="20"/>
                <w:szCs w:val="20"/>
                <w:highlight w:val="none"/>
                <w:lang w:val="en-GB"/>
              </w:rPr>
              <w:t>.</w:t>
            </w:r>
            <w:r>
              <w:rPr>
                <w:rFonts w:hint="eastAsia"/>
                <w:color w:val="auto"/>
                <w:sz w:val="20"/>
                <w:szCs w:val="20"/>
                <w:highlight w:val="none"/>
              </w:rPr>
              <w:t>4</w:t>
            </w:r>
            <w:r>
              <w:rPr>
                <w:color w:val="auto"/>
                <w:sz w:val="20"/>
                <w:szCs w:val="20"/>
                <w:highlight w:val="none"/>
                <w:lang w:val="en-GB"/>
              </w:rPr>
              <w:t>.</w:t>
            </w:r>
            <w:r>
              <w:rPr>
                <w:rFonts w:hint="eastAsia"/>
                <w:color w:val="auto"/>
                <w:sz w:val="20"/>
                <w:szCs w:val="20"/>
                <w:highlight w:val="none"/>
              </w:rPr>
              <w:t>建库方式</w:t>
            </w:r>
            <w:r>
              <w:rPr>
                <w:color w:val="auto"/>
                <w:sz w:val="20"/>
                <w:szCs w:val="20"/>
                <w:highlight w:val="none"/>
              </w:rPr>
              <w:t>：</w:t>
            </w:r>
            <w:r>
              <w:rPr>
                <w:rFonts w:hint="eastAsia"/>
                <w:color w:val="auto"/>
                <w:sz w:val="20"/>
                <w:szCs w:val="20"/>
                <w:highlight w:val="none"/>
              </w:rPr>
              <w:t>DNA和RNA病原分别进行独立建库及测序；</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C4CA8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3053C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05DFC4A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88567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35</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B6D80B6">
            <w:pPr>
              <w:numPr>
                <w:ilvl w:val="1"/>
                <w:numId w:val="0"/>
              </w:numPr>
              <w:ind w:left="525" w:hanging="525"/>
              <w:rPr>
                <w:rFonts w:hint="eastAsia" w:ascii="宋体" w:hAnsi="宋体" w:eastAsia="宋体" w:cs="宋体"/>
                <w:color w:val="auto"/>
                <w:szCs w:val="21"/>
                <w:highlight w:val="none"/>
              </w:rPr>
            </w:pPr>
            <w:r>
              <w:rPr>
                <w:rFonts w:hint="eastAsia"/>
                <w:color w:val="auto"/>
                <w:sz w:val="20"/>
                <w:szCs w:val="20"/>
                <w:highlight w:val="none"/>
              </w:rPr>
              <w:t>3</w:t>
            </w:r>
            <w:r>
              <w:rPr>
                <w:color w:val="auto"/>
                <w:sz w:val="20"/>
                <w:szCs w:val="20"/>
                <w:highlight w:val="none"/>
                <w:lang w:val="en-GB"/>
              </w:rPr>
              <w:t>.</w:t>
            </w:r>
            <w:r>
              <w:rPr>
                <w:rFonts w:hint="eastAsia"/>
                <w:color w:val="auto"/>
                <w:sz w:val="20"/>
                <w:szCs w:val="20"/>
                <w:highlight w:val="none"/>
              </w:rPr>
              <w:t>5</w:t>
            </w:r>
            <w:r>
              <w:rPr>
                <w:color w:val="auto"/>
                <w:sz w:val="20"/>
                <w:szCs w:val="20"/>
                <w:highlight w:val="none"/>
                <w:lang w:val="en-GB"/>
              </w:rPr>
              <w:t>.检测性能：</w:t>
            </w:r>
            <w:r>
              <w:rPr>
                <w:rFonts w:hint="eastAsia"/>
                <w:color w:val="auto"/>
                <w:sz w:val="20"/>
                <w:szCs w:val="20"/>
                <w:highlight w:val="none"/>
              </w:rPr>
              <w:t>测序总</w:t>
            </w:r>
            <w:r>
              <w:rPr>
                <w:color w:val="auto"/>
                <w:sz w:val="20"/>
                <w:szCs w:val="20"/>
                <w:highlight w:val="none"/>
              </w:rPr>
              <w:t>数据量不少于2</w:t>
            </w:r>
            <w:r>
              <w:rPr>
                <w:rFonts w:hint="eastAsia"/>
                <w:color w:val="auto"/>
                <w:sz w:val="20"/>
                <w:szCs w:val="20"/>
                <w:highlight w:val="none"/>
              </w:rPr>
              <w:t>0</w:t>
            </w:r>
            <w:r>
              <w:rPr>
                <w:color w:val="auto"/>
                <w:sz w:val="20"/>
                <w:szCs w:val="20"/>
                <w:highlight w:val="none"/>
              </w:rPr>
              <w:t>M reads；</w:t>
            </w:r>
            <w:r>
              <w:rPr>
                <w:rFonts w:hint="eastAsia" w:ascii="Times New Roman Regular" w:hAnsi="Times New Roman Regular" w:cs="Times New Roman Regular"/>
                <w:color w:val="auto"/>
                <w:highlight w:val="none"/>
              </w:rPr>
              <w:t>测序数据质量Q30≥85%，数据量波动＜35%</w:t>
            </w:r>
            <w:r>
              <w:rPr>
                <w:color w:val="auto"/>
                <w:sz w:val="20"/>
                <w:szCs w:val="20"/>
                <w:highlight w:val="none"/>
                <w:lang w:val="en-GB"/>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C5D82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C064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2FF9BE9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B0C8E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36</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8B1A68B">
            <w:pPr>
              <w:numPr>
                <w:ilvl w:val="1"/>
                <w:numId w:val="0"/>
              </w:numPr>
              <w:ind w:left="525" w:hanging="525"/>
              <w:rPr>
                <w:rFonts w:hint="eastAsia" w:ascii="宋体" w:hAnsi="宋体" w:eastAsia="宋体" w:cs="宋体"/>
                <w:color w:val="auto"/>
                <w:szCs w:val="21"/>
                <w:highlight w:val="none"/>
              </w:rPr>
            </w:pPr>
            <w:r>
              <w:rPr>
                <w:rFonts w:hint="eastAsia"/>
                <w:color w:val="auto"/>
                <w:sz w:val="20"/>
                <w:szCs w:val="20"/>
                <w:highlight w:val="none"/>
              </w:rPr>
              <w:t>3</w:t>
            </w:r>
            <w:r>
              <w:rPr>
                <w:color w:val="auto"/>
                <w:sz w:val="20"/>
                <w:szCs w:val="20"/>
                <w:highlight w:val="none"/>
                <w:lang w:val="en-GB"/>
              </w:rPr>
              <w:t>.</w:t>
            </w:r>
            <w:r>
              <w:rPr>
                <w:rFonts w:hint="eastAsia"/>
                <w:color w:val="auto"/>
                <w:sz w:val="20"/>
                <w:szCs w:val="20"/>
                <w:highlight w:val="none"/>
              </w:rPr>
              <w:t>6</w:t>
            </w:r>
            <w:r>
              <w:rPr>
                <w:color w:val="auto"/>
                <w:sz w:val="20"/>
                <w:szCs w:val="20"/>
                <w:highlight w:val="none"/>
                <w:lang w:val="en-GB"/>
              </w:rPr>
              <w:t>.</w:t>
            </w:r>
            <w:r>
              <w:rPr>
                <w:rFonts w:hint="eastAsia"/>
                <w:color w:val="auto"/>
                <w:sz w:val="20"/>
                <w:szCs w:val="20"/>
                <w:highlight w:val="none"/>
              </w:rPr>
              <w:t>适用样本类型：血液、脑脊液、呼吸道标本（痰液、鼻/咽拭子、肺泡灌洗液、支气管刷刷头等）、尿液、拭子、其他无菌体液标本（胸腔积液、腹腔积液、眼内液、房水、关节液及穿刺液等）、新鲜组织及石蜡组织等样本；</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B59F1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D9A93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24AA212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04270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color w:val="auto"/>
                <w:sz w:val="20"/>
                <w:szCs w:val="20"/>
                <w:highlight w:val="none"/>
                <w:lang w:val="en-GB"/>
              </w:rPr>
              <w:t>▲</w:t>
            </w:r>
            <w:r>
              <w:rPr>
                <w:rFonts w:hint="eastAsia" w:ascii="仿宋" w:hAnsi="仿宋" w:eastAsia="仿宋" w:cs="仿宋"/>
                <w:color w:val="auto"/>
                <w:sz w:val="24"/>
                <w:lang w:val="en-US" w:eastAsia="zh-CN"/>
              </w:rPr>
              <w:t>37</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9B7C272">
            <w:pPr>
              <w:numPr>
                <w:ilvl w:val="1"/>
                <w:numId w:val="0"/>
              </w:numPr>
              <w:ind w:left="525" w:hanging="525"/>
              <w:rPr>
                <w:rFonts w:hint="eastAsia" w:ascii="宋体" w:hAnsi="宋体" w:eastAsia="宋体" w:cs="宋体"/>
                <w:color w:val="auto"/>
                <w:szCs w:val="21"/>
                <w:highlight w:val="none"/>
              </w:rPr>
            </w:pPr>
            <w:r>
              <w:rPr>
                <w:rFonts w:hint="eastAsia"/>
                <w:color w:val="auto"/>
                <w:sz w:val="20"/>
                <w:szCs w:val="20"/>
                <w:highlight w:val="none"/>
              </w:rPr>
              <w:t>3.7.</w:t>
            </w:r>
            <w:r>
              <w:rPr>
                <w:color w:val="auto"/>
                <w:sz w:val="20"/>
                <w:szCs w:val="20"/>
                <w:highlight w:val="none"/>
                <w:lang w:val="en-GB"/>
              </w:rPr>
              <w:t>▲</w:t>
            </w:r>
            <w:r>
              <w:rPr>
                <w:rFonts w:hint="eastAsia"/>
                <w:color w:val="auto"/>
                <w:sz w:val="20"/>
                <w:szCs w:val="20"/>
                <w:highlight w:val="none"/>
              </w:rPr>
              <w:t>在核酸提取前，提供可定量判断临床样本人源宿主含量的质控方法，依据鉴定结果选择是否去宿主</w:t>
            </w:r>
            <w:r>
              <w:rPr>
                <w:color w:val="auto"/>
                <w:sz w:val="20"/>
                <w:szCs w:val="20"/>
                <w:highlight w:val="none"/>
              </w:rPr>
              <w:t>（投标文件中需提供</w:t>
            </w:r>
            <w:r>
              <w:rPr>
                <w:rFonts w:hint="eastAsia"/>
                <w:color w:val="auto"/>
                <w:sz w:val="20"/>
                <w:szCs w:val="20"/>
                <w:highlight w:val="none"/>
              </w:rPr>
              <w:t>佐证材料</w:t>
            </w:r>
            <w:r>
              <w:rPr>
                <w:color w:val="auto"/>
                <w:sz w:val="20"/>
                <w:szCs w:val="20"/>
                <w:highlight w:val="none"/>
              </w:rPr>
              <w:t>，并加盖投标人公章）</w:t>
            </w:r>
            <w:r>
              <w:rPr>
                <w:rFonts w:hint="eastAsia"/>
                <w:color w:val="auto"/>
                <w:sz w:val="20"/>
                <w:szCs w:val="20"/>
                <w:highlight w:val="none"/>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1FAA4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293EC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23F6D40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2567C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color w:val="auto"/>
                <w:sz w:val="20"/>
                <w:szCs w:val="20"/>
                <w:highlight w:val="none"/>
                <w:lang w:val="en-GB"/>
              </w:rPr>
              <w:t>▲</w:t>
            </w:r>
            <w:r>
              <w:rPr>
                <w:rFonts w:hint="eastAsia" w:ascii="仿宋" w:hAnsi="仿宋" w:eastAsia="仿宋" w:cs="仿宋"/>
                <w:color w:val="auto"/>
                <w:sz w:val="24"/>
                <w:lang w:val="en-US" w:eastAsia="zh-CN"/>
              </w:rPr>
              <w:t>38</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6D5EE09">
            <w:pPr>
              <w:numPr>
                <w:ilvl w:val="1"/>
                <w:numId w:val="0"/>
              </w:numPr>
              <w:ind w:left="525" w:hanging="525"/>
              <w:rPr>
                <w:rFonts w:hint="eastAsia" w:ascii="宋体" w:hAnsi="宋体" w:eastAsia="宋体" w:cs="宋体"/>
                <w:color w:val="auto"/>
                <w:szCs w:val="21"/>
                <w:highlight w:val="none"/>
              </w:rPr>
            </w:pPr>
            <w:r>
              <w:rPr>
                <w:rFonts w:hint="eastAsia"/>
                <w:color w:val="auto"/>
                <w:sz w:val="20"/>
                <w:szCs w:val="20"/>
                <w:highlight w:val="none"/>
              </w:rPr>
              <w:t>3.8.</w:t>
            </w:r>
            <w:r>
              <w:rPr>
                <w:color w:val="auto"/>
                <w:sz w:val="20"/>
                <w:szCs w:val="20"/>
                <w:highlight w:val="none"/>
                <w:lang w:val="en-GB"/>
              </w:rPr>
              <w:t>▲</w:t>
            </w:r>
            <w:r>
              <w:rPr>
                <w:rFonts w:hint="eastAsia"/>
                <w:color w:val="auto"/>
                <w:sz w:val="20"/>
                <w:szCs w:val="20"/>
                <w:highlight w:val="none"/>
              </w:rPr>
              <w:t>针对新鲜组织样本应具有去宿主技术，以达到人员序列占比低于85%，提高去宿主的效果；</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13391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D2220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74FA2AD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A71B0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cs="仿宋" w:eastAsiaTheme="minorEastAsia"/>
                <w:color w:val="auto"/>
                <w:sz w:val="24"/>
                <w:lang w:val="en-US" w:eastAsia="zh-CN"/>
              </w:rPr>
            </w:pPr>
            <w:r>
              <w:rPr>
                <w:color w:val="auto"/>
                <w:sz w:val="20"/>
                <w:szCs w:val="20"/>
                <w:highlight w:val="none"/>
              </w:rPr>
              <w:t>★</w:t>
            </w:r>
            <w:r>
              <w:rPr>
                <w:rFonts w:hint="eastAsia"/>
                <w:color w:val="auto"/>
                <w:sz w:val="20"/>
                <w:szCs w:val="20"/>
                <w:highlight w:val="none"/>
                <w:lang w:val="en-US" w:eastAsia="zh-CN"/>
              </w:rPr>
              <w:t>39</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4A22779">
            <w:pPr>
              <w:numPr>
                <w:ilvl w:val="1"/>
                <w:numId w:val="0"/>
              </w:numPr>
              <w:ind w:left="525" w:hanging="525"/>
              <w:rPr>
                <w:rFonts w:hint="eastAsia" w:ascii="宋体" w:hAnsi="宋体" w:eastAsia="宋体" w:cs="宋体"/>
                <w:color w:val="auto"/>
                <w:szCs w:val="21"/>
                <w:highlight w:val="none"/>
              </w:rPr>
            </w:pPr>
            <w:r>
              <w:rPr>
                <w:rFonts w:hint="eastAsia"/>
                <w:color w:val="auto"/>
                <w:sz w:val="20"/>
                <w:szCs w:val="20"/>
                <w:highlight w:val="none"/>
              </w:rPr>
              <w:t>3</w:t>
            </w:r>
            <w:r>
              <w:rPr>
                <w:color w:val="auto"/>
                <w:sz w:val="20"/>
                <w:szCs w:val="20"/>
                <w:highlight w:val="none"/>
              </w:rPr>
              <w:t>.</w:t>
            </w:r>
            <w:r>
              <w:rPr>
                <w:rFonts w:hint="eastAsia"/>
                <w:color w:val="auto"/>
                <w:sz w:val="20"/>
                <w:szCs w:val="20"/>
                <w:highlight w:val="none"/>
              </w:rPr>
              <w:t>9</w:t>
            </w:r>
            <w:r>
              <w:rPr>
                <w:color w:val="auto"/>
                <w:sz w:val="20"/>
                <w:szCs w:val="20"/>
                <w:highlight w:val="none"/>
              </w:rPr>
              <w:t>.★</w:t>
            </w:r>
            <w:r>
              <w:rPr>
                <w:rFonts w:hint="eastAsia"/>
                <w:color w:val="auto"/>
                <w:sz w:val="20"/>
                <w:szCs w:val="20"/>
                <w:highlight w:val="none"/>
              </w:rPr>
              <w:t>报告周期</w:t>
            </w:r>
            <w:r>
              <w:rPr>
                <w:color w:val="auto"/>
                <w:sz w:val="20"/>
                <w:szCs w:val="20"/>
                <w:highlight w:val="none"/>
              </w:rPr>
              <w:t>：</w:t>
            </w:r>
            <w:r>
              <w:rPr>
                <w:rFonts w:hint="eastAsia"/>
                <w:color w:val="auto"/>
                <w:sz w:val="20"/>
                <w:szCs w:val="20"/>
                <w:highlight w:val="none"/>
              </w:rPr>
              <w:t>＜24小时</w:t>
            </w:r>
            <w:r>
              <w:rPr>
                <w:color w:val="auto"/>
                <w:sz w:val="20"/>
                <w:szCs w:val="20"/>
                <w:highlight w:val="none"/>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18468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EF5F3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1F69809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51326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40</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1B8444A">
            <w:pPr>
              <w:numPr>
                <w:ilvl w:val="1"/>
                <w:numId w:val="0"/>
              </w:numPr>
              <w:ind w:left="525" w:hanging="525"/>
              <w:rPr>
                <w:rFonts w:hint="eastAsia" w:ascii="宋体" w:hAnsi="宋体" w:eastAsia="宋体" w:cs="宋体"/>
                <w:color w:val="auto"/>
                <w:szCs w:val="21"/>
                <w:highlight w:val="none"/>
              </w:rPr>
            </w:pPr>
            <w:r>
              <w:rPr>
                <w:rFonts w:hint="eastAsia" w:eastAsiaTheme="minorEastAsia"/>
                <w:color w:val="auto"/>
                <w:kern w:val="0"/>
                <w:sz w:val="20"/>
                <w:szCs w:val="20"/>
                <w:highlight w:val="none"/>
              </w:rPr>
              <w:t>3</w:t>
            </w:r>
            <w:r>
              <w:rPr>
                <w:rFonts w:eastAsiaTheme="minorEastAsia"/>
                <w:color w:val="auto"/>
                <w:kern w:val="0"/>
                <w:sz w:val="20"/>
                <w:szCs w:val="20"/>
                <w:highlight w:val="none"/>
              </w:rPr>
              <w:t>.</w:t>
            </w:r>
            <w:r>
              <w:rPr>
                <w:rFonts w:hint="eastAsia" w:eastAsiaTheme="minorEastAsia"/>
                <w:color w:val="auto"/>
                <w:kern w:val="0"/>
                <w:sz w:val="20"/>
                <w:szCs w:val="20"/>
                <w:highlight w:val="none"/>
              </w:rPr>
              <w:t>10</w:t>
            </w:r>
            <w:r>
              <w:rPr>
                <w:rFonts w:eastAsiaTheme="minorEastAsia"/>
                <w:color w:val="auto"/>
                <w:kern w:val="0"/>
                <w:sz w:val="20"/>
                <w:szCs w:val="20"/>
                <w:highlight w:val="none"/>
              </w:rPr>
              <w:t>.</w:t>
            </w:r>
            <w:r>
              <w:rPr>
                <w:rFonts w:hint="eastAsia"/>
                <w:color w:val="auto"/>
                <w:sz w:val="20"/>
                <w:szCs w:val="20"/>
                <w:highlight w:val="none"/>
              </w:rPr>
              <w:t>报告单内容：至少包含，但不限于以下内容：样本信息、检测方法、测序质量（总数据量、Q30比例等）、病原体检出结果（序列数、相对丰度、覆盖度等）、耐药/毒力基因结果、结果解读、检测局限性说明等。</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B98A8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D0B3D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5C9CB90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53D43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default"/>
                <w:color w:val="auto"/>
                <w:sz w:val="20"/>
                <w:szCs w:val="20"/>
                <w:highlight w:val="none"/>
                <w:lang w:val="en-GB"/>
              </w:rPr>
              <w:t>▲</w:t>
            </w:r>
            <w:r>
              <w:rPr>
                <w:rFonts w:hint="eastAsia" w:ascii="仿宋" w:hAnsi="仿宋" w:eastAsia="仿宋" w:cs="仿宋"/>
                <w:color w:val="auto"/>
                <w:sz w:val="24"/>
                <w:lang w:val="en-US" w:eastAsia="zh-CN"/>
              </w:rPr>
              <w:t>41</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8AFF5DF">
            <w:pPr>
              <w:numPr>
                <w:ilvl w:val="0"/>
                <w:numId w:val="0"/>
              </w:numPr>
              <w:spacing w:line="440" w:lineRule="exact"/>
              <w:ind w:leftChars="0"/>
              <w:rPr>
                <w:rFonts w:hint="eastAsia" w:ascii="宋体" w:hAnsi="宋体" w:eastAsia="宋体" w:cs="宋体"/>
                <w:color w:val="auto"/>
                <w:szCs w:val="21"/>
                <w:highlight w:val="none"/>
              </w:rPr>
            </w:pPr>
            <w:r>
              <w:rPr>
                <w:color w:val="auto"/>
                <w:sz w:val="20"/>
                <w:szCs w:val="20"/>
                <w:highlight w:val="none"/>
              </w:rPr>
              <w:t>3.11.</w:t>
            </w:r>
            <w:r>
              <w:rPr>
                <w:rFonts w:hint="default"/>
                <w:color w:val="auto"/>
                <w:sz w:val="20"/>
                <w:szCs w:val="20"/>
                <w:highlight w:val="none"/>
                <w:lang w:val="en-GB"/>
              </w:rPr>
              <w:t>▲</w:t>
            </w:r>
            <w:r>
              <w:rPr>
                <w:color w:val="auto"/>
                <w:sz w:val="20"/>
                <w:szCs w:val="20"/>
                <w:highlight w:val="none"/>
              </w:rPr>
              <w:t>病原微生物测序数据分析软件具有二类注册证，且病原种类＞500种，包含</w:t>
            </w:r>
            <w:r>
              <w:rPr>
                <w:rFonts w:hint="default"/>
                <w:color w:val="auto"/>
                <w:sz w:val="20"/>
                <w:szCs w:val="20"/>
                <w:highlight w:val="none"/>
              </w:rPr>
              <w:t>细菌、真菌、寄生虫</w:t>
            </w:r>
            <w:r>
              <w:rPr>
                <w:color w:val="auto"/>
                <w:sz w:val="20"/>
                <w:szCs w:val="20"/>
                <w:highlight w:val="none"/>
              </w:rPr>
              <w:t>、病毒</w:t>
            </w:r>
            <w:r>
              <w:rPr>
                <w:rFonts w:hint="default"/>
                <w:color w:val="auto"/>
                <w:sz w:val="20"/>
                <w:szCs w:val="20"/>
                <w:highlight w:val="none"/>
              </w:rPr>
              <w:t>等</w:t>
            </w:r>
            <w:r>
              <w:rPr>
                <w:color w:val="auto"/>
                <w:sz w:val="20"/>
                <w:szCs w:val="20"/>
                <w:highlight w:val="none"/>
              </w:rPr>
              <w:t>，同时注册证内容包含耐药基因、毒力基因等模版。</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5CB68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F32C3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7F674BE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86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3A723B">
            <w:pPr>
              <w:pStyle w:val="23"/>
              <w:rPr>
                <w:rFonts w:hint="eastAsia" w:ascii="宋体" w:hAnsi="宋体" w:eastAsia="宋体" w:cs="宋体"/>
                <w:color w:val="auto"/>
                <w:szCs w:val="21"/>
                <w:highlight w:val="none"/>
              </w:rPr>
            </w:pPr>
            <w:r>
              <w:rPr>
                <w:rFonts w:hint="default"/>
                <w:color w:val="auto"/>
                <w:sz w:val="20"/>
                <w:szCs w:val="20"/>
                <w:highlight w:val="none"/>
              </w:rPr>
              <w:t>4、</w:t>
            </w:r>
            <w:r>
              <w:rPr>
                <w:rFonts w:hint="default"/>
                <w:color w:val="auto"/>
                <w:kern w:val="0"/>
                <w:highlight w:val="none"/>
                <w:lang w:bidi="ar"/>
              </w:rPr>
              <w:t>DNA+RNA-病原微生物核酸高通量测序</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D5E3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BB6EE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6C8FE69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2135D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color w:val="auto"/>
                <w:sz w:val="20"/>
                <w:szCs w:val="20"/>
                <w:highlight w:val="none"/>
              </w:rPr>
              <w:t>★</w:t>
            </w:r>
            <w:r>
              <w:rPr>
                <w:rFonts w:hint="eastAsia" w:ascii="仿宋" w:hAnsi="仿宋" w:eastAsia="仿宋" w:cs="仿宋"/>
                <w:color w:val="auto"/>
                <w:sz w:val="24"/>
                <w:lang w:val="en-US" w:eastAsia="zh-CN"/>
              </w:rPr>
              <w:t>42</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17072DF">
            <w:pPr>
              <w:numPr>
                <w:ilvl w:val="1"/>
                <w:numId w:val="0"/>
              </w:numPr>
              <w:ind w:left="525" w:hanging="525"/>
              <w:rPr>
                <w:rFonts w:hint="eastAsia" w:ascii="宋体" w:hAnsi="宋体" w:eastAsia="宋体" w:cs="宋体"/>
                <w:color w:val="auto"/>
                <w:szCs w:val="21"/>
                <w:highlight w:val="none"/>
              </w:rPr>
            </w:pPr>
            <w:r>
              <w:rPr>
                <w:rFonts w:hint="eastAsia"/>
                <w:color w:val="auto"/>
                <w:sz w:val="20"/>
                <w:szCs w:val="20"/>
                <w:highlight w:val="none"/>
              </w:rPr>
              <w:t>4.1</w:t>
            </w:r>
            <w:r>
              <w:rPr>
                <w:color w:val="auto"/>
                <w:sz w:val="20"/>
                <w:szCs w:val="20"/>
                <w:highlight w:val="none"/>
              </w:rPr>
              <w:t>.★检测内容：</w:t>
            </w:r>
            <w:r>
              <w:rPr>
                <w:rFonts w:hint="eastAsia"/>
                <w:color w:val="auto"/>
                <w:sz w:val="20"/>
                <w:szCs w:val="20"/>
                <w:highlight w:val="none"/>
              </w:rPr>
              <w:t>同时覆盖DNA类病原和RNA类病原≥2000项，包含细菌、真菌、寄生虫、DNA病毒、RNA病毒等全类别病原体；</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C7217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BCDA4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43E32FE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94257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color w:val="auto"/>
                <w:sz w:val="20"/>
                <w:szCs w:val="20"/>
                <w:highlight w:val="none"/>
                <w:lang w:val="en-GB"/>
              </w:rPr>
              <w:t>▲</w:t>
            </w:r>
            <w:r>
              <w:rPr>
                <w:rFonts w:hint="eastAsia" w:ascii="仿宋" w:hAnsi="仿宋" w:eastAsia="仿宋" w:cs="仿宋"/>
                <w:color w:val="auto"/>
                <w:sz w:val="24"/>
                <w:lang w:val="en-US" w:eastAsia="zh-CN"/>
              </w:rPr>
              <w:t>43</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32AA7DC">
            <w:pPr>
              <w:numPr>
                <w:ilvl w:val="1"/>
                <w:numId w:val="0"/>
              </w:numPr>
              <w:ind w:left="525" w:hanging="525"/>
              <w:rPr>
                <w:rFonts w:hint="eastAsia" w:ascii="宋体" w:hAnsi="宋体" w:eastAsia="宋体" w:cs="宋体"/>
                <w:color w:val="auto"/>
                <w:szCs w:val="21"/>
                <w:highlight w:val="none"/>
              </w:rPr>
            </w:pPr>
            <w:r>
              <w:rPr>
                <w:rFonts w:hint="eastAsia"/>
                <w:color w:val="auto"/>
                <w:sz w:val="20"/>
                <w:szCs w:val="20"/>
                <w:highlight w:val="none"/>
              </w:rPr>
              <w:t>4</w:t>
            </w:r>
            <w:r>
              <w:rPr>
                <w:color w:val="auto"/>
                <w:sz w:val="20"/>
                <w:szCs w:val="20"/>
                <w:highlight w:val="none"/>
              </w:rPr>
              <w:t>.2.</w:t>
            </w:r>
            <w:r>
              <w:rPr>
                <w:color w:val="auto"/>
                <w:sz w:val="20"/>
                <w:szCs w:val="20"/>
                <w:highlight w:val="none"/>
                <w:lang w:val="en-GB"/>
              </w:rPr>
              <w:t>▲</w:t>
            </w:r>
            <w:r>
              <w:rPr>
                <w:rFonts w:hint="eastAsia"/>
                <w:color w:val="auto"/>
                <w:sz w:val="20"/>
                <w:szCs w:val="20"/>
                <w:highlight w:val="none"/>
              </w:rPr>
              <w:t>同步检测靶标对应的耐药基因、毒力基因，覆盖细菌、结核、真菌耐药位点；</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700A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84AFE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312CF5E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94257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color w:val="auto"/>
                <w:sz w:val="20"/>
                <w:szCs w:val="20"/>
                <w:highlight w:val="none"/>
                <w:lang w:val="en-GB"/>
              </w:rPr>
              <w:t>▲</w:t>
            </w:r>
            <w:r>
              <w:rPr>
                <w:rFonts w:hint="eastAsia" w:ascii="仿宋" w:hAnsi="仿宋" w:eastAsia="仿宋" w:cs="仿宋"/>
                <w:color w:val="auto"/>
                <w:sz w:val="24"/>
                <w:lang w:val="en-US" w:eastAsia="zh-CN"/>
              </w:rPr>
              <w:t>44</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3C9C423">
            <w:pPr>
              <w:numPr>
                <w:ilvl w:val="1"/>
                <w:numId w:val="0"/>
              </w:numPr>
              <w:ind w:left="525" w:hanging="525"/>
              <w:rPr>
                <w:rFonts w:hint="eastAsia" w:ascii="宋体" w:hAnsi="宋体" w:eastAsia="宋体" w:cs="宋体"/>
                <w:color w:val="auto"/>
                <w:szCs w:val="21"/>
                <w:highlight w:val="none"/>
              </w:rPr>
            </w:pPr>
            <w:r>
              <w:rPr>
                <w:rFonts w:hint="eastAsia"/>
                <w:color w:val="auto"/>
                <w:sz w:val="20"/>
                <w:szCs w:val="20"/>
                <w:highlight w:val="none"/>
              </w:rPr>
              <w:t>4</w:t>
            </w:r>
            <w:r>
              <w:rPr>
                <w:color w:val="auto"/>
                <w:sz w:val="20"/>
                <w:szCs w:val="20"/>
                <w:highlight w:val="none"/>
                <w:lang w:val="en-GB"/>
              </w:rPr>
              <w:t>.</w:t>
            </w:r>
            <w:r>
              <w:rPr>
                <w:rFonts w:hint="eastAsia"/>
                <w:color w:val="auto"/>
                <w:sz w:val="20"/>
                <w:szCs w:val="20"/>
                <w:highlight w:val="none"/>
              </w:rPr>
              <w:t>3</w:t>
            </w:r>
            <w:r>
              <w:rPr>
                <w:color w:val="auto"/>
                <w:sz w:val="20"/>
                <w:szCs w:val="20"/>
                <w:highlight w:val="none"/>
                <w:lang w:val="en-GB"/>
              </w:rPr>
              <w:t>.▲检测性能：</w:t>
            </w:r>
            <w:r>
              <w:rPr>
                <w:rFonts w:hint="eastAsia"/>
                <w:color w:val="auto"/>
                <w:sz w:val="20"/>
                <w:szCs w:val="20"/>
                <w:highlight w:val="none"/>
              </w:rPr>
              <w:t>目标病原测序深度满足检出要求，特异性≥95%</w:t>
            </w:r>
            <w:r>
              <w:rPr>
                <w:color w:val="auto"/>
                <w:sz w:val="20"/>
                <w:szCs w:val="20"/>
                <w:highlight w:val="none"/>
                <w:lang w:val="en-GB"/>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37751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27779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53A1C99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16816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45</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05BCD0E">
            <w:pPr>
              <w:numPr>
                <w:ilvl w:val="1"/>
                <w:numId w:val="0"/>
              </w:numPr>
              <w:ind w:left="525" w:hanging="525"/>
              <w:rPr>
                <w:rFonts w:hint="eastAsia" w:ascii="宋体" w:hAnsi="宋体" w:eastAsia="宋体" w:cs="宋体"/>
                <w:color w:val="auto"/>
                <w:szCs w:val="21"/>
                <w:highlight w:val="none"/>
              </w:rPr>
            </w:pPr>
            <w:r>
              <w:rPr>
                <w:rFonts w:hint="eastAsia"/>
                <w:color w:val="auto"/>
                <w:sz w:val="20"/>
                <w:szCs w:val="20"/>
                <w:highlight w:val="none"/>
              </w:rPr>
              <w:t>4</w:t>
            </w:r>
            <w:r>
              <w:rPr>
                <w:color w:val="auto"/>
                <w:sz w:val="20"/>
                <w:szCs w:val="20"/>
                <w:highlight w:val="none"/>
                <w:lang w:val="en-GB"/>
              </w:rPr>
              <w:t>.5.</w:t>
            </w:r>
            <w:r>
              <w:rPr>
                <w:rFonts w:hint="eastAsia"/>
                <w:color w:val="auto"/>
                <w:sz w:val="20"/>
                <w:szCs w:val="20"/>
                <w:highlight w:val="none"/>
              </w:rPr>
              <w:t>适用样本类型：血液、脑脊液、呼吸道标本（痰液、鼻/咽拭子、肺泡灌洗液、支气管刷刷头等）、尿液、拭子、其他无菌体液标本（胸腔积液、腹腔积液、眼内液、房水、关节液及穿刺液等）、新鲜组织及石蜡组织等样本；</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CDCF5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AF986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704AD07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815AB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color w:val="auto"/>
                <w:sz w:val="20"/>
                <w:szCs w:val="20"/>
                <w:highlight w:val="none"/>
                <w:lang w:val="en-GB"/>
              </w:rPr>
              <w:t>▲</w:t>
            </w:r>
            <w:r>
              <w:rPr>
                <w:rFonts w:hint="eastAsia" w:ascii="仿宋" w:hAnsi="仿宋" w:eastAsia="仿宋" w:cs="仿宋"/>
                <w:color w:val="auto"/>
                <w:sz w:val="24"/>
                <w:lang w:val="en-US" w:eastAsia="zh-CN"/>
              </w:rPr>
              <w:t>46</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C9889D1">
            <w:pPr>
              <w:numPr>
                <w:ilvl w:val="1"/>
                <w:numId w:val="0"/>
              </w:numPr>
              <w:rPr>
                <w:rFonts w:hint="eastAsia" w:ascii="宋体" w:hAnsi="宋体" w:eastAsia="宋体" w:cs="宋体"/>
                <w:color w:val="auto"/>
                <w:szCs w:val="21"/>
                <w:highlight w:val="none"/>
              </w:rPr>
            </w:pPr>
            <w:r>
              <w:rPr>
                <w:rFonts w:hint="eastAsia"/>
                <w:color w:val="auto"/>
                <w:sz w:val="20"/>
                <w:szCs w:val="20"/>
                <w:highlight w:val="none"/>
              </w:rPr>
              <w:t>4.6.</w:t>
            </w:r>
            <w:r>
              <w:rPr>
                <w:color w:val="auto"/>
                <w:sz w:val="20"/>
                <w:szCs w:val="20"/>
                <w:highlight w:val="none"/>
                <w:lang w:val="en-GB"/>
              </w:rPr>
              <w:t>▲</w:t>
            </w:r>
            <w:r>
              <w:rPr>
                <w:rFonts w:hint="eastAsia"/>
                <w:color w:val="auto"/>
                <w:sz w:val="20"/>
                <w:szCs w:val="20"/>
                <w:highlight w:val="none"/>
              </w:rPr>
              <w:t>血液、脑脊液等无菌体液样本，目标病原体的富集倍数需≥100倍，检测限低至10copies/ml，确保低浓度病原的有效检出；</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4276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EF53F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1C11F82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6ADCF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color w:val="auto"/>
                <w:sz w:val="20"/>
                <w:szCs w:val="20"/>
                <w:highlight w:val="none"/>
              </w:rPr>
              <w:t>★</w:t>
            </w:r>
            <w:r>
              <w:rPr>
                <w:rFonts w:hint="eastAsia" w:ascii="仿宋" w:hAnsi="仿宋" w:eastAsia="仿宋" w:cs="仿宋"/>
                <w:color w:val="auto"/>
                <w:sz w:val="24"/>
                <w:lang w:val="en-US" w:eastAsia="zh-CN"/>
              </w:rPr>
              <w:t>47</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0873C55">
            <w:pPr>
              <w:numPr>
                <w:ilvl w:val="1"/>
                <w:numId w:val="0"/>
              </w:numPr>
              <w:ind w:left="525" w:hanging="525"/>
              <w:rPr>
                <w:rFonts w:hint="eastAsia" w:ascii="宋体" w:hAnsi="宋体" w:eastAsia="宋体" w:cs="宋体"/>
                <w:color w:val="auto"/>
                <w:szCs w:val="21"/>
                <w:highlight w:val="none"/>
              </w:rPr>
            </w:pPr>
            <w:r>
              <w:rPr>
                <w:rFonts w:hint="eastAsia"/>
                <w:color w:val="auto"/>
                <w:sz w:val="20"/>
                <w:szCs w:val="20"/>
                <w:highlight w:val="none"/>
              </w:rPr>
              <w:t>4</w:t>
            </w:r>
            <w:r>
              <w:rPr>
                <w:color w:val="auto"/>
                <w:sz w:val="20"/>
                <w:szCs w:val="20"/>
                <w:highlight w:val="none"/>
              </w:rPr>
              <w:t>.</w:t>
            </w:r>
            <w:r>
              <w:rPr>
                <w:rFonts w:hint="eastAsia"/>
                <w:color w:val="auto"/>
                <w:sz w:val="20"/>
                <w:szCs w:val="20"/>
                <w:highlight w:val="none"/>
              </w:rPr>
              <w:t>7</w:t>
            </w:r>
            <w:r>
              <w:rPr>
                <w:color w:val="auto"/>
                <w:sz w:val="20"/>
                <w:szCs w:val="20"/>
                <w:highlight w:val="none"/>
              </w:rPr>
              <w:t>.★</w:t>
            </w:r>
            <w:r>
              <w:rPr>
                <w:rFonts w:hint="eastAsia"/>
                <w:color w:val="auto"/>
                <w:sz w:val="20"/>
                <w:szCs w:val="20"/>
                <w:highlight w:val="none"/>
              </w:rPr>
              <w:t>报告周期</w:t>
            </w:r>
            <w:r>
              <w:rPr>
                <w:color w:val="auto"/>
                <w:sz w:val="20"/>
                <w:szCs w:val="20"/>
                <w:highlight w:val="none"/>
              </w:rPr>
              <w:t>：</w:t>
            </w:r>
            <w:r>
              <w:rPr>
                <w:rFonts w:hint="eastAsia"/>
                <w:color w:val="auto"/>
                <w:sz w:val="20"/>
                <w:szCs w:val="20"/>
                <w:highlight w:val="none"/>
              </w:rPr>
              <w:t>＜24小时</w:t>
            </w:r>
            <w:r>
              <w:rPr>
                <w:color w:val="auto"/>
                <w:sz w:val="20"/>
                <w:szCs w:val="20"/>
                <w:highlight w:val="none"/>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675EA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2071E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13F203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85B29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48</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7F4D99C">
            <w:pPr>
              <w:numPr>
                <w:ilvl w:val="0"/>
                <w:numId w:val="0"/>
              </w:numPr>
              <w:spacing w:line="440" w:lineRule="exact"/>
              <w:ind w:leftChars="0"/>
              <w:rPr>
                <w:rFonts w:hint="eastAsia" w:ascii="宋体" w:hAnsi="宋体" w:eastAsia="宋体" w:cs="宋体"/>
                <w:color w:val="auto"/>
                <w:szCs w:val="21"/>
                <w:highlight w:val="none"/>
              </w:rPr>
            </w:pPr>
            <w:r>
              <w:rPr>
                <w:rFonts w:hint="eastAsia" w:eastAsiaTheme="minorEastAsia"/>
                <w:color w:val="auto"/>
                <w:kern w:val="0"/>
                <w:sz w:val="20"/>
                <w:szCs w:val="20"/>
                <w:highlight w:val="none"/>
              </w:rPr>
              <w:t>4</w:t>
            </w:r>
            <w:r>
              <w:rPr>
                <w:rFonts w:eastAsiaTheme="minorEastAsia"/>
                <w:color w:val="auto"/>
                <w:kern w:val="0"/>
                <w:sz w:val="20"/>
                <w:szCs w:val="20"/>
                <w:highlight w:val="none"/>
              </w:rPr>
              <w:t>.</w:t>
            </w:r>
            <w:r>
              <w:rPr>
                <w:rFonts w:hint="eastAsia" w:eastAsiaTheme="minorEastAsia"/>
                <w:color w:val="auto"/>
                <w:kern w:val="0"/>
                <w:sz w:val="20"/>
                <w:szCs w:val="20"/>
                <w:highlight w:val="none"/>
              </w:rPr>
              <w:t>8</w:t>
            </w:r>
            <w:r>
              <w:rPr>
                <w:rFonts w:eastAsiaTheme="minorEastAsia"/>
                <w:color w:val="auto"/>
                <w:kern w:val="0"/>
                <w:sz w:val="20"/>
                <w:szCs w:val="20"/>
                <w:highlight w:val="none"/>
              </w:rPr>
              <w:t>.</w:t>
            </w:r>
            <w:r>
              <w:rPr>
                <w:rFonts w:hint="eastAsia"/>
                <w:bCs/>
                <w:color w:val="auto"/>
                <w:sz w:val="20"/>
                <w:szCs w:val="20"/>
                <w:highlight w:val="none"/>
              </w:rPr>
              <w:t>报告单内容：样本信息、检测方法、测序质量（总数据量、Q30比例等）、病原体检出结果（序列数、相对丰度、覆盖度等）、耐药/毒力基因结果、结果解读、检测局限性说明。</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F6A1F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CA845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6C95236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86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55F0E1">
            <w:pPr>
              <w:pStyle w:val="23"/>
              <w:rPr>
                <w:rFonts w:hint="eastAsia" w:ascii="宋体" w:hAnsi="宋体" w:eastAsia="宋体" w:cs="宋体"/>
                <w:color w:val="auto"/>
                <w:szCs w:val="21"/>
                <w:highlight w:val="none"/>
              </w:rPr>
            </w:pPr>
            <w:r>
              <w:rPr>
                <w:rFonts w:hint="default"/>
                <w:color w:val="auto"/>
                <w:sz w:val="20"/>
                <w:szCs w:val="20"/>
                <w:highlight w:val="none"/>
              </w:rPr>
              <w:t>5、</w:t>
            </w:r>
            <w:r>
              <w:rPr>
                <w:rFonts w:hint="default"/>
                <w:color w:val="auto"/>
                <w:kern w:val="0"/>
                <w:highlight w:val="none"/>
                <w:lang w:bidi="ar"/>
              </w:rPr>
              <w:t>病原微生物靶向高通量测序</w:t>
            </w:r>
            <w:r>
              <w:rPr>
                <w:color w:val="auto"/>
                <w:kern w:val="0"/>
                <w:highlight w:val="none"/>
                <w:lang w:bidi="ar"/>
              </w:rPr>
              <w:t>（泛感染）</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FE1A7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8EEB0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24BD527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81D77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default"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lang w:val="en-US" w:eastAsia="zh-CN"/>
              </w:rPr>
              <w:t>49</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E2667BD">
            <w:pPr>
              <w:pStyle w:val="24"/>
              <w:numPr>
                <w:ilvl w:val="1"/>
                <w:numId w:val="0"/>
              </w:numPr>
              <w:ind w:left="525" w:hanging="525"/>
              <w:jc w:val="both"/>
              <w:rPr>
                <w:rFonts w:hint="eastAsia" w:ascii="宋体" w:hAnsi="宋体" w:eastAsia="宋体" w:cs="宋体"/>
                <w:color w:val="auto"/>
                <w:szCs w:val="21"/>
                <w:highlight w:val="none"/>
              </w:rPr>
            </w:pPr>
            <w:r>
              <w:rPr>
                <w:rFonts w:ascii="Times New Roman" w:hAnsi="Times New Roman" w:eastAsia="宋体" w:cs="Times New Roman"/>
                <w:color w:val="auto"/>
                <w:highlight w:val="none"/>
                <w:lang w:eastAsia="zh-CN"/>
              </w:rPr>
              <w:t>5.1</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检测内容：</w:t>
            </w:r>
            <w:r>
              <w:rPr>
                <w:rFonts w:ascii="Times New Roman" w:hAnsi="Times New Roman" w:eastAsia="宋体" w:cs="Times New Roman"/>
                <w:color w:val="auto"/>
                <w:highlight w:val="none"/>
                <w:lang w:eastAsia="zh-CN"/>
              </w:rPr>
              <w:t>涵盖临床常见的</w:t>
            </w:r>
            <w:r>
              <w:rPr>
                <w:rFonts w:hint="default" w:ascii="Times New Roman" w:hAnsi="Times New Roman" w:eastAsia="宋体" w:cs="Times New Roman"/>
                <w:color w:val="auto"/>
                <w:sz w:val="21"/>
                <w:szCs w:val="21"/>
                <w:highlight w:val="none"/>
                <w:lang w:eastAsia="zh-CN" w:bidi="ar"/>
              </w:rPr>
              <w:t>感染病原体160种以上</w:t>
            </w:r>
            <w:r>
              <w:rPr>
                <w:rFonts w:ascii="Times New Roman" w:hAnsi="Times New Roman" w:eastAsia="宋体" w:cs="Times New Roman"/>
                <w:color w:val="auto"/>
                <w:highlight w:val="none"/>
                <w:lang w:eastAsia="zh-CN"/>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D1638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B8C26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791BD33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7792E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50</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1499E28">
            <w:pPr>
              <w:numPr>
                <w:ilvl w:val="1"/>
                <w:numId w:val="0"/>
              </w:numPr>
              <w:ind w:left="525" w:hanging="525"/>
              <w:rPr>
                <w:rFonts w:hint="eastAsia" w:ascii="宋体" w:hAnsi="宋体" w:eastAsia="宋体" w:cs="宋体"/>
                <w:color w:val="auto"/>
                <w:szCs w:val="21"/>
                <w:highlight w:val="none"/>
              </w:rPr>
            </w:pPr>
            <w:r>
              <w:rPr>
                <w:rFonts w:hint="eastAsia"/>
                <w:color w:val="auto"/>
                <w:sz w:val="20"/>
                <w:szCs w:val="20"/>
                <w:highlight w:val="none"/>
              </w:rPr>
              <w:t>5.2同步检测靶标对应的耐药基因、毒力基因，覆盖细菌、结核耐药位点；</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7F608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DD973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07039C4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3BAE6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51</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A8BB1D8">
            <w:pPr>
              <w:pStyle w:val="24"/>
              <w:numPr>
                <w:ilvl w:val="1"/>
                <w:numId w:val="0"/>
              </w:numPr>
              <w:ind w:left="525" w:hanging="525"/>
              <w:jc w:val="both"/>
              <w:rPr>
                <w:rFonts w:hint="eastAsia" w:ascii="宋体" w:hAnsi="宋体" w:eastAsia="宋体" w:cs="宋体"/>
                <w:color w:val="auto"/>
                <w:szCs w:val="21"/>
                <w:highlight w:val="none"/>
              </w:rPr>
            </w:pPr>
            <w:r>
              <w:rPr>
                <w:rFonts w:ascii="Times New Roman" w:hAnsi="Times New Roman" w:eastAsia="宋体" w:cs="Times New Roman"/>
                <w:color w:val="auto"/>
                <w:highlight w:val="none"/>
                <w:lang w:eastAsia="zh-CN"/>
              </w:rPr>
              <w:t>5.3.具有自主研究研发的二聚体去除流程，在tNGS实验过程中二聚体比例降至10%以下，减少引物二聚体的污染。</w:t>
            </w:r>
            <w:r>
              <w:rPr>
                <w:rFonts w:hint="default" w:ascii="Times New Roman" w:hAnsi="Times New Roman" w:cs="Times New Roman"/>
                <w:color w:val="auto"/>
                <w:highlight w:val="none"/>
              </w:rPr>
              <w:t>（投标文件中需提供</w:t>
            </w:r>
            <w:r>
              <w:rPr>
                <w:rFonts w:cs="Times New Roman"/>
                <w:color w:val="auto"/>
                <w:highlight w:val="none"/>
                <w:lang w:eastAsia="zh-CN"/>
              </w:rPr>
              <w:t>佐证材料</w:t>
            </w:r>
            <w:r>
              <w:rPr>
                <w:rFonts w:hint="default" w:ascii="Times New Roman" w:hAnsi="Times New Roman" w:cs="Times New Roman"/>
                <w:color w:val="auto"/>
                <w:highlight w:val="none"/>
              </w:rPr>
              <w:t>，并加盖投标人公章）</w:t>
            </w:r>
            <w:r>
              <w:rPr>
                <w:rFonts w:ascii="Times New Roman" w:hAnsi="Times New Roman" w:eastAsia="宋体" w:cs="Times New Roman"/>
                <w:color w:val="auto"/>
                <w:highlight w:val="none"/>
                <w:lang w:eastAsia="zh-CN"/>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1FE7C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2565A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7EB57A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17F91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52</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B08ACB6">
            <w:pPr>
              <w:pStyle w:val="24"/>
              <w:numPr>
                <w:ilvl w:val="1"/>
                <w:numId w:val="0"/>
              </w:numPr>
              <w:ind w:left="525" w:hanging="525"/>
              <w:jc w:val="both"/>
              <w:rPr>
                <w:rFonts w:hint="eastAsia" w:ascii="宋体" w:hAnsi="宋体" w:eastAsia="宋体" w:cs="宋体"/>
                <w:color w:val="auto"/>
                <w:szCs w:val="21"/>
                <w:highlight w:val="none"/>
              </w:rPr>
            </w:pPr>
            <w:r>
              <w:rPr>
                <w:rFonts w:ascii="Times New Roman" w:hAnsi="Times New Roman" w:eastAsia="宋体" w:cs="Times New Roman"/>
                <w:color w:val="auto"/>
                <w:highlight w:val="none"/>
                <w:lang w:eastAsia="zh-CN"/>
              </w:rPr>
              <w:t>5.4</w:t>
            </w:r>
            <w:r>
              <w:rPr>
                <w:rFonts w:hint="default" w:ascii="Times New Roman" w:hAnsi="Times New Roman" w:eastAsia="宋体" w:cs="Times New Roman"/>
                <w:color w:val="auto"/>
                <w:highlight w:val="none"/>
              </w:rPr>
              <w:t>.</w:t>
            </w:r>
            <w:r>
              <w:rPr>
                <w:rFonts w:ascii="Times New Roman" w:hAnsi="Times New Roman" w:eastAsia="宋体" w:cs="Times New Roman"/>
                <w:color w:val="auto"/>
                <w:highlight w:val="none"/>
                <w:lang w:eastAsia="zh-CN"/>
              </w:rPr>
              <w:t>检测性能</w:t>
            </w:r>
            <w:r>
              <w:rPr>
                <w:rFonts w:hint="default" w:ascii="Times New Roman" w:hAnsi="Times New Roman" w:eastAsia="宋体" w:cs="Times New Roman"/>
                <w:color w:val="auto"/>
                <w:highlight w:val="none"/>
              </w:rPr>
              <w:t>：</w:t>
            </w:r>
            <w:r>
              <w:rPr>
                <w:rFonts w:ascii="Times New Roman Regular" w:hAnsi="Times New Roman Regular" w:cs="Times New Roman Regular"/>
                <w:color w:val="auto"/>
                <w:highlight w:val="none"/>
              </w:rPr>
              <w:t>测序数据质量Q30≥85%</w:t>
            </w:r>
            <w:r>
              <w:rPr>
                <w:rFonts w:hint="default" w:ascii="Times New Roman" w:hAnsi="Times New Roman" w:eastAsia="宋体" w:cs="Times New Roman"/>
                <w:color w:val="auto"/>
                <w:highlight w:val="none"/>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AB652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1A4F5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240B89B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66D83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53</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B008242">
            <w:pPr>
              <w:numPr>
                <w:ilvl w:val="1"/>
                <w:numId w:val="0"/>
              </w:numPr>
              <w:ind w:left="525" w:hanging="525"/>
              <w:rPr>
                <w:rFonts w:hint="eastAsia" w:ascii="宋体" w:hAnsi="宋体" w:eastAsia="宋体" w:cs="宋体"/>
                <w:color w:val="auto"/>
                <w:szCs w:val="21"/>
                <w:highlight w:val="none"/>
              </w:rPr>
            </w:pPr>
            <w:r>
              <w:rPr>
                <w:rFonts w:hint="eastAsia"/>
                <w:color w:val="auto"/>
                <w:sz w:val="20"/>
                <w:szCs w:val="20"/>
                <w:highlight w:val="none"/>
              </w:rPr>
              <w:t>5.5</w:t>
            </w:r>
            <w:r>
              <w:rPr>
                <w:color w:val="auto"/>
                <w:sz w:val="20"/>
                <w:szCs w:val="20"/>
                <w:highlight w:val="none"/>
                <w:lang w:eastAsia="zh-Hans"/>
              </w:rPr>
              <w:t>.</w:t>
            </w:r>
            <w:r>
              <w:rPr>
                <w:rFonts w:hint="eastAsia"/>
                <w:color w:val="auto"/>
                <w:sz w:val="20"/>
                <w:szCs w:val="20"/>
                <w:highlight w:val="none"/>
              </w:rPr>
              <w:t>数据量</w:t>
            </w:r>
            <w:r>
              <w:rPr>
                <w:color w:val="auto"/>
                <w:sz w:val="20"/>
                <w:szCs w:val="20"/>
                <w:highlight w:val="none"/>
              </w:rPr>
              <w:t>：</w:t>
            </w:r>
            <w:r>
              <w:rPr>
                <w:rFonts w:hint="eastAsia" w:ascii="Times New Roman Regular" w:hAnsi="Times New Roman Regular" w:cs="Times New Roman Regular"/>
                <w:color w:val="auto"/>
                <w:highlight w:val="none"/>
              </w:rPr>
              <w:t>测序总数据量不小于1M reads</w:t>
            </w:r>
            <w:r>
              <w:rPr>
                <w:color w:val="auto"/>
                <w:sz w:val="20"/>
                <w:szCs w:val="20"/>
                <w:highlight w:val="none"/>
                <w:lang w:val="en-GB"/>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B1296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C6615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706CD36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26E63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54</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5C033CB">
            <w:pPr>
              <w:numPr>
                <w:ilvl w:val="1"/>
                <w:numId w:val="0"/>
              </w:numPr>
              <w:ind w:left="525" w:hanging="525"/>
              <w:rPr>
                <w:rFonts w:hint="eastAsia" w:ascii="宋体" w:hAnsi="宋体" w:eastAsia="宋体" w:cs="宋体"/>
                <w:color w:val="auto"/>
                <w:szCs w:val="21"/>
                <w:highlight w:val="none"/>
              </w:rPr>
            </w:pPr>
            <w:r>
              <w:rPr>
                <w:rFonts w:hint="eastAsia"/>
                <w:color w:val="auto"/>
                <w:sz w:val="20"/>
                <w:szCs w:val="20"/>
                <w:highlight w:val="none"/>
              </w:rPr>
              <w:t>5.6</w:t>
            </w:r>
            <w:r>
              <w:rPr>
                <w:color w:val="auto"/>
                <w:sz w:val="20"/>
                <w:szCs w:val="20"/>
                <w:highlight w:val="none"/>
              </w:rPr>
              <w:t>.</w:t>
            </w:r>
            <w:r>
              <w:rPr>
                <w:rFonts w:hint="eastAsia"/>
                <w:color w:val="auto"/>
                <w:sz w:val="20"/>
                <w:szCs w:val="20"/>
                <w:highlight w:val="none"/>
              </w:rPr>
              <w:t>适用样本类型：血液、脑脊液、呼吸道标本（痰液、鼻/咽拭子、肺泡灌洗液、支气管刷刷头等）、尿液、拭子、其他无菌体液标本（胸腔积液、腹腔积液、眼内液、房水、关节液及穿刺液等）及组织等样本；</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B2563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3ED3A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465E3C7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71278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55</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AD8B090">
            <w:pPr>
              <w:numPr>
                <w:ilvl w:val="0"/>
                <w:numId w:val="0"/>
              </w:numPr>
              <w:spacing w:line="440" w:lineRule="exact"/>
              <w:ind w:leftChars="0"/>
              <w:rPr>
                <w:rFonts w:hint="eastAsia" w:ascii="宋体" w:hAnsi="宋体" w:eastAsia="宋体" w:cs="宋体"/>
                <w:color w:val="auto"/>
                <w:szCs w:val="21"/>
                <w:highlight w:val="none"/>
              </w:rPr>
            </w:pPr>
            <w:r>
              <w:rPr>
                <w:rFonts w:hint="eastAsia"/>
                <w:color w:val="auto"/>
                <w:sz w:val="20"/>
                <w:szCs w:val="20"/>
                <w:highlight w:val="none"/>
              </w:rPr>
              <w:t>5.8</w:t>
            </w:r>
            <w:r>
              <w:rPr>
                <w:color w:val="auto"/>
                <w:sz w:val="20"/>
                <w:szCs w:val="20"/>
                <w:highlight w:val="none"/>
              </w:rPr>
              <w:t>.</w:t>
            </w:r>
            <w:r>
              <w:rPr>
                <w:rFonts w:hint="eastAsia"/>
                <w:color w:val="auto"/>
                <w:sz w:val="20"/>
                <w:szCs w:val="20"/>
                <w:highlight w:val="none"/>
              </w:rPr>
              <w:t>报告周期：＜24小时。</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C1259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4E2CB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7B36BC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86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F2083D">
            <w:pPr>
              <w:pStyle w:val="23"/>
              <w:rPr>
                <w:rFonts w:hint="eastAsia" w:ascii="宋体" w:hAnsi="宋体" w:eastAsia="宋体" w:cs="宋体"/>
                <w:color w:val="auto"/>
                <w:szCs w:val="21"/>
                <w:highlight w:val="none"/>
              </w:rPr>
            </w:pPr>
            <w:r>
              <w:rPr>
                <w:color w:val="auto"/>
                <w:sz w:val="20"/>
                <w:szCs w:val="20"/>
                <w:highlight w:val="none"/>
              </w:rPr>
              <w:t>6</w:t>
            </w:r>
            <w:r>
              <w:rPr>
                <w:rFonts w:hint="default"/>
                <w:color w:val="auto"/>
                <w:sz w:val="20"/>
                <w:szCs w:val="20"/>
                <w:highlight w:val="none"/>
              </w:rPr>
              <w:t>、</w:t>
            </w:r>
            <w:r>
              <w:rPr>
                <w:rFonts w:hint="default"/>
                <w:color w:val="auto"/>
                <w:kern w:val="0"/>
                <w:highlight w:val="none"/>
                <w:lang w:bidi="ar"/>
              </w:rPr>
              <w:t>结核分枝杆菌复合群及</w:t>
            </w:r>
            <w:r>
              <w:rPr>
                <w:color w:val="auto"/>
                <w:kern w:val="0"/>
                <w:highlight w:val="none"/>
                <w:lang w:bidi="ar"/>
              </w:rPr>
              <w:t>非结核分枝杆菌</w:t>
            </w:r>
            <w:r>
              <w:rPr>
                <w:rFonts w:hint="default"/>
                <w:color w:val="auto"/>
                <w:kern w:val="0"/>
                <w:highlight w:val="none"/>
                <w:lang w:bidi="ar"/>
              </w:rPr>
              <w:t>测序</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4FB65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E83D5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416012C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CCD59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default" w:ascii="Times New Roman" w:hAnsi="Times New Roman" w:eastAsia="宋体" w:cs="Times New Roman"/>
                <w:color w:val="auto"/>
                <w:highlight w:val="none"/>
                <w:lang w:eastAsia="zh-CN"/>
              </w:rPr>
              <w:t>★</w:t>
            </w:r>
            <w:r>
              <w:rPr>
                <w:rFonts w:hint="eastAsia" w:ascii="仿宋" w:hAnsi="仿宋" w:eastAsia="仿宋" w:cs="仿宋"/>
                <w:color w:val="auto"/>
                <w:sz w:val="24"/>
                <w:lang w:val="en-US" w:eastAsia="zh-CN"/>
              </w:rPr>
              <w:t>56</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03F5DFB">
            <w:pPr>
              <w:pStyle w:val="24"/>
              <w:numPr>
                <w:ilvl w:val="1"/>
                <w:numId w:val="0"/>
              </w:numPr>
              <w:ind w:left="525" w:hanging="525"/>
              <w:jc w:val="both"/>
              <w:rPr>
                <w:rFonts w:hint="eastAsia" w:ascii="宋体" w:hAnsi="宋体" w:eastAsia="宋体" w:cs="宋体"/>
                <w:color w:val="auto"/>
                <w:szCs w:val="21"/>
                <w:highlight w:val="none"/>
              </w:rPr>
            </w:pPr>
            <w:r>
              <w:rPr>
                <w:rFonts w:ascii="Times New Roman" w:hAnsi="Times New Roman" w:eastAsia="宋体" w:cs="Times New Roman"/>
                <w:color w:val="auto"/>
                <w:highlight w:val="none"/>
                <w:lang w:eastAsia="zh-CN"/>
              </w:rPr>
              <w:t>6.1</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检测内容：</w:t>
            </w:r>
            <w:r>
              <w:rPr>
                <w:rFonts w:ascii="Times New Roman" w:hAnsi="Times New Roman" w:eastAsia="宋体" w:cs="Times New Roman"/>
                <w:color w:val="auto"/>
                <w:highlight w:val="none"/>
                <w:lang w:eastAsia="zh-CN"/>
              </w:rPr>
              <w:t>涵盖≥70种结核及非结核分枝杆菌，覆盖结核分枝杆菌复合群（MTBC）及常见NTM；</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DF137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4892B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711479F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409C2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default" w:ascii="Times New Roman" w:hAnsi="Times New Roman" w:cs="Times New Roman"/>
                <w:color w:val="auto"/>
                <w:highlight w:val="none"/>
                <w:lang w:val="en-GB" w:eastAsia="zh-CN"/>
              </w:rPr>
              <w:t>▲</w:t>
            </w:r>
            <w:r>
              <w:rPr>
                <w:rFonts w:hint="eastAsia" w:ascii="仿宋" w:hAnsi="仿宋" w:eastAsia="仿宋" w:cs="仿宋"/>
                <w:color w:val="auto"/>
                <w:sz w:val="24"/>
                <w:lang w:val="en-US" w:eastAsia="zh-CN"/>
              </w:rPr>
              <w:t>57</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CF69B15">
            <w:pPr>
              <w:pStyle w:val="24"/>
              <w:numPr>
                <w:ilvl w:val="1"/>
                <w:numId w:val="0"/>
              </w:numPr>
              <w:ind w:left="525" w:hanging="525"/>
              <w:jc w:val="both"/>
              <w:rPr>
                <w:rFonts w:hint="eastAsia" w:ascii="宋体" w:hAnsi="宋体" w:eastAsia="宋体" w:cs="宋体"/>
                <w:color w:val="auto"/>
                <w:szCs w:val="21"/>
                <w:highlight w:val="none"/>
              </w:rPr>
            </w:pPr>
            <w:r>
              <w:rPr>
                <w:rFonts w:ascii="Times New Roman" w:hAnsi="Times New Roman" w:eastAsia="宋体" w:cs="Times New Roman"/>
                <w:color w:val="auto"/>
                <w:highlight w:val="none"/>
                <w:lang w:eastAsia="zh-CN"/>
              </w:rPr>
              <w:t>6.2</w:t>
            </w:r>
            <w:r>
              <w:rPr>
                <w:rFonts w:hint="default" w:ascii="Times New Roman" w:hAnsi="Times New Roman" w:eastAsia="宋体" w:cs="Times New Roman"/>
                <w:color w:val="auto"/>
                <w:highlight w:val="none"/>
              </w:rPr>
              <w:t>.</w:t>
            </w:r>
            <w:r>
              <w:rPr>
                <w:rFonts w:hint="default" w:ascii="Times New Roman" w:hAnsi="Times New Roman" w:cs="Times New Roman"/>
                <w:color w:val="auto"/>
                <w:highlight w:val="none"/>
                <w:lang w:val="en-GB" w:eastAsia="zh-CN"/>
              </w:rPr>
              <w:t>▲</w:t>
            </w:r>
            <w:r>
              <w:rPr>
                <w:rFonts w:ascii="Times New Roman" w:hAnsi="Times New Roman" w:eastAsia="宋体" w:cs="Times New Roman"/>
                <w:color w:val="auto"/>
                <w:highlight w:val="none"/>
                <w:lang w:eastAsia="zh-CN"/>
              </w:rPr>
              <w:t>覆盖</w:t>
            </w:r>
            <w:r>
              <w:rPr>
                <w:rFonts w:hint="default" w:ascii="Times New Roman" w:hAnsi="Times New Roman" w:eastAsia="宋体" w:cs="Times New Roman"/>
                <w:color w:val="auto"/>
                <w:highlight w:val="none"/>
                <w:lang w:eastAsia="zh-CN"/>
              </w:rPr>
              <w:t>利福平、乙胺丁醇、异烟肼、吡嗪酰胺</w:t>
            </w:r>
            <w:r>
              <w:rPr>
                <w:rFonts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lang w:eastAsia="zh-CN"/>
              </w:rPr>
              <w:t>氟喹诺酮类、阿米卡星、卡那霉素、卷曲霉素、链霉素、利奈唑胺、乙硫异烟胺、丙硫异烟胺</w:t>
            </w:r>
            <w:r>
              <w:rPr>
                <w:rFonts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lang w:eastAsia="zh-CN"/>
              </w:rPr>
              <w:t>贝达喹啉、德拉马尼、氯法齐明</w:t>
            </w:r>
            <w:r>
              <w:rPr>
                <w:rFonts w:ascii="Times New Roman" w:hAnsi="Times New Roman" w:eastAsia="宋体" w:cs="Times New Roman"/>
                <w:color w:val="auto"/>
                <w:highlight w:val="none"/>
                <w:lang w:eastAsia="zh-CN"/>
              </w:rPr>
              <w:t>等抗结核药物耐药基因；</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5CE12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79DE0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27BF244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290A6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58</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1EE5078">
            <w:pPr>
              <w:pStyle w:val="24"/>
              <w:numPr>
                <w:ilvl w:val="1"/>
                <w:numId w:val="0"/>
              </w:numPr>
              <w:ind w:left="525" w:hanging="525"/>
              <w:jc w:val="both"/>
              <w:rPr>
                <w:rFonts w:hint="eastAsia" w:ascii="宋体" w:hAnsi="宋体" w:eastAsia="宋体" w:cs="宋体"/>
                <w:color w:val="auto"/>
                <w:szCs w:val="21"/>
                <w:highlight w:val="none"/>
              </w:rPr>
            </w:pPr>
            <w:r>
              <w:rPr>
                <w:rFonts w:ascii="Times New Roman" w:hAnsi="Times New Roman" w:eastAsia="宋体" w:cs="Times New Roman"/>
                <w:color w:val="auto"/>
                <w:highlight w:val="none"/>
                <w:lang w:eastAsia="zh-CN"/>
              </w:rPr>
              <w:t>6.3</w:t>
            </w:r>
            <w:r>
              <w:rPr>
                <w:rFonts w:hint="default" w:ascii="Times New Roman" w:hAnsi="Times New Roman" w:eastAsia="宋体" w:cs="Times New Roman"/>
                <w:color w:val="auto"/>
                <w:highlight w:val="none"/>
              </w:rPr>
              <w:t>.</w:t>
            </w:r>
            <w:r>
              <w:rPr>
                <w:rFonts w:ascii="Times New Roman" w:hAnsi="Times New Roman" w:eastAsia="宋体" w:cs="Times New Roman"/>
                <w:color w:val="auto"/>
                <w:highlight w:val="none"/>
                <w:lang w:eastAsia="zh-CN"/>
              </w:rPr>
              <w:t>检测性能</w:t>
            </w:r>
            <w:r>
              <w:rPr>
                <w:rFonts w:hint="default" w:ascii="Times New Roman" w:hAnsi="Times New Roman" w:eastAsia="宋体" w:cs="Times New Roman"/>
                <w:color w:val="auto"/>
                <w:highlight w:val="none"/>
              </w:rPr>
              <w:t>：</w:t>
            </w:r>
            <w:r>
              <w:rPr>
                <w:rFonts w:ascii="Times New Roman Regular" w:hAnsi="Times New Roman Regular" w:cs="Times New Roman Regular"/>
                <w:color w:val="auto"/>
                <w:highlight w:val="none"/>
              </w:rPr>
              <w:t>测序数据质量Q30≥85%</w:t>
            </w:r>
            <w:r>
              <w:rPr>
                <w:rFonts w:hint="default" w:ascii="Times New Roman" w:hAnsi="Times New Roman" w:eastAsia="宋体" w:cs="Times New Roman"/>
                <w:color w:val="auto"/>
                <w:highlight w:val="none"/>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418CF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A2DDC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21F6726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C6019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59</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7A27AFE">
            <w:pPr>
              <w:pStyle w:val="24"/>
              <w:numPr>
                <w:ilvl w:val="1"/>
                <w:numId w:val="0"/>
              </w:numPr>
              <w:ind w:left="525" w:hanging="525"/>
              <w:jc w:val="both"/>
              <w:rPr>
                <w:rFonts w:hint="eastAsia" w:ascii="宋体" w:hAnsi="宋体" w:eastAsia="宋体" w:cs="宋体"/>
                <w:color w:val="auto"/>
                <w:szCs w:val="21"/>
                <w:highlight w:val="none"/>
              </w:rPr>
            </w:pPr>
            <w:r>
              <w:rPr>
                <w:rFonts w:ascii="Times New Roman" w:hAnsi="Times New Roman" w:eastAsia="宋体" w:cs="Times New Roman"/>
                <w:color w:val="auto"/>
                <w:highlight w:val="none"/>
                <w:lang w:eastAsia="zh-CN"/>
              </w:rPr>
              <w:t>6.4</w:t>
            </w:r>
            <w:r>
              <w:rPr>
                <w:rFonts w:hint="default" w:ascii="Times New Roman" w:hAnsi="Times New Roman" w:eastAsia="宋体" w:cs="Times New Roman"/>
                <w:color w:val="auto"/>
                <w:highlight w:val="none"/>
              </w:rPr>
              <w:t>.</w:t>
            </w:r>
            <w:r>
              <w:rPr>
                <w:rFonts w:ascii="Times New Roman" w:hAnsi="Times New Roman" w:eastAsia="宋体" w:cs="Times New Roman"/>
                <w:color w:val="auto"/>
                <w:highlight w:val="none"/>
                <w:lang w:eastAsia="zh-CN"/>
              </w:rPr>
              <w:t>数据量</w:t>
            </w:r>
            <w:r>
              <w:rPr>
                <w:rFonts w:hint="default" w:ascii="Times New Roman" w:hAnsi="Times New Roman" w:eastAsia="宋体" w:cs="Times New Roman"/>
                <w:color w:val="auto"/>
                <w:highlight w:val="none"/>
                <w:lang w:eastAsia="zh-CN"/>
              </w:rPr>
              <w:t>：</w:t>
            </w:r>
            <w:r>
              <w:rPr>
                <w:rFonts w:ascii="Times New Roman Regular" w:hAnsi="Times New Roman Regular" w:cs="Times New Roman Regular"/>
                <w:color w:val="auto"/>
                <w:highlight w:val="none"/>
              </w:rPr>
              <w:t>测序总数据量不小于 1M reads</w:t>
            </w:r>
            <w:r>
              <w:rPr>
                <w:rFonts w:hint="default" w:ascii="Times New Roman" w:hAnsi="Times New Roman" w:eastAsia="宋体" w:cs="Times New Roman"/>
                <w:color w:val="auto"/>
                <w:highlight w:val="none"/>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D62BE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45394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614718A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3C05E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60</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5CF0F0B">
            <w:pPr>
              <w:pStyle w:val="24"/>
              <w:numPr>
                <w:ilvl w:val="1"/>
                <w:numId w:val="0"/>
              </w:numPr>
              <w:ind w:left="525" w:hanging="525"/>
              <w:jc w:val="both"/>
              <w:rPr>
                <w:rFonts w:hint="eastAsia" w:ascii="宋体" w:hAnsi="宋体" w:eastAsia="宋体" w:cs="宋体"/>
                <w:color w:val="auto"/>
                <w:szCs w:val="21"/>
                <w:highlight w:val="none"/>
              </w:rPr>
            </w:pPr>
            <w:r>
              <w:rPr>
                <w:rFonts w:ascii="Times New Roman Regular" w:hAnsi="Times New Roman Regular" w:cs="Times New Roman Regular"/>
                <w:color w:val="auto"/>
                <w:highlight w:val="none"/>
                <w:lang w:eastAsia="zh-CN"/>
              </w:rPr>
              <w:t>6.5</w:t>
            </w:r>
            <w:r>
              <w:rPr>
                <w:rFonts w:hint="default" w:ascii="Times New Roman Regular" w:hAnsi="Times New Roman Regular" w:cs="Times New Roman Regular"/>
                <w:color w:val="auto"/>
                <w:highlight w:val="none"/>
                <w:lang w:eastAsia="zh-CN"/>
              </w:rPr>
              <w:t>.</w:t>
            </w:r>
            <w:r>
              <w:rPr>
                <w:rFonts w:ascii="Times New Roman Regular" w:hAnsi="Times New Roman Regular" w:cs="Times New Roman Regular"/>
                <w:color w:val="auto"/>
                <w:highlight w:val="none"/>
                <w:lang w:eastAsia="zh-CN"/>
              </w:rPr>
              <w:t>适用样本类型：</w:t>
            </w:r>
            <w:r>
              <w:rPr>
                <w:rFonts w:ascii="Times New Roman Regular" w:hAnsi="Times New Roman Regular" w:cs="Times New Roman Regular"/>
                <w:color w:val="auto"/>
                <w:highlight w:val="none"/>
              </w:rPr>
              <w:t>痰液、肺泡灌洗液、脑脊液、胸腹水、中段尿、新鲜组织、脓液、支气管刷刷头等</w:t>
            </w:r>
            <w:r>
              <w:rPr>
                <w:rFonts w:ascii="Times New Roman Regular" w:hAnsi="Times New Roman Regular" w:cs="Times New Roman Regular"/>
                <w:color w:val="auto"/>
                <w:highlight w:val="none"/>
                <w:lang w:eastAsia="zh-CN"/>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D7033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80C47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0768927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F9C22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61</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6F7E44F">
            <w:pPr>
              <w:numPr>
                <w:ilvl w:val="0"/>
                <w:numId w:val="0"/>
              </w:numPr>
              <w:spacing w:line="440" w:lineRule="exact"/>
              <w:ind w:leftChars="0"/>
              <w:rPr>
                <w:rFonts w:hint="eastAsia" w:ascii="宋体" w:hAnsi="宋体" w:eastAsia="宋体" w:cs="宋体"/>
                <w:color w:val="auto"/>
                <w:szCs w:val="21"/>
                <w:highlight w:val="none"/>
              </w:rPr>
            </w:pPr>
            <w:r>
              <w:rPr>
                <w:rFonts w:hint="eastAsia"/>
                <w:color w:val="auto"/>
                <w:sz w:val="20"/>
                <w:szCs w:val="20"/>
                <w:highlight w:val="none"/>
              </w:rPr>
              <w:t>6.6</w:t>
            </w:r>
            <w:r>
              <w:rPr>
                <w:color w:val="auto"/>
                <w:sz w:val="20"/>
                <w:szCs w:val="20"/>
                <w:highlight w:val="none"/>
              </w:rPr>
              <w:t>.</w:t>
            </w:r>
            <w:r>
              <w:rPr>
                <w:rFonts w:hint="eastAsia"/>
                <w:color w:val="auto"/>
                <w:sz w:val="20"/>
                <w:szCs w:val="20"/>
                <w:highlight w:val="none"/>
              </w:rPr>
              <w:t>报告周期：＜24小时。</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74E48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EB566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305DB2F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465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3CD5A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default" w:ascii="宋体" w:hAnsi="宋体" w:eastAsia="宋体" w:cs="宋体"/>
                <w:b w:val="0"/>
                <w:bCs w:val="0"/>
                <w:color w:val="auto"/>
                <w:kern w:val="2"/>
                <w:sz w:val="21"/>
                <w:szCs w:val="21"/>
                <w:lang w:val="en-US" w:eastAsia="zh-CN"/>
              </w:rPr>
            </w:pPr>
            <w:r>
              <w:rPr>
                <w:rStyle w:val="20"/>
                <w:rFonts w:hint="eastAsia" w:ascii="宋体" w:hAnsi="宋体" w:eastAsia="宋体" w:cs="宋体"/>
                <w:b w:val="0"/>
                <w:bCs w:val="0"/>
                <w:color w:val="auto"/>
                <w:kern w:val="2"/>
                <w:sz w:val="21"/>
                <w:szCs w:val="21"/>
                <w:lang w:val="en-US" w:eastAsia="zh-CN"/>
              </w:rPr>
              <w:t>四、服务要求</w:t>
            </w:r>
          </w:p>
        </w:tc>
      </w:tr>
      <w:tr w14:paraId="05F5207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70A26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color w:val="auto"/>
                <w:highlight w:val="none"/>
              </w:rPr>
              <w:t>★</w:t>
            </w:r>
            <w:r>
              <w:rPr>
                <w:rFonts w:hint="eastAsia" w:ascii="仿宋" w:hAnsi="仿宋" w:eastAsia="仿宋" w:cs="仿宋"/>
                <w:color w:val="auto"/>
                <w:sz w:val="24"/>
                <w:lang w:val="en-US" w:eastAsia="zh-CN"/>
              </w:rPr>
              <w:t>1</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B10BF63">
            <w:pPr>
              <w:pStyle w:val="5"/>
              <w:rPr>
                <w:rFonts w:hint="eastAsia"/>
                <w:color w:val="auto"/>
                <w:sz w:val="20"/>
                <w:szCs w:val="20"/>
                <w:highlight w:val="none"/>
              </w:rPr>
            </w:pPr>
            <w:r>
              <w:rPr>
                <w:color w:val="auto"/>
                <w:highlight w:val="none"/>
              </w:rPr>
              <w:t>（1）★投标机构为符合要求的医学检验所或其他医疗机构，符合《中华人民共和国生物安全法》、《病原微生物实验室生物安全管理条例》（国务院令第424号）、《医疗机构临床基因扩增检验实验室管理办法》（卫办医政发〔2010〕194号）有关规定，临床基因扩增检验实验室技术合格证处于核验效期内，还应当符合《医学检验实验室基本标准（试行）》、《医学检验实验室管理规范（试行）》等要求（</w:t>
            </w:r>
            <w:r>
              <w:rPr>
                <w:color w:val="auto"/>
                <w:kern w:val="0"/>
                <w:highlight w:val="none"/>
                <w:lang w:bidi="ar"/>
              </w:rPr>
              <w:t>提供承诺函加盖投标人公章，承诺符合以上内容及有效的临床基因扩增检验实验室技术合格证</w:t>
            </w:r>
            <w:r>
              <w:rPr>
                <w:color w:val="auto"/>
                <w:highlight w:val="none"/>
              </w:rPr>
              <w:t>）</w:t>
            </w:r>
            <w:r>
              <w:rPr>
                <w:color w:val="auto"/>
                <w:kern w:val="0"/>
                <w:highlight w:val="none"/>
              </w:rPr>
              <w:t>提供承诺函并</w:t>
            </w:r>
            <w:r>
              <w:rPr>
                <w:color w:val="auto"/>
                <w:kern w:val="0"/>
                <w:highlight w:val="none"/>
                <w:lang w:bidi="ar"/>
              </w:rPr>
              <w:t>加盖投标人公章，</w:t>
            </w:r>
            <w:r>
              <w:rPr>
                <w:color w:val="auto"/>
                <w:kern w:val="0"/>
                <w:highlight w:val="none"/>
              </w:rPr>
              <w:t>承诺符合以上内容及有效的</w:t>
            </w:r>
            <w:r>
              <w:rPr>
                <w:color w:val="auto"/>
                <w:highlight w:val="none"/>
              </w:rPr>
              <w:t>临床基因扩增检验实验室技术合格证。</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7EFFD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9D342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44E82FC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2028C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default" w:ascii="Times New Roman" w:hAnsi="Times New Roman" w:cs="Times New Roman"/>
                <w:color w:val="auto"/>
                <w:highlight w:val="none"/>
              </w:rPr>
              <w:t>★</w:t>
            </w:r>
            <w:r>
              <w:rPr>
                <w:rFonts w:hint="eastAsia" w:ascii="仿宋" w:hAnsi="仿宋" w:eastAsia="仿宋" w:cs="仿宋"/>
                <w:color w:val="auto"/>
                <w:sz w:val="24"/>
                <w:lang w:val="en-US" w:eastAsia="zh-CN"/>
              </w:rPr>
              <w:t>2</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2A08DEB">
            <w:pPr>
              <w:pStyle w:val="24"/>
              <w:rPr>
                <w:rFonts w:hint="eastAsia"/>
                <w:color w:val="auto"/>
                <w:sz w:val="20"/>
                <w:szCs w:val="20"/>
                <w:highlight w:val="none"/>
              </w:rPr>
            </w:pPr>
            <w:r>
              <w:rPr>
                <w:rFonts w:hint="default" w:ascii="Times New Roman" w:hAnsi="Times New Roman" w:cs="Times New Roman"/>
                <w:color w:val="auto"/>
                <w:highlight w:val="none"/>
                <w:lang w:eastAsia="zh-CN"/>
              </w:rPr>
              <w:t>（2）</w:t>
            </w:r>
            <w:r>
              <w:rPr>
                <w:rFonts w:hint="default" w:ascii="Times New Roman" w:hAnsi="Times New Roman" w:cs="Times New Roman"/>
                <w:color w:val="auto"/>
                <w:highlight w:val="none"/>
              </w:rPr>
              <w:t>★投标人实验室需具备有临床基因扩增资质的专业检验技术人员</w:t>
            </w:r>
            <w:r>
              <w:rPr>
                <w:rFonts w:hint="default" w:ascii="Times New Roman" w:hAnsi="Times New Roman" w:cs="Times New Roman"/>
                <w:color w:val="auto"/>
                <w:highlight w:val="none"/>
                <w:lang w:eastAsia="zh-CN"/>
              </w:rPr>
              <w:t>（不少于2</w:t>
            </w:r>
            <w:r>
              <w:rPr>
                <w:rFonts w:hint="default" w:ascii="Times New Roman" w:hAnsi="Times New Roman" w:cs="Times New Roman"/>
                <w:color w:val="auto"/>
                <w:highlight w:val="none"/>
              </w:rPr>
              <w:t>人）和资质符合国家相关要求，可提供专业的医学检验服务（投标文件中需提供检验技师资格证及临床基因扩增检验实验室技术员培训证书的复印件，并加盖投标人公章）。</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E12CE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CC38D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24C6886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2F839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default" w:ascii="Times New Roman" w:hAnsi="Times New Roman" w:cs="Times New Roman"/>
                <w:color w:val="auto"/>
                <w:highlight w:val="none"/>
                <w:lang w:eastAsia="zh-CN"/>
              </w:rPr>
              <w:t>★</w:t>
            </w:r>
            <w:r>
              <w:rPr>
                <w:rFonts w:hint="eastAsia" w:ascii="仿宋" w:hAnsi="仿宋" w:eastAsia="仿宋" w:cs="仿宋"/>
                <w:color w:val="auto"/>
                <w:sz w:val="24"/>
                <w:lang w:val="en-US" w:eastAsia="zh-CN"/>
              </w:rPr>
              <w:t>3</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B1BB4F3">
            <w:pPr>
              <w:pStyle w:val="24"/>
              <w:rPr>
                <w:rFonts w:hint="eastAsia"/>
                <w:color w:val="auto"/>
                <w:sz w:val="20"/>
                <w:szCs w:val="20"/>
                <w:highlight w:val="none"/>
              </w:rPr>
            </w:pPr>
            <w:r>
              <w:rPr>
                <w:rFonts w:hint="default" w:ascii="Times New Roman" w:hAnsi="Times New Roman" w:cs="Times New Roman"/>
                <w:color w:val="auto"/>
                <w:highlight w:val="none"/>
                <w:lang w:eastAsia="zh-CN"/>
              </w:rPr>
              <w:t>（3）★本项目检测系统所用的高通量基因测序仪</w:t>
            </w:r>
            <w:r>
              <w:rPr>
                <w:rFonts w:ascii="Times New Roman" w:hAnsi="Times New Roman" w:cs="Times New Roman"/>
                <w:color w:val="auto"/>
                <w:highlight w:val="none"/>
                <w:lang w:eastAsia="zh-CN"/>
              </w:rPr>
              <w:t>及</w:t>
            </w:r>
            <w:r>
              <w:rPr>
                <w:rFonts w:hint="default" w:ascii="Times New Roman" w:hAnsi="Times New Roman" w:cs="Times New Roman"/>
                <w:color w:val="auto"/>
                <w:highlight w:val="none"/>
                <w:lang w:eastAsia="zh-CN"/>
              </w:rPr>
              <w:t>配套检测试剂盒</w:t>
            </w:r>
            <w:r>
              <w:rPr>
                <w:rFonts w:ascii="Times New Roman" w:hAnsi="Times New Roman" w:cs="Times New Roman"/>
                <w:color w:val="auto"/>
                <w:highlight w:val="none"/>
                <w:lang w:eastAsia="zh-CN"/>
              </w:rPr>
              <w:t>等</w:t>
            </w:r>
            <w:r>
              <w:rPr>
                <w:rFonts w:hint="default" w:ascii="Times New Roman" w:hAnsi="Times New Roman" w:cs="Times New Roman"/>
                <w:color w:val="auto"/>
                <w:highlight w:val="none"/>
                <w:lang w:eastAsia="zh-CN"/>
              </w:rPr>
              <w:t>须取得国家药品监督管理局批准</w:t>
            </w:r>
            <w:r>
              <w:rPr>
                <w:rFonts w:ascii="Times New Roman" w:hAnsi="Times New Roman" w:cs="Times New Roman"/>
                <w:color w:val="auto"/>
                <w:highlight w:val="none"/>
                <w:lang w:eastAsia="zh-CN"/>
              </w:rPr>
              <w:t>或备案，</w:t>
            </w:r>
            <w:r>
              <w:rPr>
                <w:rFonts w:hint="default" w:ascii="Times New Roman" w:hAnsi="Times New Roman" w:cs="Times New Roman"/>
                <w:color w:val="auto"/>
                <w:highlight w:val="none"/>
                <w:lang w:eastAsia="zh-CN"/>
              </w:rPr>
              <w:t>可用于临床检测与临床应用的有效医疗器械注册证；具备齐全且在有效期内的医疗器械生产企业许可证、医疗器械经营许可证，完全符合国家医保核查相关规定；（投标文件中已提供上述全部医疗器械注册</w:t>
            </w:r>
            <w:r>
              <w:rPr>
                <w:rFonts w:ascii="Times New Roman" w:hAnsi="Times New Roman" w:cs="Times New Roman"/>
                <w:color w:val="auto"/>
                <w:highlight w:val="none"/>
                <w:lang w:eastAsia="zh-CN"/>
              </w:rPr>
              <w:t>/备案</w:t>
            </w:r>
            <w:r>
              <w:rPr>
                <w:rFonts w:hint="default" w:ascii="Times New Roman" w:hAnsi="Times New Roman" w:cs="Times New Roman"/>
                <w:color w:val="auto"/>
                <w:highlight w:val="none"/>
                <w:lang w:eastAsia="zh-CN"/>
              </w:rPr>
              <w:t>证、生产许可证、经营许可证复印件，所有证明材料均加盖投标人公章；）。</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1FD68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E34ED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0749921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4E34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default" w:ascii="Times New Roman" w:hAnsi="Times New Roman" w:cs="Times New Roman"/>
                <w:color w:val="auto"/>
                <w:highlight w:val="none"/>
                <w:lang w:eastAsia="zh-CN"/>
              </w:rPr>
              <w:t>★</w:t>
            </w:r>
            <w:r>
              <w:rPr>
                <w:rFonts w:hint="eastAsia" w:ascii="仿宋" w:hAnsi="仿宋" w:eastAsia="仿宋" w:cs="仿宋"/>
                <w:color w:val="auto"/>
                <w:sz w:val="24"/>
                <w:lang w:val="en-US" w:eastAsia="zh-CN"/>
              </w:rPr>
              <w:t>4</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C2BFE22">
            <w:pPr>
              <w:pStyle w:val="24"/>
              <w:rPr>
                <w:rFonts w:hint="eastAsia"/>
                <w:color w:val="auto"/>
                <w:sz w:val="20"/>
                <w:szCs w:val="20"/>
                <w:highlight w:val="none"/>
              </w:rPr>
            </w:pPr>
            <w:r>
              <w:rPr>
                <w:rFonts w:hint="default" w:ascii="Times New Roman" w:hAnsi="Times New Roman" w:cs="Times New Roman"/>
                <w:color w:val="auto"/>
                <w:highlight w:val="none"/>
                <w:lang w:eastAsia="zh-CN"/>
              </w:rPr>
              <w:t>（4）★投标人须具备自有实验室，独立完成本项目全部检测工作，严禁检测服务转包、分包；</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7638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EF2A9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7C50764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39D24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default" w:ascii="Times New Roman" w:hAnsi="Times New Roman" w:cs="Times New Roman"/>
                <w:color w:val="auto"/>
                <w:highlight w:val="none"/>
                <w:lang w:eastAsia="zh-CN"/>
              </w:rPr>
              <w:t>★</w:t>
            </w:r>
            <w:r>
              <w:rPr>
                <w:rFonts w:hint="eastAsia" w:ascii="仿宋" w:hAnsi="仿宋" w:eastAsia="仿宋" w:cs="仿宋"/>
                <w:color w:val="auto"/>
                <w:sz w:val="24"/>
                <w:lang w:val="en-US" w:eastAsia="zh-CN"/>
              </w:rPr>
              <w:t>5</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A65DC91">
            <w:pPr>
              <w:pStyle w:val="24"/>
              <w:rPr>
                <w:rFonts w:hint="eastAsia"/>
                <w:color w:val="auto"/>
                <w:sz w:val="20"/>
                <w:szCs w:val="20"/>
                <w:highlight w:val="none"/>
              </w:rPr>
            </w:pPr>
            <w:r>
              <w:rPr>
                <w:rFonts w:hint="default" w:ascii="Times New Roman" w:hAnsi="Times New Roman" w:cs="Times New Roman"/>
                <w:color w:val="auto"/>
                <w:highlight w:val="none"/>
                <w:lang w:eastAsia="zh-CN"/>
              </w:rPr>
              <w:t>（5）★投标人须按照国家现行检测规范开展检测操作，并对所出具的标本检测报告承担全部相应责任。</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B76B4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73273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2AE649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1AA86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default" w:ascii="Times New Roman" w:hAnsi="Times New Roman" w:eastAsia="宋体" w:cs="Times New Roman"/>
                <w:color w:val="auto"/>
                <w:highlight w:val="none"/>
              </w:rPr>
              <w:t>★</w:t>
            </w:r>
            <w:r>
              <w:rPr>
                <w:rFonts w:hint="eastAsia" w:ascii="仿宋" w:hAnsi="仿宋" w:eastAsia="仿宋" w:cs="仿宋"/>
                <w:color w:val="auto"/>
                <w:sz w:val="24"/>
                <w:lang w:val="en-US" w:eastAsia="zh-CN"/>
              </w:rPr>
              <w:t>6</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278BA36">
            <w:pPr>
              <w:pStyle w:val="24"/>
              <w:rPr>
                <w:rFonts w:hint="eastAsia"/>
                <w:color w:val="auto"/>
                <w:sz w:val="20"/>
                <w:szCs w:val="20"/>
                <w:highlight w:val="none"/>
              </w:rPr>
            </w:pPr>
            <w:r>
              <w:rPr>
                <w:rFonts w:hint="default" w:ascii="Times New Roman" w:hAnsi="Times New Roman" w:eastAsia="宋体" w:cs="Times New Roman"/>
                <w:color w:val="auto"/>
                <w:highlight w:val="none"/>
                <w:lang w:eastAsia="zh-CN"/>
              </w:rPr>
              <w:t>（6）</w:t>
            </w:r>
            <w:r>
              <w:rPr>
                <w:rFonts w:hint="default" w:ascii="Times New Roman" w:hAnsi="Times New Roman" w:eastAsia="宋体" w:cs="Times New Roman"/>
                <w:color w:val="auto"/>
                <w:highlight w:val="none"/>
              </w:rPr>
              <w:t>★投标人实验室制定并执行严禁非医学需要性别鉴定的管理制度。</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A5460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D877C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784D254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A0909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default" w:ascii="Times New Roman" w:hAnsi="Times New Roman" w:eastAsia="宋体" w:cs="Times New Roman"/>
                <w:color w:val="auto"/>
                <w:highlight w:val="none"/>
              </w:rPr>
              <w:t>★</w:t>
            </w:r>
            <w:r>
              <w:rPr>
                <w:rFonts w:hint="eastAsia" w:ascii="仿宋" w:hAnsi="仿宋" w:eastAsia="仿宋" w:cs="仿宋"/>
                <w:color w:val="auto"/>
                <w:sz w:val="24"/>
                <w:lang w:val="en-US" w:eastAsia="zh-CN"/>
              </w:rPr>
              <w:t>7</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06F5E84">
            <w:pPr>
              <w:pStyle w:val="24"/>
              <w:rPr>
                <w:rFonts w:hint="eastAsia"/>
                <w:color w:val="auto"/>
                <w:sz w:val="20"/>
                <w:szCs w:val="20"/>
                <w:highlight w:val="none"/>
              </w:rPr>
            </w:pPr>
            <w:r>
              <w:rPr>
                <w:rFonts w:hint="default" w:ascii="Times New Roman" w:hAnsi="Times New Roman" w:eastAsia="宋体" w:cs="Times New Roman"/>
                <w:color w:val="auto"/>
                <w:highlight w:val="none"/>
                <w:lang w:eastAsia="zh-CN"/>
              </w:rPr>
              <w:t>（7）</w:t>
            </w:r>
            <w:r>
              <w:rPr>
                <w:rFonts w:hint="default" w:ascii="Times New Roman" w:hAnsi="Times New Roman" w:eastAsia="宋体" w:cs="Times New Roman"/>
                <w:color w:val="auto"/>
                <w:highlight w:val="none"/>
              </w:rPr>
              <w:t>★投标人配备完善的信息系统，可与医院信息系统对接，使医务人员可以随时调阅，可实现检验项目的多终端查询，包括网页端、手机端等，对紧急报告可提供口头报告或邮件报告等形式，信息系统对接产生的费用由投标人承担。</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F1E9B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049C8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41AFC15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5CE80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8</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971196C">
            <w:pPr>
              <w:pStyle w:val="24"/>
              <w:rPr>
                <w:rFonts w:hint="eastAsia"/>
                <w:color w:val="auto"/>
                <w:sz w:val="20"/>
                <w:szCs w:val="20"/>
                <w:highlight w:val="none"/>
              </w:rPr>
            </w:pPr>
            <w:r>
              <w:rPr>
                <w:rFonts w:hint="default" w:ascii="Times New Roman" w:hAnsi="Times New Roman" w:eastAsia="宋体" w:cs="Times New Roman"/>
                <w:color w:val="auto"/>
                <w:highlight w:val="none"/>
                <w:lang w:eastAsia="zh-CN"/>
              </w:rPr>
              <w:t>（8）</w:t>
            </w:r>
            <w:r>
              <w:rPr>
                <w:rFonts w:hint="default" w:ascii="Times New Roman" w:hAnsi="Times New Roman" w:eastAsia="宋体" w:cs="Times New Roman"/>
                <w:color w:val="auto"/>
                <w:highlight w:val="none"/>
              </w:rPr>
              <w:t>投标人可以配合采购人通过信息化平台、远程会诊等形式，开展联合病例讨论。</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442D5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C288B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608CCE6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28EEB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default" w:ascii="Times New Roman" w:hAnsi="Times New Roman" w:eastAsia="宋体" w:cs="Times New Roman"/>
                <w:color w:val="auto"/>
                <w:highlight w:val="none"/>
              </w:rPr>
              <w:t>★</w:t>
            </w:r>
            <w:r>
              <w:rPr>
                <w:rFonts w:hint="eastAsia" w:ascii="仿宋" w:hAnsi="仿宋" w:eastAsia="仿宋" w:cs="仿宋"/>
                <w:color w:val="auto"/>
                <w:sz w:val="24"/>
                <w:lang w:val="en-US" w:eastAsia="zh-CN"/>
              </w:rPr>
              <w:t>9</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777EB97">
            <w:pPr>
              <w:pStyle w:val="24"/>
              <w:rPr>
                <w:rFonts w:hint="eastAsia"/>
                <w:color w:val="auto"/>
                <w:sz w:val="20"/>
                <w:szCs w:val="20"/>
                <w:highlight w:val="none"/>
              </w:rPr>
            </w:pPr>
            <w:r>
              <w:rPr>
                <w:rFonts w:hint="default" w:ascii="Times New Roman" w:hAnsi="Times New Roman" w:eastAsia="宋体" w:cs="Times New Roman"/>
                <w:color w:val="auto"/>
                <w:highlight w:val="none"/>
                <w:lang w:eastAsia="zh-CN"/>
              </w:rPr>
              <w:t>（9）</w:t>
            </w:r>
            <w:r>
              <w:rPr>
                <w:rFonts w:hint="default" w:ascii="Times New Roman" w:hAnsi="Times New Roman" w:eastAsia="宋体" w:cs="Times New Roman"/>
                <w:color w:val="auto"/>
                <w:highlight w:val="none"/>
              </w:rPr>
              <w:t>★未经采购人同意，不得将采购人标本用于他用。</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65A8C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07103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37656FE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2731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default" w:ascii="Times New Roman" w:hAnsi="Times New Roman" w:eastAsia="宋体" w:cs="Times New Roman"/>
                <w:color w:val="auto"/>
                <w:highlight w:val="none"/>
              </w:rPr>
              <w:t>★</w:t>
            </w:r>
            <w:r>
              <w:rPr>
                <w:rFonts w:hint="eastAsia" w:ascii="仿宋" w:hAnsi="仿宋" w:eastAsia="仿宋" w:cs="仿宋"/>
                <w:color w:val="auto"/>
                <w:sz w:val="24"/>
                <w:lang w:val="en-US" w:eastAsia="zh-CN"/>
              </w:rPr>
              <w:t>10</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B2994A9">
            <w:pPr>
              <w:pStyle w:val="24"/>
              <w:rPr>
                <w:rFonts w:hint="eastAsia"/>
                <w:color w:val="auto"/>
                <w:sz w:val="20"/>
                <w:szCs w:val="20"/>
                <w:highlight w:val="none"/>
              </w:rPr>
            </w:pPr>
            <w:r>
              <w:rPr>
                <w:rFonts w:hint="default" w:ascii="Times New Roman" w:hAnsi="Times New Roman" w:eastAsia="宋体" w:cs="Times New Roman"/>
                <w:color w:val="auto"/>
                <w:highlight w:val="none"/>
                <w:lang w:eastAsia="zh-CN"/>
              </w:rPr>
              <w:t>（10）</w:t>
            </w:r>
            <w:r>
              <w:rPr>
                <w:rFonts w:hint="default" w:ascii="Times New Roman" w:hAnsi="Times New Roman" w:eastAsia="宋体" w:cs="Times New Roman"/>
                <w:color w:val="auto"/>
                <w:highlight w:val="none"/>
              </w:rPr>
              <w:t>★有为用户保密的义务，未经同意不得向第三方泄露委托检验的项目、检验的内容、检验的结果。</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1687D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00153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40367A9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5B6E1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default" w:ascii="Times New Roman" w:hAnsi="Times New Roman" w:eastAsia="宋体" w:cs="Times New Roman"/>
                <w:color w:val="auto"/>
                <w:highlight w:val="none"/>
              </w:rPr>
              <w:t>★</w:t>
            </w:r>
            <w:r>
              <w:rPr>
                <w:rFonts w:hint="eastAsia" w:ascii="仿宋" w:hAnsi="仿宋" w:eastAsia="仿宋" w:cs="仿宋"/>
                <w:color w:val="auto"/>
                <w:sz w:val="24"/>
                <w:lang w:val="en-US" w:eastAsia="zh-CN"/>
              </w:rPr>
              <w:t>11</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F64693A">
            <w:pPr>
              <w:pStyle w:val="24"/>
              <w:rPr>
                <w:rFonts w:hint="eastAsia"/>
                <w:color w:val="auto"/>
                <w:sz w:val="20"/>
                <w:szCs w:val="20"/>
                <w:highlight w:val="none"/>
              </w:rPr>
            </w:pPr>
            <w:r>
              <w:rPr>
                <w:rFonts w:hint="default" w:ascii="Times New Roman" w:hAnsi="Times New Roman" w:eastAsia="宋体" w:cs="Times New Roman"/>
                <w:color w:val="auto"/>
                <w:highlight w:val="none"/>
                <w:lang w:eastAsia="zh-CN"/>
              </w:rPr>
              <w:t>（11）</w:t>
            </w:r>
            <w:r>
              <w:rPr>
                <w:rFonts w:hint="default" w:ascii="Times New Roman" w:hAnsi="Times New Roman" w:eastAsia="宋体" w:cs="Times New Roman"/>
                <w:color w:val="auto"/>
                <w:highlight w:val="none"/>
              </w:rPr>
              <w:t>★检测样本、检测数据的所有权、使用权为用户所有，未经许可不得</w:t>
            </w:r>
            <w:r>
              <w:rPr>
                <w:rFonts w:ascii="Times New Roman" w:hAnsi="Times New Roman" w:eastAsia="宋体" w:cs="Times New Roman"/>
                <w:color w:val="auto"/>
                <w:highlight w:val="none"/>
                <w:lang w:eastAsia="zh-CN"/>
              </w:rPr>
              <w:t>挪作他用</w:t>
            </w:r>
            <w:r>
              <w:rPr>
                <w:rFonts w:hint="default" w:ascii="Times New Roman" w:hAnsi="Times New Roman" w:eastAsia="宋体" w:cs="Times New Roman"/>
                <w:color w:val="auto"/>
                <w:highlight w:val="none"/>
              </w:rPr>
              <w:t>。能够按照国家、按用户要求妥善保存及销毁检验后样本。</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2EAC4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EE30B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035C81D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1F5DB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12</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F2BA6F2">
            <w:pPr>
              <w:pStyle w:val="24"/>
              <w:rPr>
                <w:rFonts w:hint="eastAsia"/>
                <w:color w:val="auto"/>
                <w:sz w:val="20"/>
                <w:szCs w:val="20"/>
                <w:highlight w:val="none"/>
              </w:rPr>
            </w:pPr>
            <w:r>
              <w:rPr>
                <w:rFonts w:hint="default" w:ascii="Times New Roman" w:hAnsi="Times New Roman" w:eastAsia="宋体" w:cs="Times New Roman"/>
                <w:color w:val="auto"/>
                <w:highlight w:val="none"/>
                <w:lang w:eastAsia="zh-CN"/>
              </w:rPr>
              <w:t>（12）</w:t>
            </w:r>
            <w:r>
              <w:rPr>
                <w:rFonts w:hint="default" w:ascii="Times New Roman" w:hAnsi="Times New Roman" w:eastAsia="宋体" w:cs="Times New Roman"/>
                <w:color w:val="auto"/>
                <w:highlight w:val="none"/>
              </w:rPr>
              <w:t>规定时间内，有追加检测项目的途径、方法。</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5673B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ACDE9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4353A8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DF06E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default" w:ascii="Times New Roman" w:hAnsi="Times New Roman" w:eastAsia="宋体" w:cs="Times New Roman"/>
                <w:color w:val="auto"/>
                <w:highlight w:val="none"/>
              </w:rPr>
              <w:t>★</w:t>
            </w:r>
            <w:r>
              <w:rPr>
                <w:rFonts w:hint="eastAsia" w:ascii="仿宋" w:hAnsi="仿宋" w:eastAsia="仿宋" w:cs="仿宋"/>
                <w:color w:val="auto"/>
                <w:sz w:val="24"/>
                <w:lang w:val="en-US" w:eastAsia="zh-CN"/>
              </w:rPr>
              <w:t>13</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6942C7F">
            <w:pPr>
              <w:pStyle w:val="24"/>
              <w:rPr>
                <w:rFonts w:hint="eastAsia"/>
                <w:color w:val="auto"/>
                <w:sz w:val="20"/>
                <w:szCs w:val="20"/>
                <w:highlight w:val="none"/>
              </w:rPr>
            </w:pPr>
            <w:r>
              <w:rPr>
                <w:rFonts w:hint="default" w:ascii="Times New Roman" w:hAnsi="Times New Roman" w:eastAsia="宋体" w:cs="Times New Roman"/>
                <w:color w:val="auto"/>
                <w:highlight w:val="none"/>
                <w:lang w:eastAsia="zh-CN"/>
              </w:rPr>
              <w:t>（13）</w:t>
            </w:r>
            <w:r>
              <w:rPr>
                <w:rFonts w:hint="default" w:ascii="Times New Roman" w:hAnsi="Times New Roman" w:eastAsia="宋体" w:cs="Times New Roman"/>
                <w:color w:val="auto"/>
                <w:highlight w:val="none"/>
              </w:rPr>
              <w:t>★所有原始数据bam/fastq、原始图片等文件</w:t>
            </w:r>
            <w:r>
              <w:rPr>
                <w:rFonts w:hint="default" w:ascii="Times New Roman" w:hAnsi="Times New Roman" w:eastAsia="宋体" w:cs="Times New Roman"/>
                <w:color w:val="auto"/>
                <w:highlight w:val="none"/>
                <w:lang w:eastAsia="zh-CN"/>
              </w:rPr>
              <w:t>可传输至医院本地实验室进行二次分析，以备结果复核。</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2028C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283C9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0A7EDF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4846C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default" w:ascii="Times New Roman" w:hAnsi="Times New Roman" w:eastAsia="宋体" w:cs="Times New Roman"/>
                <w:color w:val="auto"/>
                <w:highlight w:val="none"/>
              </w:rPr>
              <w:t>★</w:t>
            </w:r>
            <w:r>
              <w:rPr>
                <w:rFonts w:hint="eastAsia" w:ascii="仿宋" w:hAnsi="仿宋" w:eastAsia="仿宋" w:cs="仿宋"/>
                <w:color w:val="auto"/>
                <w:sz w:val="24"/>
                <w:lang w:val="en-US" w:eastAsia="zh-CN"/>
              </w:rPr>
              <w:t>14</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70277E9">
            <w:pPr>
              <w:pStyle w:val="24"/>
              <w:rPr>
                <w:rFonts w:hint="eastAsia"/>
                <w:color w:val="auto"/>
                <w:sz w:val="20"/>
                <w:szCs w:val="20"/>
                <w:highlight w:val="none"/>
              </w:rPr>
            </w:pPr>
            <w:r>
              <w:rPr>
                <w:rFonts w:hint="default" w:ascii="Times New Roman" w:hAnsi="Times New Roman" w:eastAsia="宋体" w:cs="Times New Roman"/>
                <w:color w:val="auto"/>
                <w:highlight w:val="none"/>
                <w:lang w:eastAsia="zh-CN"/>
              </w:rPr>
              <w:t>（14）</w:t>
            </w:r>
            <w:r>
              <w:rPr>
                <w:rFonts w:hint="default" w:ascii="Times New Roman" w:hAnsi="Times New Roman" w:eastAsia="宋体" w:cs="Times New Roman"/>
                <w:color w:val="auto"/>
                <w:highlight w:val="none"/>
              </w:rPr>
              <w:t>★</w:t>
            </w:r>
            <w:r>
              <w:rPr>
                <w:rFonts w:ascii="Times New Roman" w:hAnsi="Times New Roman" w:eastAsia="宋体" w:cs="Times New Roman"/>
                <w:color w:val="auto"/>
                <w:highlight w:val="none"/>
                <w:lang w:eastAsia="zh-CN"/>
              </w:rPr>
              <w:t>提供本地化分析实验结果所需的分析平台，并提供技术培训服务，所需费用包含在本次采购包内</w:t>
            </w:r>
            <w:r>
              <w:rPr>
                <w:rFonts w:hint="default" w:ascii="Times New Roman" w:hAnsi="Times New Roman" w:eastAsia="宋体" w:cs="Times New Roman"/>
                <w:color w:val="auto"/>
                <w:highlight w:val="none"/>
                <w:lang w:eastAsia="zh-CN"/>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AF6F6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2AA91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5C60B06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46204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default" w:ascii="Times New Roman" w:hAnsi="Times New Roman" w:eastAsia="宋体" w:cs="Times New Roman"/>
                <w:color w:val="auto"/>
                <w:highlight w:val="none"/>
              </w:rPr>
              <w:t>★</w:t>
            </w:r>
            <w:r>
              <w:rPr>
                <w:rFonts w:hint="eastAsia" w:ascii="仿宋" w:hAnsi="仿宋" w:eastAsia="仿宋" w:cs="仿宋"/>
                <w:color w:val="auto"/>
                <w:sz w:val="24"/>
                <w:lang w:val="en-US" w:eastAsia="zh-CN"/>
              </w:rPr>
              <w:t>15</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DA3A625">
            <w:pPr>
              <w:pStyle w:val="24"/>
              <w:rPr>
                <w:rFonts w:hint="eastAsia"/>
                <w:color w:val="auto"/>
                <w:sz w:val="20"/>
                <w:szCs w:val="20"/>
                <w:highlight w:val="none"/>
              </w:rPr>
            </w:pPr>
            <w:r>
              <w:rPr>
                <w:rFonts w:hint="default" w:ascii="Times New Roman" w:hAnsi="Times New Roman" w:eastAsia="宋体" w:cs="Times New Roman"/>
                <w:color w:val="auto"/>
                <w:highlight w:val="none"/>
                <w:lang w:eastAsia="zh-CN"/>
              </w:rPr>
              <w:t>（15）</w:t>
            </w:r>
            <w:r>
              <w:rPr>
                <w:rFonts w:hint="default" w:ascii="Times New Roman" w:hAnsi="Times New Roman" w:eastAsia="宋体" w:cs="Times New Roman"/>
                <w:color w:val="auto"/>
                <w:highlight w:val="none"/>
              </w:rPr>
              <w:t>★投标人必须保证检验结果的公正性，不受任何诱使或压力的对检验结果进行修正及更改。</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5E87D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8409B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6C78873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0C58E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default" w:ascii="Times New Roman" w:hAnsi="Times New Roman" w:eastAsia="宋体" w:cs="Times New Roman"/>
                <w:color w:val="auto"/>
                <w:highlight w:val="none"/>
              </w:rPr>
              <w:t>★</w:t>
            </w:r>
            <w:r>
              <w:rPr>
                <w:rFonts w:hint="eastAsia" w:ascii="仿宋" w:hAnsi="仿宋" w:eastAsia="仿宋" w:cs="仿宋"/>
                <w:color w:val="auto"/>
                <w:sz w:val="24"/>
                <w:lang w:val="en-US" w:eastAsia="zh-CN"/>
              </w:rPr>
              <w:t>16</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B4306A2">
            <w:pPr>
              <w:pStyle w:val="24"/>
              <w:rPr>
                <w:rFonts w:hint="eastAsia"/>
                <w:color w:val="auto"/>
                <w:sz w:val="20"/>
                <w:szCs w:val="20"/>
                <w:highlight w:val="none"/>
              </w:rPr>
            </w:pPr>
            <w:r>
              <w:rPr>
                <w:rFonts w:hint="default" w:ascii="Times New Roman" w:hAnsi="Times New Roman" w:eastAsia="宋体" w:cs="Times New Roman"/>
                <w:color w:val="auto"/>
                <w:highlight w:val="none"/>
                <w:lang w:eastAsia="zh-CN"/>
              </w:rPr>
              <w:t>（16）</w:t>
            </w:r>
            <w:r>
              <w:rPr>
                <w:rFonts w:hint="default" w:ascii="Times New Roman" w:hAnsi="Times New Roman" w:eastAsia="宋体" w:cs="Times New Roman"/>
                <w:color w:val="auto"/>
                <w:highlight w:val="none"/>
              </w:rPr>
              <w:t>★采集样本后，由投标人派专人到指定时间和地点接收并保证物流运输。遇特殊标本可机动收取。</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4BA27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5293F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0200896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AD428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default" w:ascii="Times New Roman" w:hAnsi="Times New Roman" w:eastAsia="宋体" w:cs="Times New Roman"/>
                <w:color w:val="auto"/>
                <w:highlight w:val="none"/>
              </w:rPr>
              <w:t>★</w:t>
            </w:r>
            <w:r>
              <w:rPr>
                <w:rFonts w:hint="eastAsia" w:ascii="仿宋" w:hAnsi="仿宋" w:eastAsia="仿宋" w:cs="仿宋"/>
                <w:color w:val="auto"/>
                <w:sz w:val="24"/>
                <w:lang w:val="en-US" w:eastAsia="zh-CN"/>
              </w:rPr>
              <w:t>17</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6CD100D">
            <w:pPr>
              <w:pStyle w:val="24"/>
              <w:rPr>
                <w:rFonts w:hint="eastAsia"/>
                <w:color w:val="auto"/>
                <w:sz w:val="20"/>
                <w:szCs w:val="20"/>
                <w:highlight w:val="none"/>
              </w:rPr>
            </w:pPr>
            <w:r>
              <w:rPr>
                <w:rFonts w:hint="default" w:ascii="Times New Roman" w:hAnsi="Times New Roman" w:eastAsia="宋体" w:cs="Times New Roman"/>
                <w:color w:val="auto"/>
                <w:highlight w:val="none"/>
                <w:lang w:eastAsia="zh-CN"/>
              </w:rPr>
              <w:t>（17）</w:t>
            </w:r>
            <w:r>
              <w:rPr>
                <w:rFonts w:hint="default" w:ascii="Times New Roman" w:hAnsi="Times New Roman" w:eastAsia="宋体" w:cs="Times New Roman"/>
                <w:color w:val="auto"/>
                <w:highlight w:val="none"/>
              </w:rPr>
              <w:t>★投标人提供特殊检查项目所需要的相关耗材、知情同意书、专用申请单等。</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B2381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BA356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34C0831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0EDF5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18</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0B16BCC">
            <w:pPr>
              <w:pStyle w:val="24"/>
              <w:rPr>
                <w:rFonts w:hint="eastAsia"/>
                <w:color w:val="auto"/>
                <w:sz w:val="20"/>
                <w:szCs w:val="20"/>
                <w:highlight w:val="none"/>
              </w:rPr>
            </w:pPr>
            <w:r>
              <w:rPr>
                <w:rFonts w:hint="default" w:ascii="Times New Roman" w:hAnsi="Times New Roman" w:eastAsia="宋体" w:cs="Times New Roman"/>
                <w:color w:val="auto"/>
                <w:highlight w:val="none"/>
              </w:rPr>
              <w:t>(1</w:t>
            </w:r>
            <w:r>
              <w:rPr>
                <w:rFonts w:hint="default" w:ascii="Times New Roman" w:hAnsi="Times New Roman" w:eastAsia="宋体" w:cs="Times New Roman"/>
                <w:color w:val="auto"/>
                <w:highlight w:val="none"/>
                <w:lang w:eastAsia="zh-CN"/>
              </w:rPr>
              <w:t>8</w:t>
            </w:r>
            <w:r>
              <w:rPr>
                <w:rFonts w:hint="default" w:ascii="Times New Roman" w:hAnsi="Times New Roman" w:eastAsia="宋体" w:cs="Times New Roman"/>
                <w:color w:val="auto"/>
                <w:highlight w:val="none"/>
              </w:rPr>
              <w:t>)投标方须配合并协助采购人价格调整。</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33E26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D89C5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565D4A0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42BE3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19</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86373C9">
            <w:pPr>
              <w:pStyle w:val="24"/>
              <w:rPr>
                <w:rFonts w:hint="eastAsia"/>
                <w:color w:val="auto"/>
                <w:sz w:val="20"/>
                <w:szCs w:val="20"/>
                <w:highlight w:val="none"/>
              </w:rPr>
            </w:pPr>
            <w:r>
              <w:rPr>
                <w:rFonts w:hint="default" w:ascii="Times New Roman" w:hAnsi="Times New Roman" w:eastAsia="宋体" w:cs="Times New Roman"/>
                <w:color w:val="auto"/>
                <w:highlight w:val="none"/>
              </w:rPr>
              <w:t>(1</w:t>
            </w:r>
            <w:r>
              <w:rPr>
                <w:rFonts w:hint="default" w:ascii="Times New Roman" w:hAnsi="Times New Roman" w:eastAsia="宋体" w:cs="Times New Roman"/>
                <w:color w:val="auto"/>
                <w:highlight w:val="none"/>
                <w:lang w:eastAsia="zh-CN"/>
              </w:rPr>
              <w:t>9</w:t>
            </w:r>
            <w:r>
              <w:rPr>
                <w:rFonts w:hint="default" w:ascii="Times New Roman" w:hAnsi="Times New Roman" w:eastAsia="宋体" w:cs="Times New Roman"/>
                <w:color w:val="auto"/>
                <w:highlight w:val="none"/>
              </w:rPr>
              <w:t>)投标人建立快速的客户服务反应机制，如有针对投标人或采购人与投标人双方的投诉或需处理的情况，投标人应派代表在</w:t>
            </w:r>
            <w:r>
              <w:rPr>
                <w:rFonts w:hint="default" w:ascii="Times New Roman" w:hAnsi="Times New Roman" w:eastAsia="宋体" w:cs="Times New Roman"/>
                <w:color w:val="auto"/>
                <w:highlight w:val="none"/>
                <w:lang w:eastAsia="zh-CN"/>
              </w:rPr>
              <w:t>12个小时</w:t>
            </w:r>
            <w:r>
              <w:rPr>
                <w:rFonts w:hint="default" w:ascii="Times New Roman" w:hAnsi="Times New Roman" w:eastAsia="宋体" w:cs="Times New Roman"/>
                <w:color w:val="auto"/>
                <w:highlight w:val="none"/>
              </w:rPr>
              <w:t>内到达医院及时沟通处理；若主要针对采购人的投诉或需处理的情况，投标人有义务协助采购人及时沟通处理。</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92352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9CD68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2BFF55F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9F7EE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20</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5C36039">
            <w:pPr>
              <w:spacing w:line="240" w:lineRule="auto"/>
              <w:ind w:left="5" w:hanging="5"/>
              <w:rPr>
                <w:rFonts w:hint="eastAsia"/>
                <w:color w:val="auto"/>
                <w:sz w:val="20"/>
                <w:szCs w:val="20"/>
                <w:highlight w:val="none"/>
              </w:rPr>
            </w:pPr>
            <w:r>
              <w:rPr>
                <w:color w:val="auto"/>
                <w:kern w:val="0"/>
                <w:sz w:val="20"/>
                <w:szCs w:val="20"/>
                <w:highlight w:val="none"/>
              </w:rPr>
              <w:t>（2</w:t>
            </w:r>
            <w:r>
              <w:rPr>
                <w:rFonts w:hint="eastAsia"/>
                <w:color w:val="auto"/>
                <w:kern w:val="0"/>
                <w:sz w:val="20"/>
                <w:szCs w:val="20"/>
                <w:highlight w:val="none"/>
              </w:rPr>
              <w:t>0</w:t>
            </w:r>
            <w:r>
              <w:rPr>
                <w:color w:val="auto"/>
                <w:kern w:val="0"/>
                <w:sz w:val="20"/>
                <w:szCs w:val="20"/>
                <w:highlight w:val="none"/>
              </w:rPr>
              <w:t>）</w:t>
            </w:r>
            <w:r>
              <w:rPr>
                <w:color w:val="auto"/>
                <w:kern w:val="0"/>
                <w:sz w:val="20"/>
                <w:szCs w:val="20"/>
                <w:highlight w:val="none"/>
                <w:lang w:eastAsia="zh-Hans"/>
              </w:rPr>
              <w:t>投标人一</w:t>
            </w:r>
            <w:r>
              <w:rPr>
                <w:color w:val="auto"/>
                <w:kern w:val="0"/>
                <w:sz w:val="20"/>
                <w:szCs w:val="20"/>
                <w:highlight w:val="none"/>
              </w:rPr>
              <w:t>旦</w:t>
            </w:r>
            <w:r>
              <w:rPr>
                <w:color w:val="auto"/>
                <w:kern w:val="0"/>
                <w:sz w:val="20"/>
                <w:szCs w:val="20"/>
                <w:highlight w:val="none"/>
                <w:lang w:eastAsia="zh-Hans"/>
              </w:rPr>
              <w:t>在本项目中获得中标资格，投标时的折扣率在服务期内不作调整。</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2C95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1D644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2D58CBF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D2962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21</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C9AF11F">
            <w:pPr>
              <w:spacing w:line="240" w:lineRule="auto"/>
              <w:ind w:left="5" w:hanging="5"/>
              <w:rPr>
                <w:color w:val="auto"/>
                <w:kern w:val="0"/>
                <w:sz w:val="20"/>
                <w:szCs w:val="20"/>
                <w:highlight w:val="none"/>
              </w:rPr>
            </w:pPr>
            <w:r>
              <w:rPr>
                <w:color w:val="auto"/>
                <w:kern w:val="0"/>
                <w:sz w:val="20"/>
                <w:szCs w:val="20"/>
                <w:highlight w:val="none"/>
              </w:rPr>
              <w:t>（2</w:t>
            </w:r>
            <w:r>
              <w:rPr>
                <w:rFonts w:hint="eastAsia"/>
                <w:color w:val="auto"/>
                <w:kern w:val="0"/>
                <w:sz w:val="20"/>
                <w:szCs w:val="20"/>
                <w:highlight w:val="none"/>
              </w:rPr>
              <w:t>1</w:t>
            </w:r>
            <w:r>
              <w:rPr>
                <w:color w:val="auto"/>
                <w:kern w:val="0"/>
                <w:sz w:val="20"/>
                <w:szCs w:val="20"/>
                <w:highlight w:val="none"/>
              </w:rPr>
              <w:t>）</w:t>
            </w:r>
            <w:r>
              <w:rPr>
                <w:color w:val="auto"/>
                <w:kern w:val="0"/>
                <w:sz w:val="20"/>
                <w:szCs w:val="20"/>
                <w:highlight w:val="none"/>
                <w:lang w:eastAsia="zh-Hans"/>
              </w:rPr>
              <w:t>投标人实验室服务能力满足采购人需求。</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73379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6D724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5627DCA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552DC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22</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4AB9EB3">
            <w:pPr>
              <w:spacing w:line="240" w:lineRule="auto"/>
              <w:ind w:left="5" w:hanging="5"/>
              <w:rPr>
                <w:color w:val="auto"/>
                <w:kern w:val="0"/>
                <w:sz w:val="20"/>
                <w:szCs w:val="20"/>
                <w:highlight w:val="none"/>
              </w:rPr>
            </w:pPr>
            <w:r>
              <w:rPr>
                <w:color w:val="auto"/>
                <w:kern w:val="0"/>
                <w:sz w:val="20"/>
                <w:szCs w:val="20"/>
                <w:highlight w:val="none"/>
              </w:rPr>
              <w:t>（2</w:t>
            </w:r>
            <w:r>
              <w:rPr>
                <w:rFonts w:hint="eastAsia"/>
                <w:color w:val="auto"/>
                <w:kern w:val="0"/>
                <w:sz w:val="20"/>
                <w:szCs w:val="20"/>
                <w:highlight w:val="none"/>
              </w:rPr>
              <w:t>2</w:t>
            </w:r>
            <w:r>
              <w:rPr>
                <w:color w:val="auto"/>
                <w:kern w:val="0"/>
                <w:sz w:val="20"/>
                <w:szCs w:val="20"/>
                <w:highlight w:val="none"/>
              </w:rPr>
              <w:t>）</w:t>
            </w:r>
            <w:r>
              <w:rPr>
                <w:color w:val="auto"/>
                <w:kern w:val="0"/>
                <w:sz w:val="20"/>
                <w:szCs w:val="20"/>
                <w:highlight w:val="none"/>
                <w:lang w:eastAsia="zh-Hans"/>
              </w:rPr>
              <w:t>为保障医院</w:t>
            </w:r>
            <w:r>
              <w:rPr>
                <w:color w:val="auto"/>
                <w:kern w:val="0"/>
                <w:sz w:val="20"/>
                <w:szCs w:val="20"/>
                <w:highlight w:val="none"/>
              </w:rPr>
              <w:t>学科建设</w:t>
            </w:r>
            <w:r>
              <w:rPr>
                <w:color w:val="auto"/>
                <w:kern w:val="0"/>
                <w:sz w:val="20"/>
                <w:szCs w:val="20"/>
                <w:highlight w:val="none"/>
                <w:lang w:eastAsia="zh-Hans"/>
              </w:rPr>
              <w:t>的先进性与可持续性，投标人应具备持续跟踪行业技术发展、适时引进临床适用的前沿检测项目的能力。建议建立新技术与新项目定期更新机制，原则上每半年组织一次新项目推荐与评审，经医院评估确认后，可通过</w:t>
            </w:r>
            <w:r>
              <w:rPr>
                <w:color w:val="auto"/>
                <w:kern w:val="0"/>
                <w:sz w:val="20"/>
                <w:szCs w:val="20"/>
                <w:highlight w:val="none"/>
              </w:rPr>
              <w:t>补充</w:t>
            </w:r>
            <w:r>
              <w:rPr>
                <w:color w:val="auto"/>
                <w:kern w:val="0"/>
                <w:sz w:val="20"/>
                <w:szCs w:val="20"/>
                <w:highlight w:val="none"/>
                <w:lang w:eastAsia="zh-Hans"/>
              </w:rPr>
              <w:t>协议等方式予以采购，且该等新增项目不改变原合同主体条款及核心服务内容。</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AC69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5B04E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2FAA512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465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837BA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r>
              <w:rPr>
                <w:rStyle w:val="20"/>
                <w:rFonts w:hint="eastAsia" w:ascii="宋体" w:hAnsi="宋体" w:eastAsia="宋体" w:cs="宋体"/>
                <w:b w:val="0"/>
                <w:bCs w:val="0"/>
                <w:color w:val="auto"/>
                <w:kern w:val="2"/>
                <w:sz w:val="21"/>
                <w:szCs w:val="21"/>
                <w:lang w:val="en-US" w:eastAsia="zh-CN"/>
              </w:rPr>
              <w:t>五、</w:t>
            </w:r>
            <w:r>
              <w:rPr>
                <w:rStyle w:val="20"/>
                <w:rFonts w:hint="default" w:ascii="宋体" w:hAnsi="宋体" w:eastAsia="宋体" w:cs="宋体"/>
                <w:b w:val="0"/>
                <w:bCs w:val="0"/>
                <w:color w:val="auto"/>
                <w:kern w:val="2"/>
                <w:sz w:val="21"/>
                <w:szCs w:val="21"/>
                <w:lang w:val="en-US" w:eastAsia="zh-CN"/>
              </w:rPr>
              <w:t>商务要求</w:t>
            </w:r>
          </w:p>
        </w:tc>
      </w:tr>
      <w:tr w14:paraId="788F7AD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8DE80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1</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8498A40">
            <w:pPr>
              <w:numPr>
                <w:ilvl w:val="0"/>
                <w:numId w:val="0"/>
              </w:numPr>
              <w:spacing w:line="440" w:lineRule="exact"/>
              <w:ind w:lef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标的提供的时间</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即自合同签订日起2年。当服务期满2年或合同金额累计达到预算金额993,753.60元时（以先到为准），该合同自动终⽌。在合同服务期内，采购人对中标人定期进行季度考核，如采购人对中标人所提供的服务不满意（即当季度考核结果低于80分时），采购人有权单方终止合同重新组织招标。</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A38E1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43F0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0AA6A26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D80B9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2</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12EF0E3">
            <w:pPr>
              <w:numPr>
                <w:ilvl w:val="0"/>
                <w:numId w:val="0"/>
              </w:numPr>
              <w:spacing w:line="440" w:lineRule="exact"/>
              <w:ind w:lef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标的提供的地点</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采购人指定的地点。</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B05F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9F994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677D9AE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BC398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3</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86D1C8B">
            <w:pPr>
              <w:numPr>
                <w:ilvl w:val="0"/>
                <w:numId w:val="0"/>
              </w:numPr>
              <w:spacing w:line="440" w:lineRule="exact"/>
              <w:ind w:leftChars="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付款方式</w:t>
            </w:r>
            <w:r>
              <w:rPr>
                <w:rFonts w:hint="eastAsia" w:ascii="宋体" w:hAnsi="宋体" w:eastAsia="宋体" w:cs="宋体"/>
                <w:color w:val="auto"/>
                <w:szCs w:val="21"/>
                <w:highlight w:val="none"/>
                <w:lang w:eastAsia="zh-CN"/>
              </w:rPr>
              <w:t>：</w:t>
            </w:r>
          </w:p>
          <w:p w14:paraId="10EFB7CA">
            <w:pPr>
              <w:numPr>
                <w:ilvl w:val="0"/>
                <w:numId w:val="0"/>
              </w:numPr>
              <w:spacing w:line="440" w:lineRule="exact"/>
              <w:ind w:lef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1、按季度结算。按照医院收费标准（《中⼭市公⽴医疗机构基本医疗服务价格项⽬》（最新版）三级）乘以折扣率后向采购⼈收取委托检验服务费⽤。</w:t>
            </w:r>
          </w:p>
          <w:p w14:paraId="45F83BAF">
            <w:pPr>
              <w:numPr>
                <w:ilvl w:val="0"/>
                <w:numId w:val="0"/>
              </w:numPr>
              <w:spacing w:line="440" w:lineRule="exact"/>
              <w:ind w:lef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2、中标结算价=各项目收费标准×对应中标折扣率。</w:t>
            </w:r>
          </w:p>
          <w:p w14:paraId="644C923B">
            <w:pPr>
              <w:numPr>
                <w:ilvl w:val="0"/>
                <w:numId w:val="0"/>
              </w:numPr>
              <w:spacing w:line="440" w:lineRule="exact"/>
              <w:ind w:lef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3、每季度的结算金额=Σ（采购服务数量×对应项目的单项目中标结算价）,中标人于每季度5 日前提供上月送检数量结算明细清单交到采购人处, 采购人收到资料审核无误后通知中标人开具增值税普通发票，采购人收到发票后90个工作日内转账支付服务费用。</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A89DA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1085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7A6E2A0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0DC9C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4</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5123495">
            <w:pPr>
              <w:numPr>
                <w:ilvl w:val="0"/>
                <w:numId w:val="0"/>
              </w:numPr>
              <w:spacing w:line="440" w:lineRule="exact"/>
              <w:ind w:lef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验收要求</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由采购人根据合同和采购文件、投标文件组织验收。</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5F7A4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B6E05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7D9FDB5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D3AFE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5</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32B12CD">
            <w:pPr>
              <w:numPr>
                <w:ilvl w:val="0"/>
                <w:numId w:val="0"/>
              </w:numPr>
              <w:spacing w:line="440" w:lineRule="exact"/>
              <w:ind w:leftChars="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报价要求</w:t>
            </w:r>
            <w:r>
              <w:rPr>
                <w:rFonts w:hint="eastAsia" w:ascii="宋体" w:hAnsi="宋体" w:eastAsia="宋体" w:cs="宋体"/>
                <w:color w:val="auto"/>
                <w:szCs w:val="21"/>
                <w:highlight w:val="none"/>
                <w:lang w:eastAsia="zh-CN"/>
              </w:rPr>
              <w:t>：</w:t>
            </w:r>
          </w:p>
          <w:p w14:paraId="16D3FAD1">
            <w:pPr>
              <w:numPr>
                <w:ilvl w:val="0"/>
                <w:numId w:val="0"/>
              </w:numPr>
              <w:spacing w:line="440" w:lineRule="exact"/>
              <w:ind w:lef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1、投标人应按照《中山市公立医疗机构基本医疗服务价格》（最新版）三级规定的单价为准，对本项目所有检验内容提供统一的比率报价折扣，折扣率＝（采购人实际支付单价÷按收费标准的应付费用）×100％。</w:t>
            </w:r>
          </w:p>
          <w:p w14:paraId="2B600FBE">
            <w:pPr>
              <w:numPr>
                <w:ilvl w:val="0"/>
                <w:numId w:val="0"/>
              </w:numPr>
              <w:spacing w:line="440" w:lineRule="exact"/>
              <w:ind w:lef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所报的价格已包括本服务项目相关的各种人力成本、货物成本、资料费、服务费、税费、物流服务、保存装置及合同实施过程中所需的其它费用等所有成本、费用、相关税费和合理利润（以人民币为结算单位）。</w:t>
            </w:r>
          </w:p>
          <w:p w14:paraId="4316A57F">
            <w:pPr>
              <w:numPr>
                <w:ilvl w:val="0"/>
                <w:numId w:val="0"/>
              </w:numPr>
              <w:spacing w:line="440" w:lineRule="exact"/>
              <w:ind w:lef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投标人以投标折扣率进行报价，投标折扣率必须为固定报价，不能为区间值。投标报价按《中山市公立医疗机构基本医疗服务价格》（最新版）三级不高于40％投标折扣率进行报价，高于40％的投标折扣率报价将其作为无效投标处理。评标委员会认为投标人的报价明显低于其他通过资格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7B53E07">
            <w:pPr>
              <w:numPr>
                <w:ilvl w:val="0"/>
                <w:numId w:val="0"/>
              </w:numPr>
              <w:spacing w:line="440" w:lineRule="exact"/>
              <w:ind w:lef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4、定价依据：本次招标项目价格依据《中山市公立医疗机构基本医疗服务价格项目（最新版）》三级收费标准执行。项目清单范围涵盖并不限于已列明的具体项目，投标人须具备清单内全部项目的检测能力，并在投标文件中附《诊断项目总汇》以供核查。如中山市物价政策后续发生更新或调整，则自政策生效起相应执行新颁布的价格标准。</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E56CC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7A3C3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2977D9B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87F63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6</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E235D52">
            <w:pPr>
              <w:numPr>
                <w:ilvl w:val="0"/>
                <w:numId w:val="0"/>
              </w:numPr>
              <w:spacing w:line="440" w:lineRule="exact"/>
              <w:ind w:leftChars="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考核标准</w:t>
            </w:r>
            <w:r>
              <w:rPr>
                <w:rFonts w:hint="eastAsia" w:ascii="宋体" w:hAnsi="宋体" w:eastAsia="宋体" w:cs="宋体"/>
                <w:color w:val="auto"/>
                <w:szCs w:val="21"/>
                <w:highlight w:val="none"/>
                <w:lang w:eastAsia="zh-CN"/>
              </w:rPr>
              <w:t>：</w:t>
            </w:r>
          </w:p>
          <w:p w14:paraId="2E3AEDE9">
            <w:pPr>
              <w:numPr>
                <w:ilvl w:val="0"/>
                <w:numId w:val="0"/>
              </w:numPr>
              <w:spacing w:line="440" w:lineRule="exact"/>
              <w:ind w:lef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(1)服务期内服务项目参加国家级临床检验中心组织的室间质评并成绩合格，每年提供室间质评报告。</w:t>
            </w:r>
          </w:p>
          <w:p w14:paraId="69611CA0">
            <w:pPr>
              <w:numPr>
                <w:ilvl w:val="0"/>
                <w:numId w:val="0"/>
              </w:numPr>
              <w:spacing w:line="440" w:lineRule="exact"/>
              <w:ind w:lef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(2)服务期内服务项目按相关要求规范开展室内质控，每半年提供室内质量控制报表，质控结果满意。</w:t>
            </w:r>
          </w:p>
          <w:p w14:paraId="438765C6">
            <w:pPr>
              <w:numPr>
                <w:ilvl w:val="0"/>
                <w:numId w:val="0"/>
              </w:numPr>
              <w:spacing w:line="440" w:lineRule="exact"/>
              <w:ind w:lef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(3)服务期内可随时提供质量和技术资料，如更换试剂批号、仪器维修后、检验系统更换后的质控记录和性能验证报告等。</w:t>
            </w:r>
          </w:p>
          <w:p w14:paraId="061580ED">
            <w:pPr>
              <w:numPr>
                <w:ilvl w:val="0"/>
                <w:numId w:val="0"/>
              </w:numPr>
              <w:spacing w:line="440" w:lineRule="exact"/>
              <w:ind w:lef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(4)服务期内满足约定的质量要求和服务要求。</w:t>
            </w:r>
          </w:p>
          <w:p w14:paraId="0AAB8FAC">
            <w:pPr>
              <w:numPr>
                <w:ilvl w:val="0"/>
                <w:numId w:val="0"/>
              </w:numPr>
              <w:spacing w:line="440" w:lineRule="exact"/>
              <w:ind w:lef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(5)服务期内样本周转时间（TAT）符合要求。</w:t>
            </w:r>
          </w:p>
          <w:p w14:paraId="153E10A1">
            <w:pPr>
              <w:numPr>
                <w:ilvl w:val="0"/>
                <w:numId w:val="0"/>
              </w:numPr>
              <w:spacing w:line="440" w:lineRule="exact"/>
              <w:ind w:lef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(6)服务期内采购人每年度对投标人就约定的质量要求和服务要求进行考核，具体考核标准详见附件。</w:t>
            </w:r>
          </w:p>
          <w:p w14:paraId="6DE7FB74">
            <w:pPr>
              <w:numPr>
                <w:ilvl w:val="0"/>
                <w:numId w:val="0"/>
              </w:numPr>
              <w:spacing w:line="440" w:lineRule="exact"/>
              <w:ind w:lef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(7)服务期内采购人每季度对投标人进行一次质量考核，考核方式包括但不仅限于盲样检测、第三方比对、现场飞行检测考核等。</w:t>
            </w:r>
          </w:p>
          <w:p w14:paraId="532BB895">
            <w:pPr>
              <w:numPr>
                <w:ilvl w:val="0"/>
                <w:numId w:val="0"/>
              </w:numPr>
              <w:spacing w:line="440" w:lineRule="exact"/>
              <w:ind w:lef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★(8)服务期内中标人每年度至少向采购人提交一次质量安全报告。</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252C3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28282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4B6668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465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1365DC">
            <w:pPr>
              <w:pStyle w:val="24"/>
              <w:rPr>
                <w:rFonts w:hint="default" w:ascii="Times New Roman" w:hAnsi="Times New Roman" w:cs="Times New Roman"/>
                <w:color w:val="auto"/>
                <w:highlight w:val="none"/>
              </w:rPr>
            </w:pPr>
            <w:r>
              <w:rPr>
                <w:rFonts w:hint="eastAsia" w:ascii="Times New Roman" w:hAnsi="Times New Roman" w:cs="Times New Roman"/>
                <w:b/>
                <w:color w:val="auto"/>
                <w:sz w:val="24"/>
                <w:szCs w:val="24"/>
                <w:highlight w:val="none"/>
                <w:lang w:val="en-US" w:eastAsia="zh-CN"/>
              </w:rPr>
              <w:t xml:space="preserve">附件一 </w:t>
            </w:r>
            <w:r>
              <w:rPr>
                <w:rFonts w:hint="default" w:ascii="Times New Roman" w:hAnsi="Times New Roman" w:cs="Times New Roman"/>
                <w:b/>
                <w:color w:val="auto"/>
                <w:sz w:val="24"/>
                <w:szCs w:val="24"/>
                <w:highlight w:val="none"/>
                <w:lang w:eastAsia="zh-Hans"/>
              </w:rPr>
              <w:t>受委托实验室质量检查表</w:t>
            </w:r>
            <w:r>
              <w:rPr>
                <w:rFonts w:hint="eastAsia" w:ascii="Times New Roman" w:hAnsi="Times New Roman" w:cs="Times New Roman"/>
                <w:b/>
                <w:color w:val="auto"/>
                <w:sz w:val="24"/>
                <w:szCs w:val="24"/>
                <w:highlight w:val="none"/>
                <w:lang w:val="en-US" w:eastAsia="zh-CN"/>
              </w:rPr>
              <w:t>季度</w:t>
            </w:r>
            <w:r>
              <w:rPr>
                <w:rFonts w:hint="default" w:ascii="Times New Roman" w:hAnsi="Times New Roman" w:cs="Times New Roman"/>
                <w:b/>
                <w:color w:val="auto"/>
                <w:sz w:val="24"/>
                <w:szCs w:val="24"/>
                <w:highlight w:val="none"/>
                <w:lang w:eastAsia="zh-Hans"/>
              </w:rPr>
              <w:t>考核表</w:t>
            </w:r>
            <w:r>
              <w:rPr>
                <w:rFonts w:hint="default" w:ascii="Times New Roman" w:hAnsi="Times New Roman" w:cs="Times New Roman"/>
                <w:b/>
                <w:color w:val="auto"/>
                <w:sz w:val="24"/>
                <w:szCs w:val="24"/>
                <w:highlight w:val="none"/>
                <w:lang w:eastAsia="zh-CN"/>
              </w:rPr>
              <w:t>（     年    月）</w:t>
            </w:r>
          </w:p>
          <w:tbl>
            <w:tblPr>
              <w:tblStyle w:val="15"/>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10"/>
              <w:gridCol w:w="1810"/>
              <w:gridCol w:w="5627"/>
              <w:gridCol w:w="1210"/>
              <w:gridCol w:w="610"/>
              <w:gridCol w:w="610"/>
            </w:tblGrid>
            <w:tr w14:paraId="51ECB8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759" w:hRule="atLeast"/>
              </w:trPr>
              <w:tc>
                <w:tcPr>
                  <w:tcW w:w="0" w:type="auto"/>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7E0A4A4">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序号</w:t>
                  </w:r>
                </w:p>
              </w:tc>
              <w:tc>
                <w:tcPr>
                  <w:tcW w:w="0" w:type="auto"/>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04A2D5D">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考核指标</w:t>
                  </w:r>
                </w:p>
              </w:tc>
              <w:tc>
                <w:tcPr>
                  <w:tcW w:w="0" w:type="auto"/>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8D65F97">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考核标准</w:t>
                  </w:r>
                </w:p>
              </w:tc>
              <w:tc>
                <w:tcPr>
                  <w:tcW w:w="0" w:type="auto"/>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0A611C4">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分值（分）</w:t>
                  </w:r>
                </w:p>
              </w:tc>
              <w:tc>
                <w:tcPr>
                  <w:tcW w:w="0" w:type="auto"/>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635E8AB">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得分</w:t>
                  </w:r>
                </w:p>
              </w:tc>
              <w:tc>
                <w:tcPr>
                  <w:tcW w:w="0" w:type="auto"/>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B2B941D">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备注</w:t>
                  </w:r>
                </w:p>
              </w:tc>
            </w:tr>
            <w:tr w14:paraId="10CC3B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105"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90E832">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1</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220C3AF2">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标本接收及时率</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0C26E19E">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以100%为基准，每下降1%（不足1%的按1%算），扣</w:t>
                  </w:r>
                  <w:r>
                    <w:rPr>
                      <w:rFonts w:hint="eastAsia" w:ascii="Times New Roman" w:hAnsi="Times New Roman" w:cs="Times New Roman"/>
                      <w:color w:val="auto"/>
                      <w:highlight w:val="none"/>
                      <w:lang w:val="en-US" w:eastAsia="zh-CN"/>
                    </w:rPr>
                    <w:t>2.5</w:t>
                  </w:r>
                  <w:r>
                    <w:rPr>
                      <w:rFonts w:hint="default" w:ascii="Times New Roman" w:hAnsi="Times New Roman" w:cs="Times New Roman"/>
                      <w:color w:val="auto"/>
                      <w:highlight w:val="none"/>
                    </w:rPr>
                    <w:t>分</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50F631C4">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10</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2991579E">
                  <w:pPr>
                    <w:pStyle w:val="24"/>
                    <w:rPr>
                      <w:rFonts w:hint="default" w:ascii="Times New Roman" w:hAnsi="Times New Roman" w:cs="Times New Roman"/>
                      <w:color w:val="auto"/>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0A798DB3">
                  <w:pPr>
                    <w:pStyle w:val="24"/>
                    <w:rPr>
                      <w:rFonts w:hint="default" w:ascii="Times New Roman" w:hAnsi="Times New Roman" w:cs="Times New Roman"/>
                      <w:color w:val="auto"/>
                      <w:highlight w:val="none"/>
                    </w:rPr>
                  </w:pPr>
                </w:p>
              </w:tc>
            </w:tr>
            <w:tr w14:paraId="3666A0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105"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1DFE12">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2</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1B2DBFAA">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报告及时率</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79C66D6D">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以100%为基准，每下降1%（不足1%的按1%算），扣</w:t>
                  </w:r>
                  <w:r>
                    <w:rPr>
                      <w:rFonts w:hint="eastAsia" w:ascii="Times New Roman" w:hAnsi="Times New Roman" w:cs="Times New Roman"/>
                      <w:color w:val="auto"/>
                      <w:highlight w:val="none"/>
                      <w:lang w:val="en-US" w:eastAsia="zh-CN"/>
                    </w:rPr>
                    <w:t>2.5</w:t>
                  </w:r>
                  <w:r>
                    <w:rPr>
                      <w:rFonts w:hint="default" w:ascii="Times New Roman" w:hAnsi="Times New Roman" w:cs="Times New Roman"/>
                      <w:color w:val="auto"/>
                      <w:highlight w:val="none"/>
                    </w:rPr>
                    <w:t>分</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7975320C">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10</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48832285">
                  <w:pPr>
                    <w:pStyle w:val="24"/>
                    <w:rPr>
                      <w:rFonts w:hint="default" w:ascii="Times New Roman" w:hAnsi="Times New Roman" w:cs="Times New Roman"/>
                      <w:color w:val="auto"/>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6F9A1042">
                  <w:pPr>
                    <w:pStyle w:val="24"/>
                    <w:rPr>
                      <w:rFonts w:hint="default" w:ascii="Times New Roman" w:hAnsi="Times New Roman" w:cs="Times New Roman"/>
                      <w:color w:val="auto"/>
                      <w:highlight w:val="none"/>
                    </w:rPr>
                  </w:pPr>
                </w:p>
              </w:tc>
            </w:tr>
            <w:tr w14:paraId="006251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759"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28541A">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3</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52BA006C">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报告准确率</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753D82BC">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出现报告不准确、漏检或错检，每例扣2.5分</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7A9554BC">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10</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6A4567AF">
                  <w:pPr>
                    <w:pStyle w:val="24"/>
                    <w:rPr>
                      <w:rFonts w:hint="default" w:ascii="Times New Roman" w:hAnsi="Times New Roman" w:cs="Times New Roman"/>
                      <w:color w:val="auto"/>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31222A91">
                  <w:pPr>
                    <w:pStyle w:val="24"/>
                    <w:rPr>
                      <w:rFonts w:hint="default" w:ascii="Times New Roman" w:hAnsi="Times New Roman" w:cs="Times New Roman"/>
                      <w:color w:val="auto"/>
                      <w:highlight w:val="none"/>
                    </w:rPr>
                  </w:pPr>
                </w:p>
              </w:tc>
            </w:tr>
            <w:tr w14:paraId="6F0123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759"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76BFE4">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4</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525C4A50">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标本丢失率</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365011C5">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出现标本丢失，每例扣</w:t>
                  </w:r>
                  <w:r>
                    <w:rPr>
                      <w:rFonts w:hint="eastAsia" w:ascii="Times New Roman" w:hAnsi="Times New Roman" w:cs="Times New Roman"/>
                      <w:color w:val="auto"/>
                      <w:highlight w:val="none"/>
                      <w:lang w:val="en-US" w:eastAsia="zh-CN"/>
                    </w:rPr>
                    <w:t>5</w:t>
                  </w:r>
                  <w:r>
                    <w:rPr>
                      <w:rFonts w:hint="default" w:ascii="Times New Roman" w:hAnsi="Times New Roman" w:cs="Times New Roman"/>
                      <w:color w:val="auto"/>
                      <w:highlight w:val="none"/>
                    </w:rPr>
                    <w:t>分</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4BA4B720">
                  <w:pPr>
                    <w:pStyle w:val="24"/>
                    <w:rPr>
                      <w:rFonts w:hint="default" w:ascii="Times New Roman" w:hAnsi="Times New Roman" w:cs="Times New Roman"/>
                      <w:color w:val="auto"/>
                      <w:highlight w:val="none"/>
                    </w:rPr>
                  </w:pPr>
                  <w:r>
                    <w:rPr>
                      <w:rFonts w:hint="eastAsia" w:ascii="Times New Roman" w:hAnsi="Times New Roman" w:cs="Times New Roman"/>
                      <w:color w:val="auto"/>
                      <w:highlight w:val="none"/>
                      <w:lang w:val="en-US" w:eastAsia="zh-CN"/>
                    </w:rPr>
                    <w:t>1</w:t>
                  </w:r>
                  <w:r>
                    <w:rPr>
                      <w:rFonts w:hint="default" w:ascii="Times New Roman" w:hAnsi="Times New Roman" w:cs="Times New Roman"/>
                      <w:color w:val="auto"/>
                      <w:highlight w:val="none"/>
                    </w:rPr>
                    <w:t>0</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611F4854">
                  <w:pPr>
                    <w:pStyle w:val="24"/>
                    <w:rPr>
                      <w:rFonts w:hint="default" w:ascii="Times New Roman" w:hAnsi="Times New Roman" w:cs="Times New Roman"/>
                      <w:color w:val="auto"/>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2BB808F8">
                  <w:pPr>
                    <w:pStyle w:val="24"/>
                    <w:rPr>
                      <w:rFonts w:hint="default" w:ascii="Times New Roman" w:hAnsi="Times New Roman" w:cs="Times New Roman"/>
                      <w:color w:val="auto"/>
                      <w:highlight w:val="none"/>
                    </w:rPr>
                  </w:pPr>
                </w:p>
              </w:tc>
            </w:tr>
            <w:tr w14:paraId="6B0462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105"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7D427C">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5</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18FC4868">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危急值报告及时率</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1671ACEE">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出现危急值报告不及时、漏报或错报，每例扣</w:t>
                  </w:r>
                  <w:r>
                    <w:rPr>
                      <w:rFonts w:hint="eastAsia" w:ascii="Times New Roman" w:hAnsi="Times New Roman" w:cs="Times New Roman"/>
                      <w:color w:val="auto"/>
                      <w:highlight w:val="none"/>
                      <w:lang w:val="en-US" w:eastAsia="zh-CN"/>
                    </w:rPr>
                    <w:t>10</w:t>
                  </w:r>
                  <w:r>
                    <w:rPr>
                      <w:rFonts w:hint="default" w:ascii="Times New Roman" w:hAnsi="Times New Roman" w:cs="Times New Roman"/>
                      <w:color w:val="auto"/>
                      <w:highlight w:val="none"/>
                    </w:rPr>
                    <w:t>分</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7CB7859A">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20</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6DB966C8">
                  <w:pPr>
                    <w:pStyle w:val="24"/>
                    <w:rPr>
                      <w:rFonts w:hint="default" w:ascii="Times New Roman" w:hAnsi="Times New Roman" w:cs="Times New Roman"/>
                      <w:color w:val="auto"/>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78B2794F">
                  <w:pPr>
                    <w:pStyle w:val="24"/>
                    <w:rPr>
                      <w:rFonts w:hint="default" w:ascii="Times New Roman" w:hAnsi="Times New Roman" w:cs="Times New Roman"/>
                      <w:color w:val="auto"/>
                      <w:highlight w:val="none"/>
                    </w:rPr>
                  </w:pPr>
                </w:p>
              </w:tc>
            </w:tr>
            <w:tr w14:paraId="4929D6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105"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EADAEE">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6</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54FA8106">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质量控制资料</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574D8759">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及时提供室内室间质量控制资料，不及时每次扣2.5分。</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5E9C068B">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20</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30CB8BB3">
                  <w:pPr>
                    <w:pStyle w:val="24"/>
                    <w:rPr>
                      <w:rFonts w:hint="default" w:ascii="Times New Roman" w:hAnsi="Times New Roman" w:cs="Times New Roman"/>
                      <w:color w:val="auto"/>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527873C6">
                  <w:pPr>
                    <w:pStyle w:val="24"/>
                    <w:rPr>
                      <w:rFonts w:hint="default" w:ascii="Times New Roman" w:hAnsi="Times New Roman" w:cs="Times New Roman"/>
                      <w:color w:val="auto"/>
                      <w:highlight w:val="none"/>
                    </w:rPr>
                  </w:pPr>
                </w:p>
              </w:tc>
            </w:tr>
            <w:tr w14:paraId="409103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105"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E9D7DB">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7</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05062BA3">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耗材提供及时率</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698D2AC1">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出现耗材提供不及时,每次扣2.5分</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19718B44">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10</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6E90BF54">
                  <w:pPr>
                    <w:pStyle w:val="24"/>
                    <w:rPr>
                      <w:rFonts w:hint="default" w:ascii="Times New Roman" w:hAnsi="Times New Roman" w:cs="Times New Roman"/>
                      <w:color w:val="auto"/>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35927722">
                  <w:pPr>
                    <w:pStyle w:val="24"/>
                    <w:rPr>
                      <w:rFonts w:hint="default" w:ascii="Times New Roman" w:hAnsi="Times New Roman" w:cs="Times New Roman"/>
                      <w:color w:val="auto"/>
                      <w:highlight w:val="none"/>
                    </w:rPr>
                  </w:pPr>
                </w:p>
              </w:tc>
            </w:tr>
            <w:tr w14:paraId="21E3811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105"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3F7D54">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8</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36817D12">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临床服务</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1272A1F4">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及时响应客户需求，解决客户问题，不及时每次扣2.5分</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27A92D02">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10</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317B557E">
                  <w:pPr>
                    <w:pStyle w:val="24"/>
                    <w:rPr>
                      <w:rFonts w:hint="default" w:ascii="Times New Roman" w:hAnsi="Times New Roman" w:cs="Times New Roman"/>
                      <w:color w:val="auto"/>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6723F300">
                  <w:pPr>
                    <w:pStyle w:val="24"/>
                    <w:rPr>
                      <w:rFonts w:hint="default" w:ascii="Times New Roman" w:hAnsi="Times New Roman" w:cs="Times New Roman"/>
                      <w:color w:val="auto"/>
                      <w:highlight w:val="none"/>
                    </w:rPr>
                  </w:pPr>
                </w:p>
              </w:tc>
            </w:tr>
            <w:tr w14:paraId="58DEF9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0" w:type="auto"/>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006A06">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合计</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0EDB5F3D">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100</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69041955">
                  <w:pPr>
                    <w:pStyle w:val="24"/>
                    <w:rPr>
                      <w:rFonts w:hint="default" w:ascii="Times New Roman" w:hAnsi="Times New Roman" w:cs="Times New Roman"/>
                      <w:color w:val="auto"/>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17204CFA">
                  <w:pPr>
                    <w:pStyle w:val="24"/>
                    <w:rPr>
                      <w:rFonts w:hint="default" w:ascii="Times New Roman" w:hAnsi="Times New Roman" w:cs="Times New Roman"/>
                      <w:color w:val="auto"/>
                      <w:highlight w:val="none"/>
                    </w:rPr>
                  </w:pPr>
                </w:p>
              </w:tc>
            </w:tr>
          </w:tbl>
          <w:p w14:paraId="10699160">
            <w:pPr>
              <w:pStyle w:val="24"/>
              <w:rPr>
                <w:rFonts w:hint="default" w:ascii="Times New Roman" w:hAnsi="Times New Roman" w:cs="Times New Roman"/>
                <w:color w:val="auto"/>
                <w:highlight w:val="none"/>
              </w:rPr>
            </w:pPr>
          </w:p>
          <w:p w14:paraId="33127198">
            <w:pPr>
              <w:pStyle w:val="24"/>
              <w:rPr>
                <w:rFonts w:hint="default" w:ascii="Times New Roman" w:hAnsi="Times New Roman" w:cs="Times New Roman"/>
                <w:color w:val="auto"/>
                <w:highlight w:val="none"/>
              </w:rPr>
            </w:pPr>
          </w:p>
          <w:p w14:paraId="169B66D7">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被考核单位：              被考核单位陪同考核人员：</w:t>
            </w:r>
          </w:p>
          <w:p w14:paraId="4A6649D0">
            <w:pPr>
              <w:pStyle w:val="24"/>
              <w:rPr>
                <w:rFonts w:hint="default" w:ascii="Times New Roman" w:hAnsi="Times New Roman" w:cs="Times New Roman"/>
                <w:color w:val="auto"/>
                <w:highlight w:val="none"/>
              </w:rPr>
            </w:pPr>
          </w:p>
          <w:p w14:paraId="1B87C135">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考核人：        </w:t>
            </w:r>
            <w:r>
              <w:rPr>
                <w:rFonts w:hint="eastAsia"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审核人：           考核日期：</w:t>
            </w:r>
          </w:p>
          <w:p w14:paraId="3E96F76B">
            <w:pPr>
              <w:pStyle w:val="24"/>
              <w:rPr>
                <w:rFonts w:hint="default" w:ascii="Times New Roman" w:hAnsi="Times New Roman" w:cs="Times New Roman"/>
                <w:color w:val="auto"/>
                <w:highlight w:val="none"/>
              </w:rPr>
            </w:pPr>
          </w:p>
          <w:p w14:paraId="11B7E333">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备注：1、本考核表满分100分。</w:t>
            </w:r>
          </w:p>
          <w:p w14:paraId="4FB2CB20">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2、</w:t>
            </w:r>
            <w:r>
              <w:rPr>
                <w:rFonts w:hint="eastAsia" w:ascii="Times New Roman" w:hAnsi="Times New Roman" w:cs="Times New Roman"/>
                <w:color w:val="auto"/>
                <w:highlight w:val="none"/>
              </w:rPr>
              <w:t>考核评分90分及以上时，不扣罚；</w:t>
            </w:r>
            <w:r>
              <w:rPr>
                <w:rFonts w:hint="eastAsia" w:ascii="Times New Roman" w:hAnsi="Times New Roman" w:cs="Times New Roman"/>
                <w:color w:val="auto"/>
                <w:highlight w:val="none"/>
                <w:lang w:val="en-US" w:eastAsia="zh-CN"/>
              </w:rPr>
              <w:t>评分≥80，且＜90分时</w:t>
            </w:r>
            <w:r>
              <w:rPr>
                <w:rFonts w:hint="eastAsia" w:ascii="Times New Roman" w:hAnsi="Times New Roman" w:cs="Times New Roman"/>
                <w:color w:val="auto"/>
                <w:highlight w:val="none"/>
              </w:rPr>
              <w:t>，</w:t>
            </w:r>
            <w:r>
              <w:rPr>
                <w:rFonts w:hint="default" w:ascii="Times New Roman" w:hAnsi="Times New Roman" w:cs="Times New Roman"/>
                <w:color w:val="auto"/>
                <w:highlight w:val="none"/>
              </w:rPr>
              <w:t>扣罚中标人次季度5％的服务费</w:t>
            </w:r>
            <w:r>
              <w:rPr>
                <w:rFonts w:hint="eastAsia" w:ascii="Times New Roman" w:hAnsi="Times New Roman" w:cs="Times New Roman"/>
                <w:color w:val="auto"/>
                <w:highlight w:val="none"/>
              </w:rPr>
              <w:t>；评分＜80分时，</w:t>
            </w:r>
            <w:r>
              <w:rPr>
                <w:rFonts w:hint="default" w:ascii="Times New Roman" w:hAnsi="Times New Roman" w:cs="Times New Roman"/>
                <w:color w:val="auto"/>
                <w:highlight w:val="none"/>
              </w:rPr>
              <w:t>采购人有权单方终止合同</w:t>
            </w:r>
            <w:r>
              <w:rPr>
                <w:rFonts w:hint="eastAsia" w:ascii="Times New Roman" w:hAnsi="Times New Roman" w:cs="Times New Roman"/>
                <w:color w:val="auto"/>
                <w:highlight w:val="none"/>
              </w:rPr>
              <w:t>并重新组织招标</w:t>
            </w:r>
            <w:r>
              <w:rPr>
                <w:rFonts w:hint="default" w:ascii="Times New Roman" w:hAnsi="Times New Roman" w:cs="Times New Roman"/>
                <w:color w:val="auto"/>
                <w:highlight w:val="none"/>
              </w:rPr>
              <w:t>。</w:t>
            </w:r>
          </w:p>
          <w:p w14:paraId="791C41A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r>
              <w:rPr>
                <w:b/>
                <w:color w:val="auto"/>
                <w:sz w:val="24"/>
                <w:highlight w:val="none"/>
              </w:rPr>
              <w:t xml:space="preserve">考核人员：                              考核日期：  </w:t>
            </w:r>
          </w:p>
        </w:tc>
      </w:tr>
      <w:tr w14:paraId="5A558A9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465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D7A83C">
            <w:pPr>
              <w:pStyle w:val="24"/>
              <w:jc w:val="both"/>
              <w:rPr>
                <w:rFonts w:hint="eastAsia" w:ascii="Times New Roman" w:hAnsi="Times New Roman" w:cs="Times New Roman"/>
                <w:b/>
                <w:color w:val="auto"/>
                <w:sz w:val="24"/>
                <w:szCs w:val="24"/>
                <w:highlight w:val="none"/>
                <w:lang w:val="en-US" w:eastAsia="zh-CN"/>
              </w:rPr>
            </w:pPr>
            <w:r>
              <w:rPr>
                <w:rFonts w:hint="eastAsia" w:ascii="Times New Roman" w:hAnsi="Times New Roman" w:cs="Times New Roman"/>
                <w:b/>
                <w:color w:val="auto"/>
                <w:sz w:val="24"/>
                <w:szCs w:val="24"/>
                <w:highlight w:val="none"/>
                <w:lang w:val="en-US" w:eastAsia="zh-CN"/>
              </w:rPr>
              <w:t>附件二：</w:t>
            </w:r>
          </w:p>
          <w:p w14:paraId="29121673">
            <w:pPr>
              <w:pStyle w:val="24"/>
              <w:jc w:val="center"/>
              <w:rPr>
                <w:rFonts w:hint="eastAsia" w:ascii="Times New Roman" w:hAnsi="Times New Roman" w:cs="Times New Roman"/>
                <w:b/>
                <w:color w:val="auto"/>
                <w:sz w:val="24"/>
                <w:szCs w:val="24"/>
                <w:highlight w:val="none"/>
                <w:lang w:val="en-US" w:eastAsia="zh-CN"/>
              </w:rPr>
            </w:pPr>
            <w:r>
              <w:rPr>
                <w:rFonts w:hint="eastAsia" w:ascii="Times New Roman" w:hAnsi="Times New Roman" w:cs="Times New Roman"/>
                <w:b/>
                <w:color w:val="auto"/>
                <w:sz w:val="24"/>
                <w:szCs w:val="24"/>
                <w:highlight w:val="none"/>
                <w:lang w:val="en-US" w:eastAsia="zh-CN"/>
              </w:rPr>
              <w:t>受委托实验室质量检查表</w:t>
            </w:r>
          </w:p>
          <w:p w14:paraId="7180BD21">
            <w:pPr>
              <w:jc w:val="center"/>
              <w:rPr>
                <w:rFonts w:hint="eastAsia"/>
                <w:color w:val="auto"/>
                <w:sz w:val="28"/>
                <w:szCs w:val="28"/>
                <w:highlight w:val="none"/>
              </w:rPr>
            </w:pPr>
            <w:r>
              <w:rPr>
                <w:rFonts w:hint="eastAsia"/>
                <w:color w:val="auto"/>
                <w:highlight w:val="none"/>
              </w:rPr>
              <w:t>受委托实验室：         检查日期：     年   月    日</w:t>
            </w:r>
          </w:p>
          <w:tbl>
            <w:tblPr>
              <w:tblStyle w:val="15"/>
              <w:tblW w:w="9173" w:type="dxa"/>
              <w:jc w:val="center"/>
              <w:tblLayout w:type="autofit"/>
              <w:tblCellMar>
                <w:top w:w="0" w:type="dxa"/>
                <w:left w:w="108" w:type="dxa"/>
                <w:bottom w:w="0" w:type="dxa"/>
                <w:right w:w="108" w:type="dxa"/>
              </w:tblCellMar>
            </w:tblPr>
            <w:tblGrid>
              <w:gridCol w:w="6968"/>
              <w:gridCol w:w="240"/>
              <w:gridCol w:w="934"/>
              <w:gridCol w:w="1031"/>
            </w:tblGrid>
            <w:tr w14:paraId="1004D038">
              <w:tblPrEx>
                <w:tblCellMar>
                  <w:top w:w="0" w:type="dxa"/>
                  <w:left w:w="108" w:type="dxa"/>
                  <w:bottom w:w="0" w:type="dxa"/>
                  <w:right w:w="108" w:type="dxa"/>
                </w:tblCellMar>
              </w:tblPrEx>
              <w:trPr>
                <w:trHeight w:val="152" w:hRule="atLeast"/>
                <w:jc w:val="center"/>
              </w:trPr>
              <w:tc>
                <w:tcPr>
                  <w:tcW w:w="6968" w:type="dxa"/>
                  <w:tcBorders>
                    <w:top w:val="single" w:color="000000" w:sz="4" w:space="0"/>
                    <w:left w:val="single" w:color="000000" w:sz="4" w:space="0"/>
                    <w:bottom w:val="single" w:color="000000" w:sz="4" w:space="0"/>
                    <w:tl2br w:val="nil"/>
                    <w:tr2bl w:val="nil"/>
                  </w:tcBorders>
                  <w:vAlign w:val="center"/>
                </w:tcPr>
                <w:p w14:paraId="0EF3B177">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一、实验室资质</w:t>
                  </w:r>
                </w:p>
              </w:tc>
              <w:tc>
                <w:tcPr>
                  <w:tcW w:w="1174" w:type="dxa"/>
                  <w:gridSpan w:val="2"/>
                  <w:tcBorders>
                    <w:top w:val="single" w:color="000000" w:sz="4" w:space="0"/>
                    <w:bottom w:val="single" w:color="000000" w:sz="4" w:space="0"/>
                    <w:tl2br w:val="nil"/>
                    <w:tr2bl w:val="nil"/>
                  </w:tcBorders>
                </w:tcPr>
                <w:p w14:paraId="48E56FDE">
                  <w:pPr>
                    <w:rPr>
                      <w:rFonts w:hint="eastAsia" w:ascii="宋体" w:hAnsi="宋体" w:eastAsia="宋体" w:cs="宋体"/>
                      <w:color w:val="auto"/>
                      <w:sz w:val="21"/>
                      <w:szCs w:val="21"/>
                      <w:highlight w:val="none"/>
                    </w:rPr>
                  </w:pPr>
                </w:p>
              </w:tc>
              <w:tc>
                <w:tcPr>
                  <w:tcW w:w="1031" w:type="dxa"/>
                  <w:tcBorders>
                    <w:top w:val="single" w:color="000000" w:sz="4" w:space="0"/>
                    <w:bottom w:val="single" w:color="000000" w:sz="4" w:space="0"/>
                    <w:right w:val="single" w:color="000000" w:sz="4" w:space="0"/>
                    <w:tl2br w:val="nil"/>
                    <w:tr2bl w:val="nil"/>
                  </w:tcBorders>
                </w:tcPr>
                <w:p w14:paraId="7CC93DE9">
                  <w:pPr>
                    <w:jc w:val="center"/>
                    <w:rPr>
                      <w:rFonts w:hint="eastAsia" w:ascii="宋体" w:hAnsi="宋体" w:eastAsia="宋体" w:cs="宋体"/>
                      <w:color w:val="auto"/>
                      <w:sz w:val="21"/>
                      <w:szCs w:val="21"/>
                      <w:highlight w:val="none"/>
                    </w:rPr>
                  </w:pPr>
                </w:p>
              </w:tc>
            </w:tr>
            <w:tr w14:paraId="3AD977E7">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tl2br w:val="nil"/>
                    <w:tr2bl w:val="nil"/>
                  </w:tcBorders>
                  <w:vAlign w:val="center"/>
                </w:tcPr>
                <w:p w14:paraId="7DEB7D43">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医疗机构执业许可证书编号及有效期：</w:t>
                  </w:r>
                </w:p>
                <w:p w14:paraId="5FE50064">
                  <w:pPr>
                    <w:ind w:firstLine="840" w:firstLineChars="400"/>
                    <w:rPr>
                      <w:rFonts w:hint="eastAsia" w:ascii="宋体" w:hAnsi="宋体" w:eastAsia="宋体" w:cs="宋体"/>
                      <w:color w:val="auto"/>
                      <w:sz w:val="21"/>
                      <w:szCs w:val="21"/>
                      <w:highlight w:val="none"/>
                    </w:rPr>
                  </w:pPr>
                </w:p>
                <w:p w14:paraId="02297B68">
                  <w:pPr>
                    <w:ind w:firstLine="840" w:firstLineChars="400"/>
                    <w:rPr>
                      <w:rFonts w:hint="eastAsia" w:ascii="宋体" w:hAnsi="宋体" w:eastAsia="宋体" w:cs="宋体"/>
                      <w:color w:val="auto"/>
                      <w:sz w:val="21"/>
                      <w:szCs w:val="21"/>
                      <w:highlight w:val="none"/>
                    </w:rPr>
                  </w:pPr>
                </w:p>
              </w:tc>
              <w:tc>
                <w:tcPr>
                  <w:tcW w:w="1174" w:type="dxa"/>
                  <w:gridSpan w:val="2"/>
                  <w:tcBorders>
                    <w:top w:val="single" w:color="000000" w:sz="4" w:space="0"/>
                    <w:bottom w:val="single" w:color="000000" w:sz="4" w:space="0"/>
                    <w:tl2br w:val="nil"/>
                    <w:tr2bl w:val="nil"/>
                  </w:tcBorders>
                </w:tcPr>
                <w:p w14:paraId="47A4A4E2">
                  <w:pPr>
                    <w:rPr>
                      <w:rFonts w:hint="eastAsia" w:ascii="宋体" w:hAnsi="宋体" w:eastAsia="宋体" w:cs="宋体"/>
                      <w:color w:val="auto"/>
                      <w:sz w:val="21"/>
                      <w:szCs w:val="21"/>
                      <w:highlight w:val="none"/>
                    </w:rPr>
                  </w:pPr>
                </w:p>
              </w:tc>
              <w:tc>
                <w:tcPr>
                  <w:tcW w:w="1031" w:type="dxa"/>
                  <w:tcBorders>
                    <w:top w:val="single" w:color="000000" w:sz="4" w:space="0"/>
                    <w:bottom w:val="single" w:color="000000" w:sz="4" w:space="0"/>
                    <w:right w:val="single" w:color="000000" w:sz="4" w:space="0"/>
                    <w:tl2br w:val="nil"/>
                    <w:tr2bl w:val="nil"/>
                  </w:tcBorders>
                </w:tcPr>
                <w:p w14:paraId="688043BC">
                  <w:pPr>
                    <w:jc w:val="center"/>
                    <w:rPr>
                      <w:rFonts w:hint="eastAsia" w:ascii="宋体" w:hAnsi="宋体" w:eastAsia="宋体" w:cs="宋体"/>
                      <w:color w:val="auto"/>
                      <w:sz w:val="21"/>
                      <w:szCs w:val="21"/>
                      <w:highlight w:val="none"/>
                    </w:rPr>
                  </w:pPr>
                </w:p>
              </w:tc>
            </w:tr>
            <w:tr w14:paraId="5B6F872A">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tl2br w:val="nil"/>
                    <w:tr2bl w:val="nil"/>
                  </w:tcBorders>
                  <w:vAlign w:val="center"/>
                </w:tcPr>
                <w:p w14:paraId="6B8AF3D5">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医学或微生物实验室备案证书编号及有效期：</w:t>
                  </w:r>
                </w:p>
                <w:p w14:paraId="036342E6">
                  <w:pPr>
                    <w:ind w:firstLine="840" w:firstLineChars="400"/>
                    <w:rPr>
                      <w:rFonts w:hint="eastAsia" w:ascii="宋体" w:hAnsi="宋体" w:eastAsia="宋体" w:cs="宋体"/>
                      <w:color w:val="auto"/>
                      <w:sz w:val="21"/>
                      <w:szCs w:val="21"/>
                      <w:highlight w:val="none"/>
                    </w:rPr>
                  </w:pPr>
                </w:p>
                <w:p w14:paraId="038E5A2F">
                  <w:pPr>
                    <w:ind w:firstLine="840" w:firstLineChars="400"/>
                    <w:rPr>
                      <w:rFonts w:hint="eastAsia" w:ascii="宋体" w:hAnsi="宋体" w:eastAsia="宋体" w:cs="宋体"/>
                      <w:color w:val="auto"/>
                      <w:sz w:val="21"/>
                      <w:szCs w:val="21"/>
                      <w:highlight w:val="none"/>
                    </w:rPr>
                  </w:pPr>
                </w:p>
              </w:tc>
              <w:tc>
                <w:tcPr>
                  <w:tcW w:w="1174" w:type="dxa"/>
                  <w:gridSpan w:val="2"/>
                  <w:tcBorders>
                    <w:top w:val="single" w:color="000000" w:sz="4" w:space="0"/>
                    <w:bottom w:val="single" w:color="000000" w:sz="4" w:space="0"/>
                    <w:tl2br w:val="nil"/>
                    <w:tr2bl w:val="nil"/>
                  </w:tcBorders>
                </w:tcPr>
                <w:p w14:paraId="4653974D">
                  <w:pPr>
                    <w:rPr>
                      <w:rFonts w:hint="eastAsia" w:ascii="宋体" w:hAnsi="宋体" w:eastAsia="宋体" w:cs="宋体"/>
                      <w:color w:val="auto"/>
                      <w:sz w:val="21"/>
                      <w:szCs w:val="21"/>
                      <w:highlight w:val="none"/>
                    </w:rPr>
                  </w:pPr>
                </w:p>
              </w:tc>
              <w:tc>
                <w:tcPr>
                  <w:tcW w:w="1031" w:type="dxa"/>
                  <w:tcBorders>
                    <w:top w:val="single" w:color="000000" w:sz="4" w:space="0"/>
                    <w:bottom w:val="single" w:color="000000" w:sz="4" w:space="0"/>
                    <w:right w:val="single" w:color="000000" w:sz="4" w:space="0"/>
                    <w:tl2br w:val="nil"/>
                    <w:tr2bl w:val="nil"/>
                  </w:tcBorders>
                </w:tcPr>
                <w:p w14:paraId="4CE96624">
                  <w:pPr>
                    <w:jc w:val="center"/>
                    <w:rPr>
                      <w:rFonts w:hint="eastAsia" w:ascii="宋体" w:hAnsi="宋体" w:eastAsia="宋体" w:cs="宋体"/>
                      <w:color w:val="auto"/>
                      <w:sz w:val="21"/>
                      <w:szCs w:val="21"/>
                      <w:highlight w:val="none"/>
                    </w:rPr>
                  </w:pPr>
                </w:p>
              </w:tc>
            </w:tr>
            <w:tr w14:paraId="336AF127">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tl2br w:val="nil"/>
                    <w:tr2bl w:val="nil"/>
                  </w:tcBorders>
                  <w:vAlign w:val="center"/>
                </w:tcPr>
                <w:p w14:paraId="14296C5F">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HIV实验室备案证书编号及有效期：</w:t>
                  </w:r>
                </w:p>
                <w:p w14:paraId="01ECD36B">
                  <w:pPr>
                    <w:ind w:firstLine="840" w:firstLineChars="400"/>
                    <w:rPr>
                      <w:rFonts w:hint="eastAsia" w:ascii="宋体" w:hAnsi="宋体" w:eastAsia="宋体" w:cs="宋体"/>
                      <w:color w:val="auto"/>
                      <w:sz w:val="21"/>
                      <w:szCs w:val="21"/>
                      <w:highlight w:val="none"/>
                    </w:rPr>
                  </w:pPr>
                </w:p>
                <w:p w14:paraId="16B9ABEA">
                  <w:pPr>
                    <w:ind w:firstLine="840" w:firstLineChars="400"/>
                    <w:rPr>
                      <w:rFonts w:hint="eastAsia" w:ascii="宋体" w:hAnsi="宋体" w:eastAsia="宋体" w:cs="宋体"/>
                      <w:color w:val="auto"/>
                      <w:sz w:val="21"/>
                      <w:szCs w:val="21"/>
                      <w:highlight w:val="none"/>
                    </w:rPr>
                  </w:pPr>
                </w:p>
              </w:tc>
              <w:tc>
                <w:tcPr>
                  <w:tcW w:w="1174" w:type="dxa"/>
                  <w:gridSpan w:val="2"/>
                  <w:tcBorders>
                    <w:top w:val="single" w:color="000000" w:sz="4" w:space="0"/>
                    <w:bottom w:val="single" w:color="000000" w:sz="4" w:space="0"/>
                    <w:tl2br w:val="nil"/>
                    <w:tr2bl w:val="nil"/>
                  </w:tcBorders>
                </w:tcPr>
                <w:p w14:paraId="4742CFA1">
                  <w:pPr>
                    <w:rPr>
                      <w:rFonts w:hint="eastAsia" w:ascii="宋体" w:hAnsi="宋体" w:eastAsia="宋体" w:cs="宋体"/>
                      <w:color w:val="auto"/>
                      <w:sz w:val="21"/>
                      <w:szCs w:val="21"/>
                      <w:highlight w:val="none"/>
                    </w:rPr>
                  </w:pPr>
                </w:p>
              </w:tc>
              <w:tc>
                <w:tcPr>
                  <w:tcW w:w="1031" w:type="dxa"/>
                  <w:tcBorders>
                    <w:top w:val="single" w:color="000000" w:sz="4" w:space="0"/>
                    <w:bottom w:val="single" w:color="000000" w:sz="4" w:space="0"/>
                    <w:right w:val="single" w:color="000000" w:sz="4" w:space="0"/>
                    <w:tl2br w:val="nil"/>
                    <w:tr2bl w:val="nil"/>
                  </w:tcBorders>
                </w:tcPr>
                <w:p w14:paraId="302FB4CA">
                  <w:pPr>
                    <w:jc w:val="center"/>
                    <w:rPr>
                      <w:rFonts w:hint="eastAsia" w:ascii="宋体" w:hAnsi="宋体" w:eastAsia="宋体" w:cs="宋体"/>
                      <w:color w:val="auto"/>
                      <w:sz w:val="21"/>
                      <w:szCs w:val="21"/>
                      <w:highlight w:val="none"/>
                    </w:rPr>
                  </w:pPr>
                </w:p>
              </w:tc>
            </w:tr>
            <w:tr w14:paraId="2C42127A">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tl2br w:val="nil"/>
                    <w:tr2bl w:val="nil"/>
                  </w:tcBorders>
                  <w:vAlign w:val="center"/>
                </w:tcPr>
                <w:p w14:paraId="62B77E51">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临床基因扩增检验实验室技术审核和备案证书编号及有效期：</w:t>
                  </w:r>
                </w:p>
                <w:p w14:paraId="2008F64D">
                  <w:pPr>
                    <w:ind w:firstLine="840" w:firstLineChars="400"/>
                    <w:rPr>
                      <w:rFonts w:hint="eastAsia" w:ascii="宋体" w:hAnsi="宋体" w:eastAsia="宋体" w:cs="宋体"/>
                      <w:color w:val="auto"/>
                      <w:sz w:val="21"/>
                      <w:szCs w:val="21"/>
                      <w:highlight w:val="none"/>
                    </w:rPr>
                  </w:pPr>
                </w:p>
                <w:p w14:paraId="08F6A38E">
                  <w:pPr>
                    <w:ind w:firstLine="840" w:firstLineChars="400"/>
                    <w:rPr>
                      <w:rFonts w:hint="eastAsia" w:ascii="宋体" w:hAnsi="宋体" w:eastAsia="宋体" w:cs="宋体"/>
                      <w:color w:val="auto"/>
                      <w:sz w:val="21"/>
                      <w:szCs w:val="21"/>
                      <w:highlight w:val="none"/>
                    </w:rPr>
                  </w:pPr>
                </w:p>
              </w:tc>
              <w:tc>
                <w:tcPr>
                  <w:tcW w:w="1174" w:type="dxa"/>
                  <w:gridSpan w:val="2"/>
                  <w:tcBorders>
                    <w:top w:val="single" w:color="000000" w:sz="4" w:space="0"/>
                    <w:bottom w:val="single" w:color="000000" w:sz="4" w:space="0"/>
                    <w:tl2br w:val="nil"/>
                    <w:tr2bl w:val="nil"/>
                  </w:tcBorders>
                </w:tcPr>
                <w:p w14:paraId="00461C7E">
                  <w:pPr>
                    <w:rPr>
                      <w:rFonts w:hint="eastAsia" w:ascii="宋体" w:hAnsi="宋体" w:eastAsia="宋体" w:cs="宋体"/>
                      <w:color w:val="auto"/>
                      <w:sz w:val="21"/>
                      <w:szCs w:val="21"/>
                      <w:highlight w:val="none"/>
                    </w:rPr>
                  </w:pPr>
                </w:p>
              </w:tc>
              <w:tc>
                <w:tcPr>
                  <w:tcW w:w="1031" w:type="dxa"/>
                  <w:tcBorders>
                    <w:top w:val="single" w:color="000000" w:sz="4" w:space="0"/>
                    <w:bottom w:val="single" w:color="000000" w:sz="4" w:space="0"/>
                    <w:right w:val="single" w:color="000000" w:sz="4" w:space="0"/>
                    <w:tl2br w:val="nil"/>
                    <w:tr2bl w:val="nil"/>
                  </w:tcBorders>
                </w:tcPr>
                <w:p w14:paraId="3494BFF7">
                  <w:pPr>
                    <w:jc w:val="center"/>
                    <w:rPr>
                      <w:rFonts w:hint="eastAsia" w:ascii="宋体" w:hAnsi="宋体" w:eastAsia="宋体" w:cs="宋体"/>
                      <w:color w:val="auto"/>
                      <w:sz w:val="21"/>
                      <w:szCs w:val="21"/>
                      <w:highlight w:val="none"/>
                    </w:rPr>
                  </w:pPr>
                </w:p>
              </w:tc>
            </w:tr>
            <w:tr w14:paraId="174B92EE">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tl2br w:val="nil"/>
                    <w:tr2bl w:val="nil"/>
                  </w:tcBorders>
                  <w:vAlign w:val="center"/>
                </w:tcPr>
                <w:p w14:paraId="402C9DF2">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其他认可或认证证书编号及有效期：</w:t>
                  </w:r>
                </w:p>
              </w:tc>
              <w:tc>
                <w:tcPr>
                  <w:tcW w:w="1174" w:type="dxa"/>
                  <w:gridSpan w:val="2"/>
                  <w:tcBorders>
                    <w:top w:val="single" w:color="000000" w:sz="4" w:space="0"/>
                    <w:bottom w:val="single" w:color="000000" w:sz="4" w:space="0"/>
                    <w:tl2br w:val="nil"/>
                    <w:tr2bl w:val="nil"/>
                  </w:tcBorders>
                </w:tcPr>
                <w:p w14:paraId="6E175A3C">
                  <w:pPr>
                    <w:rPr>
                      <w:rFonts w:hint="eastAsia" w:ascii="宋体" w:hAnsi="宋体" w:eastAsia="宋体" w:cs="宋体"/>
                      <w:color w:val="auto"/>
                      <w:sz w:val="21"/>
                      <w:szCs w:val="21"/>
                      <w:highlight w:val="none"/>
                    </w:rPr>
                  </w:pPr>
                </w:p>
              </w:tc>
              <w:tc>
                <w:tcPr>
                  <w:tcW w:w="1031" w:type="dxa"/>
                  <w:tcBorders>
                    <w:top w:val="single" w:color="000000" w:sz="4" w:space="0"/>
                    <w:bottom w:val="single" w:color="000000" w:sz="4" w:space="0"/>
                    <w:right w:val="single" w:color="000000" w:sz="4" w:space="0"/>
                    <w:tl2br w:val="nil"/>
                    <w:tr2bl w:val="nil"/>
                  </w:tcBorders>
                </w:tcPr>
                <w:p w14:paraId="7BAF529E">
                  <w:pPr>
                    <w:jc w:val="center"/>
                    <w:rPr>
                      <w:rFonts w:hint="eastAsia" w:ascii="宋体" w:hAnsi="宋体" w:eastAsia="宋体" w:cs="宋体"/>
                      <w:color w:val="auto"/>
                      <w:sz w:val="21"/>
                      <w:szCs w:val="21"/>
                      <w:highlight w:val="none"/>
                    </w:rPr>
                  </w:pPr>
                </w:p>
              </w:tc>
            </w:tr>
            <w:tr w14:paraId="04C7C187">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tl2br w:val="nil"/>
                    <w:tr2bl w:val="nil"/>
                  </w:tcBorders>
                  <w:vAlign w:val="center"/>
                </w:tcPr>
                <w:p w14:paraId="03EE5BC3">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二、实验室负责人（主任）</w:t>
                  </w:r>
                </w:p>
              </w:tc>
              <w:tc>
                <w:tcPr>
                  <w:tcW w:w="1174" w:type="dxa"/>
                  <w:gridSpan w:val="2"/>
                  <w:tcBorders>
                    <w:top w:val="single" w:color="000000" w:sz="4" w:space="0"/>
                    <w:bottom w:val="single" w:color="000000" w:sz="4" w:space="0"/>
                    <w:tl2br w:val="nil"/>
                    <w:tr2bl w:val="nil"/>
                  </w:tcBorders>
                </w:tcPr>
                <w:p w14:paraId="50703C73">
                  <w:pPr>
                    <w:rPr>
                      <w:rFonts w:hint="eastAsia" w:ascii="宋体" w:hAnsi="宋体" w:eastAsia="宋体" w:cs="宋体"/>
                      <w:color w:val="auto"/>
                      <w:sz w:val="21"/>
                      <w:szCs w:val="21"/>
                      <w:highlight w:val="none"/>
                    </w:rPr>
                  </w:pPr>
                </w:p>
              </w:tc>
              <w:tc>
                <w:tcPr>
                  <w:tcW w:w="1031" w:type="dxa"/>
                  <w:tcBorders>
                    <w:top w:val="single" w:color="000000" w:sz="4" w:space="0"/>
                    <w:bottom w:val="single" w:color="000000" w:sz="4" w:space="0"/>
                    <w:right w:val="single" w:color="000000" w:sz="4" w:space="0"/>
                    <w:tl2br w:val="nil"/>
                    <w:tr2bl w:val="nil"/>
                  </w:tcBorders>
                </w:tcPr>
                <w:p w14:paraId="5800B31F">
                  <w:pPr>
                    <w:jc w:val="center"/>
                    <w:rPr>
                      <w:rFonts w:hint="eastAsia" w:ascii="宋体" w:hAnsi="宋体" w:eastAsia="宋体" w:cs="宋体"/>
                      <w:color w:val="auto"/>
                      <w:sz w:val="21"/>
                      <w:szCs w:val="21"/>
                      <w:highlight w:val="none"/>
                    </w:rPr>
                  </w:pPr>
                </w:p>
              </w:tc>
            </w:tr>
            <w:tr w14:paraId="0063FB7D">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51567D7A">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p>
              </w:tc>
              <w:tc>
                <w:tcPr>
                  <w:tcW w:w="240" w:type="dxa"/>
                  <w:tcBorders>
                    <w:top w:val="single" w:color="000000" w:sz="4" w:space="0"/>
                    <w:left w:val="single" w:color="000000" w:sz="4" w:space="0"/>
                    <w:bottom w:val="single" w:color="000000" w:sz="4" w:space="0"/>
                    <w:tl2br w:val="nil"/>
                    <w:tr2bl w:val="nil"/>
                  </w:tcBorders>
                </w:tcPr>
                <w:p w14:paraId="08E492E2">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tcPr>
                <w:p w14:paraId="0C330EE7">
                  <w:pPr>
                    <w:jc w:val="center"/>
                    <w:rPr>
                      <w:rFonts w:hint="eastAsia" w:ascii="宋体" w:hAnsi="宋体" w:eastAsia="宋体" w:cs="宋体"/>
                      <w:color w:val="auto"/>
                      <w:sz w:val="21"/>
                      <w:szCs w:val="21"/>
                      <w:highlight w:val="none"/>
                    </w:rPr>
                  </w:pPr>
                </w:p>
              </w:tc>
              <w:tc>
                <w:tcPr>
                  <w:tcW w:w="1031" w:type="dxa"/>
                  <w:tcBorders>
                    <w:top w:val="single" w:color="000000" w:sz="4" w:space="0"/>
                    <w:left w:val="single" w:color="000000" w:sz="4" w:space="0"/>
                    <w:bottom w:val="single" w:color="000000" w:sz="4" w:space="0"/>
                    <w:right w:val="single" w:color="000000" w:sz="4" w:space="0"/>
                    <w:tl2br w:val="nil"/>
                    <w:tr2bl w:val="nil"/>
                  </w:tcBorders>
                </w:tcPr>
                <w:p w14:paraId="49B0E261">
                  <w:pPr>
                    <w:jc w:val="center"/>
                    <w:rPr>
                      <w:rFonts w:hint="eastAsia" w:ascii="宋体" w:hAnsi="宋体" w:eastAsia="宋体" w:cs="宋体"/>
                      <w:color w:val="auto"/>
                      <w:sz w:val="21"/>
                      <w:szCs w:val="21"/>
                      <w:highlight w:val="none"/>
                    </w:rPr>
                  </w:pPr>
                </w:p>
              </w:tc>
            </w:tr>
            <w:tr w14:paraId="0756D079">
              <w:tblPrEx>
                <w:tblCellMar>
                  <w:top w:w="0" w:type="dxa"/>
                  <w:left w:w="108" w:type="dxa"/>
                  <w:bottom w:w="0" w:type="dxa"/>
                  <w:right w:w="108" w:type="dxa"/>
                </w:tblCellMar>
              </w:tblPrEx>
              <w:trPr>
                <w:trHeight w:val="147"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1FE6274A">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任职证书或证明：</w:t>
                  </w:r>
                </w:p>
              </w:tc>
              <w:tc>
                <w:tcPr>
                  <w:tcW w:w="240" w:type="dxa"/>
                  <w:tcBorders>
                    <w:top w:val="single" w:color="000000" w:sz="4" w:space="0"/>
                    <w:left w:val="single" w:color="000000" w:sz="4" w:space="0"/>
                    <w:bottom w:val="single" w:color="000000" w:sz="4" w:space="0"/>
                    <w:tl2br w:val="nil"/>
                    <w:tr2bl w:val="nil"/>
                  </w:tcBorders>
                </w:tcPr>
                <w:p w14:paraId="582B0EF6">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tcPr>
                <w:p w14:paraId="70D86FB8">
                  <w:pPr>
                    <w:jc w:val="center"/>
                    <w:rPr>
                      <w:rFonts w:hint="eastAsia" w:ascii="宋体" w:hAnsi="宋体" w:eastAsia="宋体" w:cs="宋体"/>
                      <w:color w:val="auto"/>
                      <w:sz w:val="21"/>
                      <w:szCs w:val="21"/>
                      <w:highlight w:val="none"/>
                    </w:rPr>
                  </w:pPr>
                </w:p>
              </w:tc>
              <w:tc>
                <w:tcPr>
                  <w:tcW w:w="1031" w:type="dxa"/>
                  <w:tcBorders>
                    <w:top w:val="single" w:color="000000" w:sz="4" w:space="0"/>
                    <w:left w:val="single" w:color="000000" w:sz="4" w:space="0"/>
                    <w:bottom w:val="single" w:color="000000" w:sz="4" w:space="0"/>
                    <w:right w:val="single" w:color="000000" w:sz="4" w:space="0"/>
                    <w:tl2br w:val="nil"/>
                    <w:tr2bl w:val="nil"/>
                  </w:tcBorders>
                </w:tcPr>
                <w:p w14:paraId="46D533BA">
                  <w:pPr>
                    <w:jc w:val="center"/>
                    <w:rPr>
                      <w:rFonts w:hint="eastAsia" w:ascii="宋体" w:hAnsi="宋体" w:eastAsia="宋体" w:cs="宋体"/>
                      <w:color w:val="auto"/>
                      <w:sz w:val="21"/>
                      <w:szCs w:val="21"/>
                      <w:highlight w:val="none"/>
                    </w:rPr>
                  </w:pPr>
                </w:p>
              </w:tc>
            </w:tr>
            <w:tr w14:paraId="72ADD227">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5EFD1DD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学历   本科/博士             职称：技师/副主任技师</w:t>
                  </w:r>
                </w:p>
              </w:tc>
              <w:tc>
                <w:tcPr>
                  <w:tcW w:w="240" w:type="dxa"/>
                  <w:tcBorders>
                    <w:top w:val="single" w:color="000000" w:sz="4" w:space="0"/>
                    <w:left w:val="single" w:color="000000" w:sz="4" w:space="0"/>
                    <w:bottom w:val="single" w:color="000000" w:sz="4" w:space="0"/>
                    <w:tl2br w:val="nil"/>
                    <w:tr2bl w:val="nil"/>
                  </w:tcBorders>
                </w:tcPr>
                <w:p w14:paraId="726F13E8">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tcPr>
                <w:p w14:paraId="0D33D75A">
                  <w:pPr>
                    <w:jc w:val="center"/>
                    <w:rPr>
                      <w:rFonts w:hint="eastAsia" w:ascii="宋体" w:hAnsi="宋体" w:eastAsia="宋体" w:cs="宋体"/>
                      <w:color w:val="auto"/>
                      <w:sz w:val="21"/>
                      <w:szCs w:val="21"/>
                      <w:highlight w:val="none"/>
                    </w:rPr>
                  </w:pPr>
                </w:p>
              </w:tc>
              <w:tc>
                <w:tcPr>
                  <w:tcW w:w="1031" w:type="dxa"/>
                  <w:tcBorders>
                    <w:top w:val="single" w:color="000000" w:sz="4" w:space="0"/>
                    <w:left w:val="single" w:color="000000" w:sz="4" w:space="0"/>
                    <w:bottom w:val="single" w:color="000000" w:sz="4" w:space="0"/>
                    <w:right w:val="single" w:color="000000" w:sz="4" w:space="0"/>
                    <w:tl2br w:val="nil"/>
                    <w:tr2bl w:val="nil"/>
                  </w:tcBorders>
                </w:tcPr>
                <w:p w14:paraId="3793307D">
                  <w:pPr>
                    <w:jc w:val="center"/>
                    <w:rPr>
                      <w:rFonts w:hint="eastAsia" w:ascii="宋体" w:hAnsi="宋体" w:eastAsia="宋体" w:cs="宋体"/>
                      <w:color w:val="auto"/>
                      <w:sz w:val="21"/>
                      <w:szCs w:val="21"/>
                      <w:highlight w:val="none"/>
                    </w:rPr>
                  </w:pPr>
                </w:p>
              </w:tc>
            </w:tr>
            <w:tr w14:paraId="7120FA6E">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2A844E46">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工作性质：□全职； □兼职； □顾问</w:t>
                  </w:r>
                </w:p>
              </w:tc>
              <w:tc>
                <w:tcPr>
                  <w:tcW w:w="240" w:type="dxa"/>
                  <w:tcBorders>
                    <w:top w:val="single" w:color="000000" w:sz="4" w:space="0"/>
                    <w:left w:val="single" w:color="000000" w:sz="4" w:space="0"/>
                    <w:bottom w:val="single" w:color="000000" w:sz="4" w:space="0"/>
                    <w:tl2br w:val="nil"/>
                    <w:tr2bl w:val="nil"/>
                  </w:tcBorders>
                </w:tcPr>
                <w:p w14:paraId="7E32E1DA">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tcPr>
                <w:p w14:paraId="117DC03A">
                  <w:pPr>
                    <w:jc w:val="center"/>
                    <w:rPr>
                      <w:rFonts w:hint="eastAsia" w:ascii="宋体" w:hAnsi="宋体" w:eastAsia="宋体" w:cs="宋体"/>
                      <w:color w:val="auto"/>
                      <w:sz w:val="21"/>
                      <w:szCs w:val="21"/>
                      <w:highlight w:val="none"/>
                    </w:rPr>
                  </w:pPr>
                </w:p>
              </w:tc>
              <w:tc>
                <w:tcPr>
                  <w:tcW w:w="1031" w:type="dxa"/>
                  <w:tcBorders>
                    <w:top w:val="single" w:color="000000" w:sz="4" w:space="0"/>
                    <w:left w:val="single" w:color="000000" w:sz="4" w:space="0"/>
                    <w:bottom w:val="single" w:color="000000" w:sz="4" w:space="0"/>
                    <w:right w:val="single" w:color="000000" w:sz="4" w:space="0"/>
                    <w:tl2br w:val="nil"/>
                    <w:tr2bl w:val="nil"/>
                  </w:tcBorders>
                </w:tcPr>
                <w:p w14:paraId="5C8F2AFF">
                  <w:pPr>
                    <w:jc w:val="center"/>
                    <w:rPr>
                      <w:rFonts w:hint="eastAsia" w:ascii="宋体" w:hAnsi="宋体" w:eastAsia="宋体" w:cs="宋体"/>
                      <w:color w:val="auto"/>
                      <w:sz w:val="21"/>
                      <w:szCs w:val="21"/>
                      <w:highlight w:val="none"/>
                    </w:rPr>
                  </w:pPr>
                </w:p>
              </w:tc>
            </w:tr>
            <w:tr w14:paraId="7845F403">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tl2br w:val="nil"/>
                    <w:tr2bl w:val="nil"/>
                  </w:tcBorders>
                  <w:vAlign w:val="center"/>
                </w:tcPr>
                <w:p w14:paraId="771DE80C">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三、实验室工作人员</w:t>
                  </w:r>
                </w:p>
              </w:tc>
              <w:tc>
                <w:tcPr>
                  <w:tcW w:w="1174" w:type="dxa"/>
                  <w:gridSpan w:val="2"/>
                  <w:tcBorders>
                    <w:top w:val="single" w:color="000000" w:sz="4" w:space="0"/>
                    <w:bottom w:val="single" w:color="000000" w:sz="4" w:space="0"/>
                    <w:tl2br w:val="nil"/>
                    <w:tr2bl w:val="nil"/>
                  </w:tcBorders>
                </w:tcPr>
                <w:p w14:paraId="06B14D38">
                  <w:pPr>
                    <w:rPr>
                      <w:rFonts w:hint="eastAsia" w:ascii="宋体" w:hAnsi="宋体" w:eastAsia="宋体" w:cs="宋体"/>
                      <w:color w:val="auto"/>
                      <w:sz w:val="21"/>
                      <w:szCs w:val="21"/>
                      <w:highlight w:val="none"/>
                    </w:rPr>
                  </w:pPr>
                </w:p>
              </w:tc>
              <w:tc>
                <w:tcPr>
                  <w:tcW w:w="1031" w:type="dxa"/>
                  <w:tcBorders>
                    <w:top w:val="single" w:color="000000" w:sz="4" w:space="0"/>
                    <w:bottom w:val="single" w:color="000000" w:sz="4" w:space="0"/>
                    <w:right w:val="single" w:color="000000" w:sz="4" w:space="0"/>
                    <w:tl2br w:val="nil"/>
                    <w:tr2bl w:val="nil"/>
                  </w:tcBorders>
                </w:tcPr>
                <w:p w14:paraId="68FA0471">
                  <w:pPr>
                    <w:jc w:val="center"/>
                    <w:rPr>
                      <w:rFonts w:hint="eastAsia" w:ascii="宋体" w:hAnsi="宋体" w:eastAsia="宋体" w:cs="宋体"/>
                      <w:color w:val="auto"/>
                      <w:sz w:val="21"/>
                      <w:szCs w:val="21"/>
                      <w:highlight w:val="none"/>
                    </w:rPr>
                  </w:pPr>
                </w:p>
              </w:tc>
            </w:tr>
            <w:tr w14:paraId="6F7E1F16">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631D38D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有无主要技术负责人的简历</w:t>
                  </w:r>
                </w:p>
              </w:tc>
              <w:tc>
                <w:tcPr>
                  <w:tcW w:w="240" w:type="dxa"/>
                  <w:tcBorders>
                    <w:top w:val="single" w:color="000000" w:sz="4" w:space="0"/>
                    <w:left w:val="single" w:color="000000" w:sz="4" w:space="0"/>
                    <w:bottom w:val="single" w:color="000000" w:sz="4" w:space="0"/>
                    <w:tl2br w:val="nil"/>
                    <w:tr2bl w:val="nil"/>
                  </w:tcBorders>
                </w:tcPr>
                <w:p w14:paraId="6B90C9D5">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vAlign w:val="center"/>
                </w:tcPr>
                <w:p w14:paraId="574BBF0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74955E3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r>
            <w:tr w14:paraId="186CC972">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tl2br w:val="nil"/>
                    <w:tr2bl w:val="nil"/>
                  </w:tcBorders>
                  <w:vAlign w:val="center"/>
                </w:tcPr>
                <w:p w14:paraId="00243B20">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高级技术人员： ；中级技术人员： 名；初级技术人员： 名</w:t>
                  </w:r>
                </w:p>
              </w:tc>
              <w:tc>
                <w:tcPr>
                  <w:tcW w:w="1174" w:type="dxa"/>
                  <w:gridSpan w:val="2"/>
                  <w:tcBorders>
                    <w:top w:val="single" w:color="000000" w:sz="4" w:space="0"/>
                    <w:bottom w:val="single" w:color="000000" w:sz="4" w:space="0"/>
                    <w:tl2br w:val="nil"/>
                    <w:tr2bl w:val="nil"/>
                  </w:tcBorders>
                  <w:vAlign w:val="center"/>
                </w:tcPr>
                <w:p w14:paraId="09BE9D97">
                  <w:pPr>
                    <w:rPr>
                      <w:rFonts w:hint="eastAsia" w:ascii="宋体" w:hAnsi="宋体" w:eastAsia="宋体" w:cs="宋体"/>
                      <w:color w:val="auto"/>
                      <w:sz w:val="21"/>
                      <w:szCs w:val="21"/>
                      <w:highlight w:val="none"/>
                    </w:rPr>
                  </w:pPr>
                </w:p>
              </w:tc>
              <w:tc>
                <w:tcPr>
                  <w:tcW w:w="1031" w:type="dxa"/>
                  <w:tcBorders>
                    <w:top w:val="single" w:color="000000" w:sz="4" w:space="0"/>
                    <w:bottom w:val="single" w:color="000000" w:sz="4" w:space="0"/>
                    <w:right w:val="single" w:color="000000" w:sz="4" w:space="0"/>
                    <w:tl2br w:val="nil"/>
                    <w:tr2bl w:val="nil"/>
                  </w:tcBorders>
                </w:tcPr>
                <w:p w14:paraId="0CB5B374">
                  <w:pPr>
                    <w:jc w:val="center"/>
                    <w:rPr>
                      <w:rFonts w:hint="eastAsia" w:ascii="宋体" w:hAnsi="宋体" w:eastAsia="宋体" w:cs="宋体"/>
                      <w:color w:val="auto"/>
                      <w:sz w:val="21"/>
                      <w:szCs w:val="21"/>
                      <w:highlight w:val="none"/>
                    </w:rPr>
                  </w:pPr>
                </w:p>
              </w:tc>
            </w:tr>
            <w:tr w14:paraId="4407E148">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3003DE1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全职技术人员总数： 名；</w:t>
                  </w:r>
                </w:p>
              </w:tc>
              <w:tc>
                <w:tcPr>
                  <w:tcW w:w="240" w:type="dxa"/>
                  <w:tcBorders>
                    <w:top w:val="single" w:color="000000" w:sz="4" w:space="0"/>
                    <w:left w:val="single" w:color="000000" w:sz="4" w:space="0"/>
                    <w:bottom w:val="single" w:color="000000" w:sz="4" w:space="0"/>
                    <w:tl2br w:val="nil"/>
                    <w:tr2bl w:val="nil"/>
                  </w:tcBorders>
                </w:tcPr>
                <w:p w14:paraId="46B1617B">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tcPr>
                <w:p w14:paraId="37201195">
                  <w:pPr>
                    <w:jc w:val="center"/>
                    <w:rPr>
                      <w:rFonts w:hint="eastAsia" w:ascii="宋体" w:hAnsi="宋体" w:eastAsia="宋体" w:cs="宋体"/>
                      <w:color w:val="auto"/>
                      <w:sz w:val="21"/>
                      <w:szCs w:val="21"/>
                      <w:highlight w:val="none"/>
                    </w:rPr>
                  </w:pPr>
                </w:p>
              </w:tc>
              <w:tc>
                <w:tcPr>
                  <w:tcW w:w="1031" w:type="dxa"/>
                  <w:tcBorders>
                    <w:top w:val="single" w:color="000000" w:sz="4" w:space="0"/>
                    <w:left w:val="single" w:color="000000" w:sz="4" w:space="0"/>
                    <w:bottom w:val="single" w:color="000000" w:sz="4" w:space="0"/>
                    <w:right w:val="single" w:color="000000" w:sz="4" w:space="0"/>
                    <w:tl2br w:val="nil"/>
                    <w:tr2bl w:val="nil"/>
                  </w:tcBorders>
                </w:tcPr>
                <w:p w14:paraId="3549ECAB">
                  <w:pPr>
                    <w:jc w:val="center"/>
                    <w:rPr>
                      <w:rFonts w:hint="eastAsia" w:ascii="宋体" w:hAnsi="宋体" w:eastAsia="宋体" w:cs="宋体"/>
                      <w:color w:val="auto"/>
                      <w:sz w:val="21"/>
                      <w:szCs w:val="21"/>
                      <w:highlight w:val="none"/>
                    </w:rPr>
                  </w:pPr>
                </w:p>
              </w:tc>
            </w:tr>
            <w:tr w14:paraId="371C69F7">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0EF7A53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实验室在工作时间内是否有高级技术人员指导工作</w:t>
                  </w:r>
                </w:p>
              </w:tc>
              <w:tc>
                <w:tcPr>
                  <w:tcW w:w="240" w:type="dxa"/>
                  <w:tcBorders>
                    <w:top w:val="single" w:color="000000" w:sz="4" w:space="0"/>
                    <w:left w:val="single" w:color="000000" w:sz="4" w:space="0"/>
                    <w:bottom w:val="single" w:color="000000" w:sz="4" w:space="0"/>
                    <w:tl2br w:val="nil"/>
                    <w:tr2bl w:val="nil"/>
                  </w:tcBorders>
                </w:tcPr>
                <w:p w14:paraId="25B5878A">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vAlign w:val="center"/>
                </w:tcPr>
                <w:p w14:paraId="516DBEE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06617CA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3AC025B1">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0237C0C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现场检查时，实验室有否指定人员陪同检查</w:t>
                  </w:r>
                </w:p>
              </w:tc>
              <w:tc>
                <w:tcPr>
                  <w:tcW w:w="240" w:type="dxa"/>
                  <w:tcBorders>
                    <w:top w:val="single" w:color="000000" w:sz="4" w:space="0"/>
                    <w:left w:val="single" w:color="000000" w:sz="4" w:space="0"/>
                    <w:bottom w:val="single" w:color="000000" w:sz="4" w:space="0"/>
                    <w:tl2br w:val="nil"/>
                    <w:tr2bl w:val="nil"/>
                  </w:tcBorders>
                </w:tcPr>
                <w:p w14:paraId="09959A35">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vAlign w:val="center"/>
                </w:tcPr>
                <w:p w14:paraId="1F49DA5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451705E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68323DFF">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2C5A4027">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技术人员是否具有相应的专业知识，并有相关证明</w:t>
                  </w:r>
                </w:p>
              </w:tc>
              <w:tc>
                <w:tcPr>
                  <w:tcW w:w="240" w:type="dxa"/>
                  <w:tcBorders>
                    <w:top w:val="single" w:color="000000" w:sz="4" w:space="0"/>
                    <w:left w:val="single" w:color="000000" w:sz="4" w:space="0"/>
                    <w:bottom w:val="single" w:color="000000" w:sz="4" w:space="0"/>
                    <w:tl2br w:val="nil"/>
                    <w:tr2bl w:val="nil"/>
                  </w:tcBorders>
                </w:tcPr>
                <w:p w14:paraId="255A4BE2">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vAlign w:val="center"/>
                </w:tcPr>
                <w:p w14:paraId="7ED640D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3B4D23E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21BBE3CA">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77BA1D86">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技术人员是否接受继续医学教育并有相应文件规定</w:t>
                  </w:r>
                </w:p>
              </w:tc>
              <w:tc>
                <w:tcPr>
                  <w:tcW w:w="240" w:type="dxa"/>
                  <w:tcBorders>
                    <w:top w:val="single" w:color="000000" w:sz="4" w:space="0"/>
                    <w:left w:val="single" w:color="000000" w:sz="4" w:space="0"/>
                    <w:bottom w:val="single" w:color="000000" w:sz="4" w:space="0"/>
                    <w:tl2br w:val="nil"/>
                    <w:tr2bl w:val="nil"/>
                  </w:tcBorders>
                </w:tcPr>
                <w:p w14:paraId="0E7F2A48">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vAlign w:val="center"/>
                </w:tcPr>
                <w:p w14:paraId="2E511F8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47897C2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60A2899E">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tl2br w:val="nil"/>
                    <w:tr2bl w:val="nil"/>
                  </w:tcBorders>
                  <w:vAlign w:val="center"/>
                </w:tcPr>
                <w:p w14:paraId="000C62DC">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四、实验室环境与设备、试剂、耗材</w:t>
                  </w:r>
                </w:p>
              </w:tc>
              <w:tc>
                <w:tcPr>
                  <w:tcW w:w="1174" w:type="dxa"/>
                  <w:gridSpan w:val="2"/>
                  <w:tcBorders>
                    <w:top w:val="single" w:color="000000" w:sz="4" w:space="0"/>
                    <w:bottom w:val="single" w:color="000000" w:sz="4" w:space="0"/>
                    <w:tl2br w:val="nil"/>
                    <w:tr2bl w:val="nil"/>
                  </w:tcBorders>
                </w:tcPr>
                <w:p w14:paraId="7CDD8087">
                  <w:pPr>
                    <w:rPr>
                      <w:rFonts w:hint="eastAsia" w:ascii="宋体" w:hAnsi="宋体" w:eastAsia="宋体" w:cs="宋体"/>
                      <w:color w:val="auto"/>
                      <w:sz w:val="21"/>
                      <w:szCs w:val="21"/>
                      <w:highlight w:val="none"/>
                    </w:rPr>
                  </w:pPr>
                </w:p>
              </w:tc>
              <w:tc>
                <w:tcPr>
                  <w:tcW w:w="1031" w:type="dxa"/>
                  <w:tcBorders>
                    <w:top w:val="single" w:color="000000" w:sz="4" w:space="0"/>
                    <w:bottom w:val="single" w:color="000000" w:sz="4" w:space="0"/>
                    <w:right w:val="single" w:color="000000" w:sz="4" w:space="0"/>
                    <w:tl2br w:val="nil"/>
                    <w:tr2bl w:val="nil"/>
                  </w:tcBorders>
                </w:tcPr>
                <w:p w14:paraId="13DEE021">
                  <w:pPr>
                    <w:jc w:val="center"/>
                    <w:rPr>
                      <w:rFonts w:hint="eastAsia" w:ascii="宋体" w:hAnsi="宋体" w:eastAsia="宋体" w:cs="宋体"/>
                      <w:color w:val="auto"/>
                      <w:sz w:val="21"/>
                      <w:szCs w:val="21"/>
                      <w:highlight w:val="none"/>
                    </w:rPr>
                  </w:pPr>
                </w:p>
              </w:tc>
            </w:tr>
            <w:tr w14:paraId="41C7C08D">
              <w:tblPrEx>
                <w:tblCellMar>
                  <w:top w:w="0" w:type="dxa"/>
                  <w:left w:w="108" w:type="dxa"/>
                  <w:bottom w:w="0" w:type="dxa"/>
                  <w:right w:w="108" w:type="dxa"/>
                </w:tblCellMar>
              </w:tblPrEx>
              <w:trPr>
                <w:trHeight w:val="147"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40FBB3C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实验室是否具备开展工作的环境与设施</w:t>
                  </w:r>
                </w:p>
              </w:tc>
              <w:tc>
                <w:tcPr>
                  <w:tcW w:w="240" w:type="dxa"/>
                  <w:tcBorders>
                    <w:top w:val="single" w:color="000000" w:sz="4" w:space="0"/>
                    <w:left w:val="single" w:color="000000" w:sz="4" w:space="0"/>
                    <w:bottom w:val="single" w:color="000000" w:sz="4" w:space="0"/>
                    <w:tl2br w:val="nil"/>
                    <w:tr2bl w:val="nil"/>
                  </w:tcBorders>
                </w:tcPr>
                <w:p w14:paraId="4082D27C">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vAlign w:val="center"/>
                </w:tcPr>
                <w:p w14:paraId="547AE80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690A38F4">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6F74AC84">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726885A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实验室是否定期开展安全风险评估</w:t>
                  </w:r>
                </w:p>
              </w:tc>
              <w:tc>
                <w:tcPr>
                  <w:tcW w:w="240" w:type="dxa"/>
                  <w:tcBorders>
                    <w:top w:val="single" w:color="000000" w:sz="4" w:space="0"/>
                    <w:left w:val="single" w:color="000000" w:sz="4" w:space="0"/>
                    <w:bottom w:val="single" w:color="000000" w:sz="4" w:space="0"/>
                    <w:tl2br w:val="nil"/>
                    <w:tr2bl w:val="nil"/>
                  </w:tcBorders>
                </w:tcPr>
                <w:p w14:paraId="46A3D477">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vAlign w:val="center"/>
                </w:tcPr>
                <w:p w14:paraId="7C08AF4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633EA27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45410ED2">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595DE57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实验室的清洁卫生、安全防护是否达标</w:t>
                  </w:r>
                </w:p>
              </w:tc>
              <w:tc>
                <w:tcPr>
                  <w:tcW w:w="240" w:type="dxa"/>
                  <w:tcBorders>
                    <w:top w:val="single" w:color="000000" w:sz="4" w:space="0"/>
                    <w:left w:val="single" w:color="000000" w:sz="4" w:space="0"/>
                    <w:bottom w:val="single" w:color="000000" w:sz="4" w:space="0"/>
                    <w:tl2br w:val="nil"/>
                    <w:tr2bl w:val="nil"/>
                  </w:tcBorders>
                </w:tcPr>
                <w:p w14:paraId="64730010">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vAlign w:val="center"/>
                </w:tcPr>
                <w:p w14:paraId="1F9CB9A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3BFC8A6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5F8657D3">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4963F35A">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实验室是否具备完整的设备、试剂与耗材管理程序</w:t>
                  </w:r>
                </w:p>
              </w:tc>
              <w:tc>
                <w:tcPr>
                  <w:tcW w:w="240" w:type="dxa"/>
                  <w:tcBorders>
                    <w:top w:val="single" w:color="000000" w:sz="4" w:space="0"/>
                    <w:left w:val="single" w:color="000000" w:sz="4" w:space="0"/>
                    <w:bottom w:val="single" w:color="000000" w:sz="4" w:space="0"/>
                    <w:tl2br w:val="nil"/>
                    <w:tr2bl w:val="nil"/>
                  </w:tcBorders>
                </w:tcPr>
                <w:p w14:paraId="249EA320">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vAlign w:val="center"/>
                </w:tcPr>
                <w:p w14:paraId="590BE7C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0CD42AC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5B34AAA3">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tl2br w:val="nil"/>
                    <w:tr2bl w:val="nil"/>
                  </w:tcBorders>
                  <w:vAlign w:val="center"/>
                </w:tcPr>
                <w:p w14:paraId="522D8B4C">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五、室内质量控制活动</w:t>
                  </w:r>
                </w:p>
              </w:tc>
              <w:tc>
                <w:tcPr>
                  <w:tcW w:w="1174" w:type="dxa"/>
                  <w:gridSpan w:val="2"/>
                  <w:tcBorders>
                    <w:top w:val="single" w:color="000000" w:sz="4" w:space="0"/>
                    <w:bottom w:val="single" w:color="000000" w:sz="4" w:space="0"/>
                    <w:tl2br w:val="nil"/>
                    <w:tr2bl w:val="nil"/>
                  </w:tcBorders>
                </w:tcPr>
                <w:p w14:paraId="2156842A">
                  <w:pPr>
                    <w:rPr>
                      <w:rFonts w:hint="eastAsia" w:ascii="宋体" w:hAnsi="宋体" w:eastAsia="宋体" w:cs="宋体"/>
                      <w:color w:val="auto"/>
                      <w:sz w:val="21"/>
                      <w:szCs w:val="21"/>
                      <w:highlight w:val="none"/>
                    </w:rPr>
                  </w:pPr>
                </w:p>
              </w:tc>
              <w:tc>
                <w:tcPr>
                  <w:tcW w:w="1031" w:type="dxa"/>
                  <w:tcBorders>
                    <w:top w:val="single" w:color="000000" w:sz="4" w:space="0"/>
                    <w:bottom w:val="single" w:color="000000" w:sz="4" w:space="0"/>
                    <w:right w:val="single" w:color="000000" w:sz="4" w:space="0"/>
                    <w:tl2br w:val="nil"/>
                    <w:tr2bl w:val="nil"/>
                  </w:tcBorders>
                </w:tcPr>
                <w:p w14:paraId="7E6C2B38">
                  <w:pPr>
                    <w:jc w:val="center"/>
                    <w:rPr>
                      <w:rFonts w:hint="eastAsia" w:ascii="宋体" w:hAnsi="宋体" w:eastAsia="宋体" w:cs="宋体"/>
                      <w:color w:val="auto"/>
                      <w:sz w:val="21"/>
                      <w:szCs w:val="21"/>
                      <w:highlight w:val="none"/>
                    </w:rPr>
                  </w:pPr>
                </w:p>
              </w:tc>
            </w:tr>
            <w:tr w14:paraId="3D40340B">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669D3138">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实验室是否有完整的室内质量控制文件体系</w:t>
                  </w:r>
                </w:p>
              </w:tc>
              <w:tc>
                <w:tcPr>
                  <w:tcW w:w="240" w:type="dxa"/>
                  <w:tcBorders>
                    <w:top w:val="single" w:color="000000" w:sz="4" w:space="0"/>
                    <w:left w:val="single" w:color="000000" w:sz="4" w:space="0"/>
                    <w:bottom w:val="single" w:color="000000" w:sz="4" w:space="0"/>
                    <w:tl2br w:val="nil"/>
                    <w:tr2bl w:val="nil"/>
                  </w:tcBorders>
                </w:tcPr>
                <w:p w14:paraId="76220357">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vAlign w:val="center"/>
                </w:tcPr>
                <w:p w14:paraId="4ACE1E6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2F72471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5E4CB593">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514E087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实验室检验操作的作业指导书（ SOP）是否规范</w:t>
                  </w:r>
                </w:p>
              </w:tc>
              <w:tc>
                <w:tcPr>
                  <w:tcW w:w="240" w:type="dxa"/>
                  <w:tcBorders>
                    <w:top w:val="single" w:color="000000" w:sz="4" w:space="0"/>
                    <w:left w:val="single" w:color="000000" w:sz="4" w:space="0"/>
                    <w:bottom w:val="single" w:color="000000" w:sz="4" w:space="0"/>
                    <w:tl2br w:val="nil"/>
                    <w:tr2bl w:val="nil"/>
                  </w:tcBorders>
                </w:tcPr>
                <w:p w14:paraId="1D0621E2">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vAlign w:val="center"/>
                </w:tcPr>
                <w:p w14:paraId="4D15432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553BAD2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551D7099">
              <w:tblPrEx>
                <w:tblCellMar>
                  <w:top w:w="0" w:type="dxa"/>
                  <w:left w:w="108" w:type="dxa"/>
                  <w:bottom w:w="0" w:type="dxa"/>
                  <w:right w:w="108" w:type="dxa"/>
                </w:tblCellMar>
              </w:tblPrEx>
              <w:trPr>
                <w:trHeight w:val="238"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64572C5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分析系统（试剂、校准物、质控物、仪器和方法）是否符合标本检测的需要</w:t>
                  </w:r>
                </w:p>
              </w:tc>
              <w:tc>
                <w:tcPr>
                  <w:tcW w:w="240" w:type="dxa"/>
                  <w:tcBorders>
                    <w:top w:val="single" w:color="000000" w:sz="4" w:space="0"/>
                    <w:left w:val="single" w:color="000000" w:sz="4" w:space="0"/>
                    <w:bottom w:val="single" w:color="000000" w:sz="4" w:space="0"/>
                    <w:tl2br w:val="nil"/>
                    <w:tr2bl w:val="nil"/>
                  </w:tcBorders>
                </w:tcPr>
                <w:p w14:paraId="0C7D62F2">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vAlign w:val="center"/>
                </w:tcPr>
                <w:p w14:paraId="43624B2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062BC8F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345E2DEC">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1FEEBBD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校准物和质控物使用的频率是否合理，并有文件规定</w:t>
                  </w:r>
                </w:p>
              </w:tc>
              <w:tc>
                <w:tcPr>
                  <w:tcW w:w="240" w:type="dxa"/>
                  <w:tcBorders>
                    <w:top w:val="single" w:color="000000" w:sz="4" w:space="0"/>
                    <w:left w:val="single" w:color="000000" w:sz="4" w:space="0"/>
                    <w:bottom w:val="single" w:color="000000" w:sz="4" w:space="0"/>
                    <w:tl2br w:val="nil"/>
                    <w:tr2bl w:val="nil"/>
                  </w:tcBorders>
                </w:tcPr>
                <w:p w14:paraId="7ED16AAB">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vAlign w:val="center"/>
                </w:tcPr>
                <w:p w14:paraId="136A888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33CD5AF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75C40CA8">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4FE2372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检验项目是否建立了失控规则</w:t>
                  </w:r>
                </w:p>
              </w:tc>
              <w:tc>
                <w:tcPr>
                  <w:tcW w:w="240" w:type="dxa"/>
                  <w:tcBorders>
                    <w:top w:val="single" w:color="000000" w:sz="4" w:space="0"/>
                    <w:left w:val="single" w:color="000000" w:sz="4" w:space="0"/>
                    <w:bottom w:val="single" w:color="000000" w:sz="4" w:space="0"/>
                    <w:tl2br w:val="nil"/>
                    <w:tr2bl w:val="nil"/>
                  </w:tcBorders>
                </w:tcPr>
                <w:p w14:paraId="5279568E">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vAlign w:val="center"/>
                </w:tcPr>
                <w:p w14:paraId="396A97F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4979C48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6CCC27CF">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5AF660E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实验室是否有失控时的处理程序</w:t>
                  </w:r>
                </w:p>
              </w:tc>
              <w:tc>
                <w:tcPr>
                  <w:tcW w:w="240" w:type="dxa"/>
                  <w:tcBorders>
                    <w:top w:val="single" w:color="000000" w:sz="4" w:space="0"/>
                    <w:left w:val="single" w:color="000000" w:sz="4" w:space="0"/>
                    <w:bottom w:val="single" w:color="000000" w:sz="4" w:space="0"/>
                    <w:tl2br w:val="nil"/>
                    <w:tr2bl w:val="nil"/>
                  </w:tcBorders>
                </w:tcPr>
                <w:p w14:paraId="3DF8C2ED">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vAlign w:val="center"/>
                </w:tcPr>
                <w:p w14:paraId="2601434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1B137C6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7958267F">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04D4E49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是否对质控结果或数据进行统计分析</w:t>
                  </w:r>
                </w:p>
              </w:tc>
              <w:tc>
                <w:tcPr>
                  <w:tcW w:w="240" w:type="dxa"/>
                  <w:tcBorders>
                    <w:top w:val="single" w:color="000000" w:sz="4" w:space="0"/>
                    <w:left w:val="single" w:color="000000" w:sz="4" w:space="0"/>
                    <w:bottom w:val="single" w:color="000000" w:sz="4" w:space="0"/>
                    <w:tl2br w:val="nil"/>
                    <w:tr2bl w:val="nil"/>
                  </w:tcBorders>
                </w:tcPr>
                <w:p w14:paraId="4F3A24C0">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vAlign w:val="center"/>
                </w:tcPr>
                <w:p w14:paraId="0878013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7976A23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3E257B3C">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032C547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分析设备是否有定期维护并有相应记录</w:t>
                  </w:r>
                </w:p>
              </w:tc>
              <w:tc>
                <w:tcPr>
                  <w:tcW w:w="240" w:type="dxa"/>
                  <w:tcBorders>
                    <w:top w:val="single" w:color="000000" w:sz="4" w:space="0"/>
                    <w:left w:val="single" w:color="000000" w:sz="4" w:space="0"/>
                    <w:bottom w:val="single" w:color="000000" w:sz="4" w:space="0"/>
                    <w:tl2br w:val="nil"/>
                    <w:tr2bl w:val="nil"/>
                  </w:tcBorders>
                </w:tcPr>
                <w:p w14:paraId="2F4DE21E">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vAlign w:val="center"/>
                </w:tcPr>
                <w:p w14:paraId="2621E5F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184E07B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1645784E">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tl2br w:val="nil"/>
                    <w:tr2bl w:val="nil"/>
                  </w:tcBorders>
                  <w:vAlign w:val="center"/>
                </w:tcPr>
                <w:p w14:paraId="5A75F2E0">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六、室间质量评价</w:t>
                  </w:r>
                </w:p>
              </w:tc>
              <w:tc>
                <w:tcPr>
                  <w:tcW w:w="1174" w:type="dxa"/>
                  <w:gridSpan w:val="2"/>
                  <w:tcBorders>
                    <w:top w:val="single" w:color="000000" w:sz="4" w:space="0"/>
                    <w:bottom w:val="single" w:color="000000" w:sz="4" w:space="0"/>
                    <w:tl2br w:val="nil"/>
                    <w:tr2bl w:val="nil"/>
                  </w:tcBorders>
                </w:tcPr>
                <w:p w14:paraId="7E3E4A09">
                  <w:pPr>
                    <w:rPr>
                      <w:rFonts w:hint="eastAsia" w:ascii="宋体" w:hAnsi="宋体" w:eastAsia="宋体" w:cs="宋体"/>
                      <w:color w:val="auto"/>
                      <w:sz w:val="21"/>
                      <w:szCs w:val="21"/>
                      <w:highlight w:val="none"/>
                    </w:rPr>
                  </w:pPr>
                </w:p>
              </w:tc>
              <w:tc>
                <w:tcPr>
                  <w:tcW w:w="1031" w:type="dxa"/>
                  <w:tcBorders>
                    <w:top w:val="single" w:color="000000" w:sz="4" w:space="0"/>
                    <w:bottom w:val="single" w:color="000000" w:sz="4" w:space="0"/>
                    <w:right w:val="single" w:color="000000" w:sz="4" w:space="0"/>
                    <w:tl2br w:val="nil"/>
                    <w:tr2bl w:val="nil"/>
                  </w:tcBorders>
                </w:tcPr>
                <w:p w14:paraId="7DC3212A">
                  <w:pPr>
                    <w:jc w:val="center"/>
                    <w:rPr>
                      <w:rFonts w:hint="eastAsia" w:ascii="宋体" w:hAnsi="宋体" w:eastAsia="宋体" w:cs="宋体"/>
                      <w:color w:val="auto"/>
                      <w:sz w:val="21"/>
                      <w:szCs w:val="21"/>
                      <w:highlight w:val="none"/>
                    </w:rPr>
                  </w:pPr>
                </w:p>
              </w:tc>
            </w:tr>
            <w:tr w14:paraId="01C60F7E">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1D0DC35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室间质评结果是否有审核</w:t>
                  </w:r>
                </w:p>
              </w:tc>
              <w:tc>
                <w:tcPr>
                  <w:tcW w:w="240" w:type="dxa"/>
                  <w:tcBorders>
                    <w:top w:val="single" w:color="000000" w:sz="4" w:space="0"/>
                    <w:left w:val="single" w:color="000000" w:sz="4" w:space="0"/>
                    <w:bottom w:val="single" w:color="000000" w:sz="4" w:space="0"/>
                    <w:tl2br w:val="nil"/>
                    <w:tr2bl w:val="nil"/>
                  </w:tcBorders>
                </w:tcPr>
                <w:p w14:paraId="6E59ECC4">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vAlign w:val="center"/>
                </w:tcPr>
                <w:p w14:paraId="74F1FB0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1E07D88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3B9EA5A9">
              <w:tblPrEx>
                <w:tblCellMar>
                  <w:top w:w="0" w:type="dxa"/>
                  <w:left w:w="108" w:type="dxa"/>
                  <w:bottom w:w="0" w:type="dxa"/>
                  <w:right w:w="108" w:type="dxa"/>
                </w:tblCellMar>
              </w:tblPrEx>
              <w:trPr>
                <w:trHeight w:val="238"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22135D0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室间质评结果 “不满意 ”或 “不及格 ”时，是否有适当的纠正措施并限期改进</w:t>
                  </w:r>
                </w:p>
              </w:tc>
              <w:tc>
                <w:tcPr>
                  <w:tcW w:w="240" w:type="dxa"/>
                  <w:tcBorders>
                    <w:top w:val="single" w:color="000000" w:sz="4" w:space="0"/>
                    <w:left w:val="single" w:color="000000" w:sz="4" w:space="0"/>
                    <w:bottom w:val="single" w:color="000000" w:sz="4" w:space="0"/>
                    <w:tl2br w:val="nil"/>
                    <w:tr2bl w:val="nil"/>
                  </w:tcBorders>
                </w:tcPr>
                <w:p w14:paraId="1CCC0B1B">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vAlign w:val="center"/>
                </w:tcPr>
                <w:p w14:paraId="0F91156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7287AA7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33699DD5">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26F99479">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实验室是否同意将标本送其他实验室进行比对</w:t>
                  </w:r>
                </w:p>
              </w:tc>
              <w:tc>
                <w:tcPr>
                  <w:tcW w:w="240" w:type="dxa"/>
                  <w:tcBorders>
                    <w:top w:val="single" w:color="000000" w:sz="4" w:space="0"/>
                    <w:left w:val="single" w:color="000000" w:sz="4" w:space="0"/>
                    <w:bottom w:val="single" w:color="000000" w:sz="4" w:space="0"/>
                    <w:tl2br w:val="nil"/>
                    <w:tr2bl w:val="nil"/>
                  </w:tcBorders>
                </w:tcPr>
                <w:p w14:paraId="51C0D8E6">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vAlign w:val="center"/>
                </w:tcPr>
                <w:p w14:paraId="4C0B29DF">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64DCBE8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1B3135B5">
              <w:tblPrEx>
                <w:tblCellMar>
                  <w:top w:w="0" w:type="dxa"/>
                  <w:left w:w="108" w:type="dxa"/>
                  <w:bottom w:w="0" w:type="dxa"/>
                  <w:right w:w="108" w:type="dxa"/>
                </w:tblCellMar>
              </w:tblPrEx>
              <w:trPr>
                <w:trHeight w:val="152" w:hRule="atLeast"/>
                <w:jc w:val="center"/>
              </w:trPr>
              <w:tc>
                <w:tcPr>
                  <w:tcW w:w="6968" w:type="dxa"/>
                  <w:tcBorders>
                    <w:top w:val="single" w:color="000000" w:sz="4" w:space="0"/>
                    <w:left w:val="single" w:color="000000" w:sz="4" w:space="0"/>
                    <w:bottom w:val="single" w:color="000000" w:sz="4" w:space="0"/>
                    <w:tl2br w:val="nil"/>
                    <w:tr2bl w:val="nil"/>
                  </w:tcBorders>
                  <w:vAlign w:val="center"/>
                </w:tcPr>
                <w:p w14:paraId="77B23D08">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七、诚信度</w:t>
                  </w:r>
                </w:p>
              </w:tc>
              <w:tc>
                <w:tcPr>
                  <w:tcW w:w="1174" w:type="dxa"/>
                  <w:gridSpan w:val="2"/>
                  <w:tcBorders>
                    <w:top w:val="single" w:color="000000" w:sz="4" w:space="0"/>
                    <w:bottom w:val="single" w:color="000000" w:sz="4" w:space="0"/>
                    <w:tl2br w:val="nil"/>
                    <w:tr2bl w:val="nil"/>
                  </w:tcBorders>
                </w:tcPr>
                <w:p w14:paraId="352A0471">
                  <w:pPr>
                    <w:jc w:val="center"/>
                    <w:rPr>
                      <w:rFonts w:hint="eastAsia" w:ascii="宋体" w:hAnsi="宋体" w:eastAsia="宋体" w:cs="宋体"/>
                      <w:color w:val="auto"/>
                      <w:sz w:val="21"/>
                      <w:szCs w:val="21"/>
                      <w:highlight w:val="none"/>
                    </w:rPr>
                  </w:pPr>
                </w:p>
              </w:tc>
              <w:tc>
                <w:tcPr>
                  <w:tcW w:w="1031" w:type="dxa"/>
                  <w:tcBorders>
                    <w:top w:val="single" w:color="000000" w:sz="4" w:space="0"/>
                    <w:bottom w:val="single" w:color="000000" w:sz="4" w:space="0"/>
                    <w:right w:val="single" w:color="000000" w:sz="4" w:space="0"/>
                    <w:tl2br w:val="nil"/>
                    <w:tr2bl w:val="nil"/>
                  </w:tcBorders>
                </w:tcPr>
                <w:p w14:paraId="38668B38">
                  <w:pPr>
                    <w:jc w:val="center"/>
                    <w:rPr>
                      <w:rFonts w:hint="eastAsia" w:ascii="宋体" w:hAnsi="宋体" w:eastAsia="宋体" w:cs="宋体"/>
                      <w:color w:val="auto"/>
                      <w:sz w:val="21"/>
                      <w:szCs w:val="21"/>
                      <w:highlight w:val="none"/>
                    </w:rPr>
                  </w:pPr>
                </w:p>
              </w:tc>
            </w:tr>
            <w:tr w14:paraId="57CE26C2">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341FA0C4">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实验室是否提供其客户名单供联络或咨询</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1BFFE16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4AF759D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33FA7A45">
              <w:tblPrEx>
                <w:tblCellMar>
                  <w:top w:w="0" w:type="dxa"/>
                  <w:left w:w="108" w:type="dxa"/>
                  <w:bottom w:w="0" w:type="dxa"/>
                  <w:right w:w="108" w:type="dxa"/>
                </w:tblCellMar>
              </w:tblPrEx>
              <w:trPr>
                <w:trHeight w:val="147" w:hRule="atLeast"/>
                <w:jc w:val="center"/>
              </w:trPr>
              <w:tc>
                <w:tcPr>
                  <w:tcW w:w="6968" w:type="dxa"/>
                  <w:tcBorders>
                    <w:top w:val="single" w:color="000000" w:sz="4" w:space="0"/>
                    <w:left w:val="single" w:color="000000" w:sz="4" w:space="0"/>
                    <w:bottom w:val="single" w:color="000000" w:sz="4" w:space="0"/>
                    <w:tl2br w:val="nil"/>
                    <w:tr2bl w:val="nil"/>
                  </w:tcBorders>
                  <w:vAlign w:val="center"/>
                </w:tcPr>
                <w:p w14:paraId="5B4D520C">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实验室已提供服务的年限：     年</w:t>
                  </w:r>
                </w:p>
              </w:tc>
              <w:tc>
                <w:tcPr>
                  <w:tcW w:w="1174" w:type="dxa"/>
                  <w:gridSpan w:val="2"/>
                  <w:tcBorders>
                    <w:top w:val="single" w:color="000000" w:sz="4" w:space="0"/>
                    <w:bottom w:val="single" w:color="000000" w:sz="4" w:space="0"/>
                    <w:tl2br w:val="nil"/>
                    <w:tr2bl w:val="nil"/>
                  </w:tcBorders>
                </w:tcPr>
                <w:p w14:paraId="0AEC8BBD">
                  <w:pPr>
                    <w:jc w:val="center"/>
                    <w:rPr>
                      <w:rFonts w:hint="eastAsia" w:ascii="宋体" w:hAnsi="宋体" w:eastAsia="宋体" w:cs="宋体"/>
                      <w:color w:val="auto"/>
                      <w:sz w:val="21"/>
                      <w:szCs w:val="21"/>
                      <w:highlight w:val="none"/>
                    </w:rPr>
                  </w:pPr>
                </w:p>
              </w:tc>
              <w:tc>
                <w:tcPr>
                  <w:tcW w:w="1031" w:type="dxa"/>
                  <w:tcBorders>
                    <w:top w:val="single" w:color="000000" w:sz="4" w:space="0"/>
                    <w:bottom w:val="single" w:color="000000" w:sz="4" w:space="0"/>
                    <w:right w:val="single" w:color="000000" w:sz="4" w:space="0"/>
                    <w:tl2br w:val="nil"/>
                    <w:tr2bl w:val="nil"/>
                  </w:tcBorders>
                </w:tcPr>
                <w:p w14:paraId="21E86E87">
                  <w:pPr>
                    <w:jc w:val="center"/>
                    <w:rPr>
                      <w:rFonts w:hint="eastAsia" w:ascii="宋体" w:hAnsi="宋体" w:eastAsia="宋体" w:cs="宋体"/>
                      <w:color w:val="auto"/>
                      <w:sz w:val="21"/>
                      <w:szCs w:val="21"/>
                      <w:highlight w:val="none"/>
                    </w:rPr>
                  </w:pPr>
                </w:p>
              </w:tc>
            </w:tr>
            <w:tr w14:paraId="2EB9FD5E">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tl2br w:val="nil"/>
                    <w:tr2bl w:val="nil"/>
                  </w:tcBorders>
                  <w:vAlign w:val="center"/>
                </w:tcPr>
                <w:p w14:paraId="45D39940">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客户类型（如：医院、诊所、体检中心等）：</w:t>
                  </w:r>
                </w:p>
              </w:tc>
              <w:tc>
                <w:tcPr>
                  <w:tcW w:w="1174" w:type="dxa"/>
                  <w:gridSpan w:val="2"/>
                  <w:tcBorders>
                    <w:top w:val="single" w:color="000000" w:sz="4" w:space="0"/>
                    <w:bottom w:val="single" w:color="000000" w:sz="4" w:space="0"/>
                    <w:tl2br w:val="nil"/>
                    <w:tr2bl w:val="nil"/>
                  </w:tcBorders>
                </w:tcPr>
                <w:p w14:paraId="6AE16610">
                  <w:pPr>
                    <w:jc w:val="center"/>
                    <w:rPr>
                      <w:rFonts w:hint="eastAsia" w:ascii="宋体" w:hAnsi="宋体" w:eastAsia="宋体" w:cs="宋体"/>
                      <w:color w:val="auto"/>
                      <w:sz w:val="21"/>
                      <w:szCs w:val="21"/>
                      <w:highlight w:val="none"/>
                    </w:rPr>
                  </w:pPr>
                </w:p>
              </w:tc>
              <w:tc>
                <w:tcPr>
                  <w:tcW w:w="1031" w:type="dxa"/>
                  <w:tcBorders>
                    <w:top w:val="single" w:color="000000" w:sz="4" w:space="0"/>
                    <w:bottom w:val="single" w:color="000000" w:sz="4" w:space="0"/>
                    <w:right w:val="single" w:color="000000" w:sz="4" w:space="0"/>
                    <w:tl2br w:val="nil"/>
                    <w:tr2bl w:val="nil"/>
                  </w:tcBorders>
                </w:tcPr>
                <w:p w14:paraId="37D544CA">
                  <w:pPr>
                    <w:jc w:val="center"/>
                    <w:rPr>
                      <w:rFonts w:hint="eastAsia" w:ascii="宋体" w:hAnsi="宋体" w:eastAsia="宋体" w:cs="宋体"/>
                      <w:color w:val="auto"/>
                      <w:sz w:val="21"/>
                      <w:szCs w:val="21"/>
                      <w:highlight w:val="none"/>
                    </w:rPr>
                  </w:pPr>
                </w:p>
              </w:tc>
            </w:tr>
            <w:tr w14:paraId="71B2027E">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tl2br w:val="nil"/>
                    <w:tr2bl w:val="nil"/>
                  </w:tcBorders>
                  <w:vAlign w:val="center"/>
                </w:tcPr>
                <w:p w14:paraId="7700DF1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客户满意度： □差； □中； □良； □优</w:t>
                  </w:r>
                </w:p>
              </w:tc>
              <w:tc>
                <w:tcPr>
                  <w:tcW w:w="1174" w:type="dxa"/>
                  <w:gridSpan w:val="2"/>
                  <w:tcBorders>
                    <w:top w:val="single" w:color="000000" w:sz="4" w:space="0"/>
                    <w:bottom w:val="single" w:color="000000" w:sz="4" w:space="0"/>
                    <w:tl2br w:val="nil"/>
                    <w:tr2bl w:val="nil"/>
                  </w:tcBorders>
                </w:tcPr>
                <w:p w14:paraId="0B94FF0A">
                  <w:pPr>
                    <w:jc w:val="center"/>
                    <w:rPr>
                      <w:rFonts w:hint="eastAsia" w:ascii="宋体" w:hAnsi="宋体" w:eastAsia="宋体" w:cs="宋体"/>
                      <w:color w:val="auto"/>
                      <w:sz w:val="21"/>
                      <w:szCs w:val="21"/>
                      <w:highlight w:val="none"/>
                    </w:rPr>
                  </w:pPr>
                </w:p>
              </w:tc>
              <w:tc>
                <w:tcPr>
                  <w:tcW w:w="1031" w:type="dxa"/>
                  <w:tcBorders>
                    <w:top w:val="single" w:color="000000" w:sz="4" w:space="0"/>
                    <w:bottom w:val="single" w:color="000000" w:sz="4" w:space="0"/>
                    <w:right w:val="single" w:color="000000" w:sz="4" w:space="0"/>
                    <w:tl2br w:val="nil"/>
                    <w:tr2bl w:val="nil"/>
                  </w:tcBorders>
                </w:tcPr>
                <w:p w14:paraId="66A3C271">
                  <w:pPr>
                    <w:jc w:val="center"/>
                    <w:rPr>
                      <w:rFonts w:hint="eastAsia" w:ascii="宋体" w:hAnsi="宋体" w:eastAsia="宋体" w:cs="宋体"/>
                      <w:color w:val="auto"/>
                      <w:sz w:val="21"/>
                      <w:szCs w:val="21"/>
                      <w:highlight w:val="none"/>
                    </w:rPr>
                  </w:pPr>
                </w:p>
              </w:tc>
            </w:tr>
            <w:tr w14:paraId="44D4DB03">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6FCEC02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实验室是否有措施保证客户满意度</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6E74618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1E50EB1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76307A47">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tl2br w:val="nil"/>
                    <w:tr2bl w:val="nil"/>
                  </w:tcBorders>
                  <w:vAlign w:val="center"/>
                </w:tcPr>
                <w:p w14:paraId="5FE94E7E">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八、受委托服务效率</w:t>
                  </w:r>
                </w:p>
              </w:tc>
              <w:tc>
                <w:tcPr>
                  <w:tcW w:w="1174" w:type="dxa"/>
                  <w:gridSpan w:val="2"/>
                  <w:tcBorders>
                    <w:top w:val="single" w:color="000000" w:sz="4" w:space="0"/>
                    <w:bottom w:val="single" w:color="000000" w:sz="4" w:space="0"/>
                    <w:tl2br w:val="nil"/>
                    <w:tr2bl w:val="nil"/>
                  </w:tcBorders>
                </w:tcPr>
                <w:p w14:paraId="2789A660">
                  <w:pPr>
                    <w:jc w:val="center"/>
                    <w:rPr>
                      <w:rFonts w:hint="eastAsia" w:ascii="宋体" w:hAnsi="宋体" w:eastAsia="宋体" w:cs="宋体"/>
                      <w:color w:val="auto"/>
                      <w:sz w:val="21"/>
                      <w:szCs w:val="21"/>
                      <w:highlight w:val="none"/>
                    </w:rPr>
                  </w:pPr>
                </w:p>
              </w:tc>
              <w:tc>
                <w:tcPr>
                  <w:tcW w:w="1031" w:type="dxa"/>
                  <w:tcBorders>
                    <w:top w:val="single" w:color="000000" w:sz="4" w:space="0"/>
                    <w:bottom w:val="single" w:color="000000" w:sz="4" w:space="0"/>
                    <w:right w:val="single" w:color="000000" w:sz="4" w:space="0"/>
                    <w:tl2br w:val="nil"/>
                    <w:tr2bl w:val="nil"/>
                  </w:tcBorders>
                </w:tcPr>
                <w:p w14:paraId="3001F677">
                  <w:pPr>
                    <w:jc w:val="center"/>
                    <w:rPr>
                      <w:rFonts w:hint="eastAsia" w:ascii="宋体" w:hAnsi="宋体" w:eastAsia="宋体" w:cs="宋体"/>
                      <w:color w:val="auto"/>
                      <w:sz w:val="21"/>
                      <w:szCs w:val="21"/>
                      <w:highlight w:val="none"/>
                    </w:rPr>
                  </w:pPr>
                </w:p>
              </w:tc>
            </w:tr>
            <w:tr w14:paraId="0C2E25D2">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7506A504">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实验室是否能提供客户满意的检验项目范围 </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4FF5BB6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2B54940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4237E604">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1325FDF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实验室检测的标本量是否能满足客户要求</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3EE1E03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0FDD605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549E4FD0">
              <w:tblPrEx>
                <w:tblCellMar>
                  <w:top w:w="0" w:type="dxa"/>
                  <w:left w:w="108" w:type="dxa"/>
                  <w:bottom w:w="0" w:type="dxa"/>
                  <w:right w:w="108" w:type="dxa"/>
                </w:tblCellMar>
              </w:tblPrEx>
              <w:trPr>
                <w:trHeight w:val="238"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3C6D8AE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实验室是否有书面材料说明采样前的准备、标本采集和不合格标本的拒收标准</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5AF3EA0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562796F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6F2F2CE3">
              <w:tblPrEx>
                <w:tblCellMar>
                  <w:top w:w="0" w:type="dxa"/>
                  <w:left w:w="108" w:type="dxa"/>
                  <w:bottom w:w="0" w:type="dxa"/>
                  <w:right w:w="108" w:type="dxa"/>
                </w:tblCellMar>
              </w:tblPrEx>
              <w:trPr>
                <w:trHeight w:val="238"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58E7DA74">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实验室是否有书面材料说明标本的转运或运输要求，包括：准备、包装、标识、储存、标本采集时间、运输时限等</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1FE8D58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74CAA0D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7A7E310A">
              <w:tblPrEx>
                <w:tblCellMar>
                  <w:top w:w="0" w:type="dxa"/>
                  <w:left w:w="108" w:type="dxa"/>
                  <w:bottom w:w="0" w:type="dxa"/>
                  <w:right w:w="108" w:type="dxa"/>
                </w:tblCellMar>
              </w:tblPrEx>
              <w:trPr>
                <w:trHeight w:val="237"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5C369978">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实验室是否有书面材料说明标本的储存、保留和处置程序，以及生物安全要求</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1F987FC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7E67857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3B6E2939">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7717B1D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实验室是否可提供 /保存检测原始数据，并规定其保存期限</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6B9F252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59D20E5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196C1C49">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1DF247EC">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实验室在客户有急需时，是否有特殊程序应对</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3B0E2CB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26CB739F">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2E4FC0AA">
              <w:tblPrEx>
                <w:tblCellMar>
                  <w:top w:w="0" w:type="dxa"/>
                  <w:left w:w="108" w:type="dxa"/>
                  <w:bottom w:w="0" w:type="dxa"/>
                  <w:right w:w="108" w:type="dxa"/>
                </w:tblCellMar>
              </w:tblPrEx>
              <w:trPr>
                <w:trHeight w:val="147"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21C04F4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实验室是否提供每项检验服务的出报告时间的书面承诺</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2D2494D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5DC7399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09937825">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75287428">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实验室是否使用标准化的检验申请或结果报告的通信协议或系统</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4D5790C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721A817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44ECC0B3">
              <w:tblPrEx>
                <w:tblCellMar>
                  <w:top w:w="0" w:type="dxa"/>
                  <w:left w:w="108" w:type="dxa"/>
                  <w:bottom w:w="0" w:type="dxa"/>
                  <w:right w:w="108" w:type="dxa"/>
                </w:tblCellMar>
              </w:tblPrEx>
              <w:trPr>
                <w:trHeight w:val="237"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6DAFE3CC">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实验室是否具备完备的针对数据和信息的信息系统，并符合有关安全要求</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17BFC6F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2F3AB04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36027081">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4D96568A">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是否有危急值报告制度（包括危急值定义、报告机制和报告时限）</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65A5ACF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2E18CD9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2DB8D94D">
              <w:tblPrEx>
                <w:tblCellMar>
                  <w:top w:w="0" w:type="dxa"/>
                  <w:left w:w="108" w:type="dxa"/>
                  <w:bottom w:w="0" w:type="dxa"/>
                  <w:right w:w="108" w:type="dxa"/>
                </w:tblCellMar>
              </w:tblPrEx>
              <w:trPr>
                <w:trHeight w:val="147"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7A9E5B40">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实验室对检验报告是否有审核制度</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7077644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3586489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09E965F6">
              <w:tblPrEx>
                <w:tblCellMar>
                  <w:top w:w="0" w:type="dxa"/>
                  <w:left w:w="108" w:type="dxa"/>
                  <w:bottom w:w="0" w:type="dxa"/>
                  <w:right w:w="108" w:type="dxa"/>
                </w:tblCellMar>
              </w:tblPrEx>
              <w:trPr>
                <w:trHeight w:val="237"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61200CC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实验室对有关检验结果的询问或咨询是否反应适当，必要时是否能提供专家咨询服务</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1A5961D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0107B7E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0D9D5045">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69E2B82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实验室是否有书面文件规定对不适当标本的处理要求</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6BF64EF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4235932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784A6649">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7CDC1111">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实验室是否有改正和改进检验报告的策略</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1A36876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61819B5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72E12CDB">
              <w:tblPrEx>
                <w:tblCellMar>
                  <w:top w:w="0" w:type="dxa"/>
                  <w:left w:w="108" w:type="dxa"/>
                  <w:bottom w:w="0" w:type="dxa"/>
                  <w:right w:w="108" w:type="dxa"/>
                </w:tblCellMar>
              </w:tblPrEx>
              <w:trPr>
                <w:trHeight w:val="147"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5CC2BEC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实验室是否有将检验结果直接通知患者的规定</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1412042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4AF179B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7B98D574">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tl2br w:val="nil"/>
                    <w:tr2bl w:val="nil"/>
                  </w:tcBorders>
                  <w:vAlign w:val="center"/>
                </w:tcPr>
                <w:p w14:paraId="61B639E3">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九、咨询</w:t>
                  </w:r>
                </w:p>
              </w:tc>
              <w:tc>
                <w:tcPr>
                  <w:tcW w:w="1174" w:type="dxa"/>
                  <w:gridSpan w:val="2"/>
                  <w:tcBorders>
                    <w:top w:val="single" w:color="000000" w:sz="4" w:space="0"/>
                    <w:bottom w:val="single" w:color="000000" w:sz="4" w:space="0"/>
                    <w:tl2br w:val="nil"/>
                    <w:tr2bl w:val="nil"/>
                  </w:tcBorders>
                </w:tcPr>
                <w:p w14:paraId="4EB9E56A">
                  <w:pPr>
                    <w:jc w:val="center"/>
                    <w:rPr>
                      <w:rFonts w:hint="eastAsia" w:ascii="宋体" w:hAnsi="宋体" w:eastAsia="宋体" w:cs="宋体"/>
                      <w:color w:val="auto"/>
                      <w:sz w:val="21"/>
                      <w:szCs w:val="21"/>
                      <w:highlight w:val="none"/>
                    </w:rPr>
                  </w:pPr>
                </w:p>
              </w:tc>
              <w:tc>
                <w:tcPr>
                  <w:tcW w:w="1031" w:type="dxa"/>
                  <w:tcBorders>
                    <w:top w:val="single" w:color="000000" w:sz="4" w:space="0"/>
                    <w:bottom w:val="single" w:color="000000" w:sz="4" w:space="0"/>
                    <w:right w:val="single" w:color="000000" w:sz="4" w:space="0"/>
                    <w:tl2br w:val="nil"/>
                    <w:tr2bl w:val="nil"/>
                  </w:tcBorders>
                </w:tcPr>
                <w:p w14:paraId="7C9063D7">
                  <w:pPr>
                    <w:jc w:val="center"/>
                    <w:rPr>
                      <w:rFonts w:hint="eastAsia" w:ascii="宋体" w:hAnsi="宋体" w:eastAsia="宋体" w:cs="宋体"/>
                      <w:color w:val="auto"/>
                      <w:sz w:val="21"/>
                      <w:szCs w:val="21"/>
                      <w:highlight w:val="none"/>
                    </w:rPr>
                  </w:pPr>
                </w:p>
              </w:tc>
            </w:tr>
            <w:tr w14:paraId="72C2B3D8">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501D42A8">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实验室是否向客户提供咨询服务</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1F3B8FC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5BC660E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0AF2256A">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675BE6E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客户服务</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7AF59B9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6532BE5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43CC0EBF">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37F7435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技术服务</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0969F10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245324C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5BFAC21A">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3E3E2368">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医学咨询</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3C80761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4222238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7120962F">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6BC53DFA">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咨询服务是否在 24小时内均可获得</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4D06B2C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6A156C4F">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□否 </w:t>
                  </w:r>
                </w:p>
              </w:tc>
            </w:tr>
            <w:tr w14:paraId="2CD8DC10">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tl2br w:val="nil"/>
                    <w:tr2bl w:val="nil"/>
                  </w:tcBorders>
                  <w:vAlign w:val="center"/>
                </w:tcPr>
                <w:p w14:paraId="6CC5D09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评分标准：检查项为否定结果时，每项扣2.3分。</w:t>
                  </w:r>
                </w:p>
              </w:tc>
              <w:tc>
                <w:tcPr>
                  <w:tcW w:w="1174" w:type="dxa"/>
                  <w:gridSpan w:val="2"/>
                  <w:tcBorders>
                    <w:top w:val="single" w:color="000000" w:sz="4" w:space="0"/>
                    <w:bottom w:val="single" w:color="000000" w:sz="4" w:space="0"/>
                    <w:tl2br w:val="nil"/>
                    <w:tr2bl w:val="nil"/>
                  </w:tcBorders>
                </w:tcPr>
                <w:p w14:paraId="095AD70C">
                  <w:pPr>
                    <w:jc w:val="center"/>
                    <w:rPr>
                      <w:rFonts w:hint="eastAsia" w:ascii="宋体" w:hAnsi="宋体" w:eastAsia="宋体" w:cs="宋体"/>
                      <w:color w:val="auto"/>
                      <w:sz w:val="21"/>
                      <w:szCs w:val="21"/>
                      <w:highlight w:val="none"/>
                    </w:rPr>
                  </w:pPr>
                </w:p>
              </w:tc>
              <w:tc>
                <w:tcPr>
                  <w:tcW w:w="1031" w:type="dxa"/>
                  <w:tcBorders>
                    <w:top w:val="single" w:color="000000" w:sz="4" w:space="0"/>
                    <w:bottom w:val="single" w:color="000000" w:sz="4" w:space="0"/>
                    <w:right w:val="single" w:color="000000" w:sz="4" w:space="0"/>
                    <w:tl2br w:val="nil"/>
                    <w:tr2bl w:val="nil"/>
                  </w:tcBorders>
                </w:tcPr>
                <w:p w14:paraId="3302295D">
                  <w:pPr>
                    <w:jc w:val="center"/>
                    <w:rPr>
                      <w:rFonts w:hint="eastAsia" w:ascii="宋体" w:hAnsi="宋体" w:eastAsia="宋体" w:cs="宋体"/>
                      <w:color w:val="auto"/>
                      <w:sz w:val="21"/>
                      <w:szCs w:val="21"/>
                      <w:highlight w:val="none"/>
                    </w:rPr>
                  </w:pPr>
                </w:p>
              </w:tc>
            </w:tr>
            <w:tr w14:paraId="3E509FEB">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tl2br w:val="nil"/>
                    <w:tr2bl w:val="nil"/>
                  </w:tcBorders>
                  <w:vAlign w:val="center"/>
                </w:tcPr>
                <w:p w14:paraId="4E399E8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检查项评为否定结果的原因：</w:t>
                  </w:r>
                </w:p>
                <w:p w14:paraId="6ED97992">
                  <w:pPr>
                    <w:rPr>
                      <w:rFonts w:hint="eastAsia" w:ascii="宋体" w:hAnsi="宋体" w:eastAsia="宋体" w:cs="宋体"/>
                      <w:color w:val="auto"/>
                      <w:sz w:val="21"/>
                      <w:szCs w:val="21"/>
                      <w:highlight w:val="none"/>
                    </w:rPr>
                  </w:pPr>
                </w:p>
                <w:p w14:paraId="46950FB2">
                  <w:pPr>
                    <w:rPr>
                      <w:rFonts w:hint="eastAsia" w:ascii="宋体" w:hAnsi="宋体" w:eastAsia="宋体" w:cs="宋体"/>
                      <w:color w:val="auto"/>
                      <w:sz w:val="21"/>
                      <w:szCs w:val="21"/>
                      <w:highlight w:val="none"/>
                    </w:rPr>
                  </w:pPr>
                </w:p>
                <w:p w14:paraId="55BA0007">
                  <w:pPr>
                    <w:rPr>
                      <w:rFonts w:hint="eastAsia" w:ascii="宋体" w:hAnsi="宋体" w:eastAsia="宋体" w:cs="宋体"/>
                      <w:color w:val="auto"/>
                      <w:sz w:val="21"/>
                      <w:szCs w:val="21"/>
                      <w:highlight w:val="none"/>
                    </w:rPr>
                  </w:pPr>
                </w:p>
              </w:tc>
              <w:tc>
                <w:tcPr>
                  <w:tcW w:w="1174" w:type="dxa"/>
                  <w:gridSpan w:val="2"/>
                  <w:tcBorders>
                    <w:top w:val="single" w:color="000000" w:sz="4" w:space="0"/>
                    <w:bottom w:val="single" w:color="000000" w:sz="4" w:space="0"/>
                    <w:tl2br w:val="nil"/>
                    <w:tr2bl w:val="nil"/>
                  </w:tcBorders>
                </w:tcPr>
                <w:p w14:paraId="28135EC6">
                  <w:pPr>
                    <w:jc w:val="center"/>
                    <w:rPr>
                      <w:rFonts w:hint="eastAsia" w:ascii="宋体" w:hAnsi="宋体" w:eastAsia="宋体" w:cs="宋体"/>
                      <w:color w:val="auto"/>
                      <w:sz w:val="21"/>
                      <w:szCs w:val="21"/>
                      <w:highlight w:val="none"/>
                    </w:rPr>
                  </w:pPr>
                </w:p>
              </w:tc>
              <w:tc>
                <w:tcPr>
                  <w:tcW w:w="1031" w:type="dxa"/>
                  <w:tcBorders>
                    <w:top w:val="single" w:color="000000" w:sz="4" w:space="0"/>
                    <w:bottom w:val="single" w:color="000000" w:sz="4" w:space="0"/>
                    <w:right w:val="single" w:color="000000" w:sz="4" w:space="0"/>
                    <w:tl2br w:val="nil"/>
                    <w:tr2bl w:val="nil"/>
                  </w:tcBorders>
                </w:tcPr>
                <w:p w14:paraId="0BEEE394">
                  <w:pPr>
                    <w:jc w:val="center"/>
                    <w:rPr>
                      <w:rFonts w:hint="eastAsia" w:ascii="宋体" w:hAnsi="宋体" w:eastAsia="宋体" w:cs="宋体"/>
                      <w:color w:val="auto"/>
                      <w:sz w:val="21"/>
                      <w:szCs w:val="21"/>
                      <w:highlight w:val="none"/>
                    </w:rPr>
                  </w:pPr>
                </w:p>
              </w:tc>
            </w:tr>
            <w:tr w14:paraId="7AC39003">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tl2br w:val="nil"/>
                    <w:tr2bl w:val="nil"/>
                  </w:tcBorders>
                  <w:vAlign w:val="center"/>
                </w:tcPr>
                <w:p w14:paraId="01ADD458">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总得分：</w:t>
                  </w:r>
                </w:p>
              </w:tc>
              <w:tc>
                <w:tcPr>
                  <w:tcW w:w="1174" w:type="dxa"/>
                  <w:gridSpan w:val="2"/>
                  <w:tcBorders>
                    <w:top w:val="single" w:color="000000" w:sz="4" w:space="0"/>
                    <w:bottom w:val="single" w:color="000000" w:sz="4" w:space="0"/>
                    <w:tl2br w:val="nil"/>
                    <w:tr2bl w:val="nil"/>
                  </w:tcBorders>
                </w:tcPr>
                <w:p w14:paraId="36B23526">
                  <w:pPr>
                    <w:jc w:val="center"/>
                    <w:rPr>
                      <w:rFonts w:hint="eastAsia" w:ascii="宋体" w:hAnsi="宋体" w:eastAsia="宋体" w:cs="宋体"/>
                      <w:color w:val="auto"/>
                      <w:sz w:val="21"/>
                      <w:szCs w:val="21"/>
                      <w:highlight w:val="none"/>
                    </w:rPr>
                  </w:pPr>
                </w:p>
              </w:tc>
              <w:tc>
                <w:tcPr>
                  <w:tcW w:w="1031" w:type="dxa"/>
                  <w:tcBorders>
                    <w:top w:val="single" w:color="000000" w:sz="4" w:space="0"/>
                    <w:bottom w:val="single" w:color="000000" w:sz="4" w:space="0"/>
                    <w:right w:val="single" w:color="000000" w:sz="4" w:space="0"/>
                    <w:tl2br w:val="nil"/>
                    <w:tr2bl w:val="nil"/>
                  </w:tcBorders>
                </w:tcPr>
                <w:p w14:paraId="5FE7396A">
                  <w:pPr>
                    <w:jc w:val="center"/>
                    <w:rPr>
                      <w:rFonts w:hint="eastAsia" w:ascii="宋体" w:hAnsi="宋体" w:eastAsia="宋体" w:cs="宋体"/>
                      <w:color w:val="auto"/>
                      <w:sz w:val="21"/>
                      <w:szCs w:val="21"/>
                      <w:highlight w:val="none"/>
                    </w:rPr>
                  </w:pPr>
                </w:p>
              </w:tc>
            </w:tr>
          </w:tbl>
          <w:p w14:paraId="19EAF495">
            <w:pPr>
              <w:rPr>
                <w:rFonts w:hint="eastAsia" w:ascii="宋体" w:hAnsi="宋体" w:eastAsia="宋体" w:cs="宋体"/>
                <w:color w:val="auto"/>
                <w:sz w:val="24"/>
                <w:highlight w:val="none"/>
              </w:rPr>
            </w:pPr>
            <w:r>
              <w:rPr>
                <w:rFonts w:hint="eastAsia" w:ascii="宋体" w:hAnsi="宋体" w:eastAsia="宋体" w:cs="宋体"/>
                <w:color w:val="auto"/>
                <w:sz w:val="24"/>
                <w:highlight w:val="none"/>
              </w:rPr>
              <w:t>检查人员签名：</w:t>
            </w:r>
          </w:p>
          <w:p w14:paraId="50B80D55">
            <w:pPr>
              <w:rPr>
                <w:rFonts w:hint="eastAsia" w:ascii="宋体" w:hAnsi="宋体" w:eastAsia="宋体" w:cs="宋体"/>
                <w:color w:val="auto"/>
                <w:sz w:val="24"/>
                <w:highlight w:val="none"/>
              </w:rPr>
            </w:pPr>
            <w:r>
              <w:rPr>
                <w:rFonts w:hint="eastAsia" w:ascii="宋体" w:hAnsi="宋体" w:eastAsia="宋体" w:cs="宋体"/>
                <w:color w:val="auto"/>
                <w:sz w:val="24"/>
                <w:highlight w:val="none"/>
              </w:rPr>
              <w:t>受委托实验室人员签名：</w:t>
            </w:r>
          </w:p>
          <w:p w14:paraId="21784C7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b/>
                <w:color w:val="auto"/>
                <w:sz w:val="24"/>
                <w:highlight w:val="none"/>
              </w:rPr>
            </w:pPr>
          </w:p>
        </w:tc>
      </w:tr>
    </w:tbl>
    <w:p w14:paraId="020A0BB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67B8B29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6382D41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sectPr>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13BDA7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default" w:hAnsi="宋体" w:cs="宋体"/>
          <w:b/>
          <w:bCs/>
          <w:color w:val="auto"/>
          <w:kern w:val="2"/>
          <w:sz w:val="21"/>
          <w:szCs w:val="21"/>
          <w:lang w:val="en-US" w:eastAsia="zh-CN"/>
        </w:rPr>
      </w:pPr>
      <w:r>
        <w:rPr>
          <w:rStyle w:val="20"/>
          <w:rFonts w:hint="eastAsia" w:hAnsi="宋体" w:cs="宋体"/>
          <w:b/>
          <w:bCs/>
          <w:color w:val="auto"/>
          <w:kern w:val="2"/>
          <w:sz w:val="21"/>
          <w:szCs w:val="21"/>
          <w:lang w:val="en-US" w:eastAsia="zh-CN"/>
        </w:rPr>
        <w:t>十、同类项目业绩相关证明文件</w:t>
      </w:r>
    </w:p>
    <w:p w14:paraId="3036580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4C008BE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07FDE93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04E41C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6525B38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3C3B402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4FAB54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2EF563F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0D7BF41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34691D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04F2F9D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73D2C3E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3D2CAA6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5CC69CA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5194F95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03A0297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26D288C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193093E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22CCB22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324FE01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2158AAA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1905DF6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2FC83C7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5AE6959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52E84B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36D9202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6D95EED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00809DBD">
      <w:pPr>
        <w:pStyle w:val="19"/>
        <w:numPr>
          <w:ilvl w:val="0"/>
          <w:numId w:val="0"/>
        </w:numPr>
        <w:ind w:leftChars="0"/>
        <w:rPr>
          <w:rStyle w:val="20"/>
          <w:rFonts w:hint="eastAsia" w:hAnsi="宋体" w:cs="宋体" w:asciiTheme="minorHAnsi"/>
          <w:b/>
          <w:bCs/>
          <w:color w:val="auto"/>
          <w:kern w:val="2"/>
          <w:sz w:val="21"/>
          <w:szCs w:val="21"/>
          <w:lang w:val="en-US" w:eastAsia="zh-CN"/>
        </w:rPr>
      </w:pPr>
    </w:p>
    <w:p w14:paraId="69B8376E">
      <w:pPr>
        <w:pStyle w:val="19"/>
        <w:numPr>
          <w:ilvl w:val="0"/>
          <w:numId w:val="0"/>
        </w:numPr>
        <w:ind w:leftChars="0"/>
        <w:rPr>
          <w:rStyle w:val="20"/>
          <w:rFonts w:hint="eastAsia" w:hAnsi="宋体" w:cs="宋体" w:asciiTheme="minorHAnsi"/>
          <w:b/>
          <w:bCs/>
          <w:color w:val="auto"/>
          <w:kern w:val="2"/>
          <w:sz w:val="21"/>
          <w:szCs w:val="21"/>
          <w:lang w:val="en-US" w:eastAsia="zh-CN"/>
        </w:rPr>
      </w:pPr>
    </w:p>
    <w:p w14:paraId="57B3868D">
      <w:pPr>
        <w:pStyle w:val="19"/>
        <w:numPr>
          <w:ilvl w:val="0"/>
          <w:numId w:val="0"/>
        </w:numPr>
        <w:ind w:leftChars="0"/>
        <w:rPr>
          <w:rStyle w:val="20"/>
          <w:rFonts w:hint="eastAsia" w:hAnsi="宋体" w:cs="宋体" w:asciiTheme="minorHAnsi"/>
          <w:b/>
          <w:bCs/>
          <w:color w:val="auto"/>
          <w:kern w:val="2"/>
          <w:sz w:val="21"/>
          <w:szCs w:val="21"/>
          <w:lang w:val="en-US" w:eastAsia="zh-CN"/>
        </w:rPr>
      </w:pPr>
      <w:r>
        <w:rPr>
          <w:rStyle w:val="20"/>
          <w:rFonts w:hint="eastAsia" w:hAnsi="宋体" w:cs="宋体" w:asciiTheme="minorHAnsi"/>
          <w:b/>
          <w:bCs/>
          <w:color w:val="auto"/>
          <w:kern w:val="2"/>
          <w:sz w:val="21"/>
          <w:szCs w:val="21"/>
          <w:lang w:val="en-US" w:eastAsia="zh-CN"/>
        </w:rPr>
        <w:t>十一、供应商认为需要提供的其他材料（参考评分表）</w:t>
      </w:r>
    </w:p>
    <w:p w14:paraId="1EDCDE29">
      <w:pPr>
        <w:pStyle w:val="6"/>
        <w:spacing w:line="360" w:lineRule="auto"/>
        <w:jc w:val="center"/>
        <w:rPr>
          <w:rFonts w:hint="eastAsia" w:ascii="宋体" w:hAnsi="宋体" w:eastAsia="宋体" w:cs="宋体"/>
        </w:rPr>
      </w:pPr>
    </w:p>
    <w:p w14:paraId="10B18D41">
      <w:pPr>
        <w:pStyle w:val="6"/>
        <w:spacing w:line="360" w:lineRule="auto"/>
        <w:jc w:val="center"/>
        <w:rPr>
          <w:rFonts w:hint="eastAsia" w:ascii="宋体" w:hAnsi="宋体" w:eastAsia="宋体" w:cs="宋体"/>
        </w:rPr>
      </w:pPr>
    </w:p>
    <w:p w14:paraId="0CC13FA1">
      <w:pPr>
        <w:pStyle w:val="6"/>
        <w:spacing w:line="360" w:lineRule="auto"/>
        <w:jc w:val="center"/>
        <w:rPr>
          <w:rFonts w:hint="eastAsia" w:ascii="宋体" w:hAnsi="宋体" w:eastAsia="宋体" w:cs="宋体"/>
        </w:rPr>
      </w:pPr>
    </w:p>
    <w:p w14:paraId="09EE7C41">
      <w:pPr>
        <w:pStyle w:val="6"/>
        <w:spacing w:line="360" w:lineRule="auto"/>
        <w:jc w:val="center"/>
        <w:rPr>
          <w:rFonts w:hint="eastAsia" w:ascii="宋体" w:hAnsi="宋体" w:eastAsia="宋体" w:cs="宋体"/>
          <w:b/>
          <w:bCs/>
          <w:sz w:val="32"/>
          <w:szCs w:val="36"/>
        </w:rPr>
      </w:pPr>
      <w:r>
        <w:rPr>
          <w:rFonts w:hint="eastAsia" w:ascii="宋体" w:hAnsi="宋体" w:eastAsia="宋体" w:cs="宋体"/>
          <w:b/>
          <w:bCs/>
          <w:sz w:val="32"/>
          <w:szCs w:val="36"/>
        </w:rPr>
        <w:t>格式自拟</w:t>
      </w:r>
    </w:p>
    <w:p w14:paraId="04992075">
      <w:pPr>
        <w:spacing w:line="360" w:lineRule="auto"/>
        <w:rPr>
          <w:rFonts w:hint="eastAsia" w:ascii="宋体" w:hAnsi="宋体" w:eastAsia="宋体" w:cs="宋体"/>
        </w:rPr>
      </w:pPr>
    </w:p>
    <w:p w14:paraId="27598A96">
      <w:pPr>
        <w:spacing w:line="360" w:lineRule="auto"/>
        <w:rPr>
          <w:rFonts w:hint="eastAsia" w:ascii="宋体" w:hAnsi="宋体" w:eastAsia="宋体" w:cs="宋体"/>
        </w:rPr>
      </w:pPr>
    </w:p>
    <w:p w14:paraId="78DAAFD3">
      <w:pPr>
        <w:spacing w:line="360" w:lineRule="auto"/>
        <w:rPr>
          <w:rFonts w:hint="eastAsia" w:ascii="宋体" w:hAnsi="宋体" w:eastAsia="宋体" w:cs="宋体"/>
        </w:rPr>
      </w:pPr>
    </w:p>
    <w:p w14:paraId="3FFB3869">
      <w:pPr>
        <w:spacing w:line="360" w:lineRule="auto"/>
        <w:rPr>
          <w:rFonts w:hint="eastAsia" w:ascii="宋体" w:hAnsi="宋体" w:eastAsia="宋体" w:cs="宋体"/>
        </w:rPr>
      </w:pPr>
    </w:p>
    <w:p w14:paraId="1B20D38B">
      <w:pPr>
        <w:spacing w:line="360" w:lineRule="auto"/>
        <w:rPr>
          <w:rFonts w:hint="eastAsia" w:ascii="宋体" w:hAnsi="宋体" w:eastAsia="宋体" w:cs="宋体"/>
        </w:rPr>
      </w:pPr>
    </w:p>
    <w:p w14:paraId="5F660A43">
      <w:pPr>
        <w:spacing w:line="360" w:lineRule="auto"/>
        <w:rPr>
          <w:rFonts w:hint="eastAsia" w:ascii="宋体" w:hAnsi="宋体" w:eastAsia="宋体" w:cs="宋体"/>
        </w:rPr>
      </w:pPr>
    </w:p>
    <w:p w14:paraId="472752A9">
      <w:pPr>
        <w:spacing w:line="360" w:lineRule="auto"/>
        <w:rPr>
          <w:rFonts w:hint="eastAsia" w:ascii="宋体" w:hAnsi="宋体" w:eastAsia="宋体" w:cs="宋体"/>
        </w:rPr>
      </w:pPr>
    </w:p>
    <w:p w14:paraId="41783743">
      <w:pPr>
        <w:spacing w:line="360" w:lineRule="auto"/>
        <w:rPr>
          <w:rFonts w:hint="eastAsia" w:ascii="宋体" w:hAnsi="宋体" w:eastAsia="宋体" w:cs="宋体"/>
        </w:rPr>
      </w:pPr>
    </w:p>
    <w:p w14:paraId="434C33DA">
      <w:pPr>
        <w:spacing w:line="360" w:lineRule="auto"/>
        <w:rPr>
          <w:rFonts w:hint="eastAsia" w:ascii="宋体" w:hAnsi="宋体" w:eastAsia="宋体" w:cs="宋体"/>
        </w:rPr>
      </w:pPr>
    </w:p>
    <w:p w14:paraId="54452DDA">
      <w:pPr>
        <w:spacing w:line="360" w:lineRule="auto"/>
        <w:rPr>
          <w:rFonts w:hint="eastAsia" w:ascii="宋体" w:hAnsi="宋体" w:eastAsia="宋体" w:cs="宋体"/>
        </w:rPr>
      </w:pPr>
    </w:p>
    <w:p w14:paraId="6A9C187B">
      <w:pPr>
        <w:spacing w:line="360" w:lineRule="auto"/>
        <w:rPr>
          <w:rFonts w:hint="eastAsia" w:ascii="宋体" w:hAnsi="宋体" w:eastAsia="宋体" w:cs="宋体"/>
        </w:rPr>
      </w:pPr>
    </w:p>
    <w:p w14:paraId="6D54A704">
      <w:pPr>
        <w:spacing w:line="360" w:lineRule="auto"/>
        <w:rPr>
          <w:rFonts w:hint="eastAsia" w:ascii="宋体" w:hAnsi="宋体" w:eastAsia="宋体" w:cs="宋体"/>
        </w:rPr>
      </w:pPr>
    </w:p>
    <w:p w14:paraId="710BEBED">
      <w:pPr>
        <w:spacing w:line="360" w:lineRule="auto"/>
        <w:rPr>
          <w:rFonts w:hint="eastAsia" w:ascii="宋体" w:hAnsi="宋体" w:eastAsia="宋体" w:cs="宋体"/>
        </w:rPr>
      </w:pPr>
    </w:p>
    <w:p w14:paraId="40DE9FCA">
      <w:pPr>
        <w:spacing w:line="360" w:lineRule="auto"/>
        <w:rPr>
          <w:rFonts w:hint="eastAsia" w:ascii="宋体" w:hAnsi="宋体" w:eastAsia="宋体" w:cs="宋体"/>
        </w:rPr>
      </w:pPr>
    </w:p>
    <w:p w14:paraId="3F4DEF2F">
      <w:pPr>
        <w:spacing w:line="360" w:lineRule="auto"/>
        <w:rPr>
          <w:rFonts w:hint="eastAsia" w:ascii="宋体" w:hAnsi="宋体" w:eastAsia="宋体" w:cs="宋体"/>
        </w:rPr>
      </w:pPr>
    </w:p>
    <w:p w14:paraId="5E0D0DC2">
      <w:pPr>
        <w:spacing w:line="360" w:lineRule="auto"/>
        <w:rPr>
          <w:rFonts w:hint="eastAsia" w:ascii="宋体" w:hAnsi="宋体" w:eastAsia="宋体" w:cs="宋体"/>
        </w:rPr>
      </w:pPr>
    </w:p>
    <w:p w14:paraId="04C55060">
      <w:pPr>
        <w:spacing w:line="360" w:lineRule="auto"/>
        <w:rPr>
          <w:rFonts w:hint="eastAsia" w:ascii="宋体" w:hAnsi="宋体" w:eastAsia="宋体" w:cs="宋体"/>
        </w:rPr>
      </w:pPr>
    </w:p>
    <w:p w14:paraId="13078ED4">
      <w:pPr>
        <w:spacing w:line="360" w:lineRule="auto"/>
        <w:rPr>
          <w:rFonts w:hint="eastAsia" w:ascii="宋体" w:hAnsi="宋体" w:eastAsia="宋体" w:cs="宋体"/>
        </w:rPr>
      </w:pPr>
    </w:p>
    <w:p w14:paraId="341A08D7">
      <w:pPr>
        <w:spacing w:line="360" w:lineRule="auto"/>
        <w:rPr>
          <w:rFonts w:hint="eastAsia" w:ascii="宋体" w:hAnsi="宋体" w:eastAsia="宋体" w:cs="宋体"/>
        </w:rPr>
      </w:pPr>
    </w:p>
    <w:p w14:paraId="1039093C">
      <w:pPr>
        <w:spacing w:line="360" w:lineRule="auto"/>
        <w:rPr>
          <w:rFonts w:hint="eastAsia" w:ascii="宋体" w:hAnsi="宋体" w:eastAsia="宋体" w:cs="宋体"/>
        </w:rPr>
      </w:pPr>
    </w:p>
    <w:p w14:paraId="6CD43ACF">
      <w:pPr>
        <w:spacing w:line="360" w:lineRule="auto"/>
        <w:rPr>
          <w:rFonts w:hint="eastAsia" w:ascii="宋体" w:hAnsi="宋体" w:eastAsia="宋体" w:cs="宋体"/>
        </w:rPr>
      </w:pPr>
    </w:p>
    <w:p w14:paraId="0C6D6752">
      <w:pPr>
        <w:spacing w:line="360" w:lineRule="auto"/>
        <w:rPr>
          <w:rFonts w:hint="eastAsia" w:ascii="宋体" w:hAnsi="宋体" w:eastAsia="宋体" w:cs="宋体"/>
        </w:rPr>
      </w:pPr>
    </w:p>
    <w:p w14:paraId="1DB53DFD">
      <w:pPr>
        <w:spacing w:line="360" w:lineRule="auto"/>
        <w:rPr>
          <w:rFonts w:hint="eastAsia" w:ascii="宋体" w:hAnsi="宋体" w:eastAsia="宋体" w:cs="宋体"/>
        </w:rPr>
      </w:pPr>
    </w:p>
    <w:p w14:paraId="272B9E66">
      <w:pPr>
        <w:numPr>
          <w:ilvl w:val="0"/>
          <w:numId w:val="0"/>
        </w:numPr>
        <w:spacing w:line="360" w:lineRule="auto"/>
        <w:jc w:val="left"/>
        <w:outlineLvl w:val="1"/>
        <w:rPr>
          <w:rStyle w:val="20"/>
          <w:rFonts w:hint="eastAsia" w:ascii="宋体" w:hAnsi="宋体" w:eastAsia="宋体" w:cs="宋体"/>
          <w:b/>
          <w:bCs/>
          <w:sz w:val="21"/>
          <w:szCs w:val="21"/>
          <w:lang w:val="en-US" w:eastAsia="zh-CN"/>
        </w:rPr>
      </w:pPr>
    </w:p>
    <w:p w14:paraId="04E19955">
      <w:pPr>
        <w:pStyle w:val="19"/>
        <w:numPr>
          <w:ilvl w:val="0"/>
          <w:numId w:val="0"/>
        </w:numPr>
        <w:ind w:leftChars="0"/>
        <w:rPr>
          <w:rStyle w:val="20"/>
          <w:rFonts w:hint="eastAsia" w:hAnsi="宋体" w:eastAsia="宋体" w:cs="宋体" w:asciiTheme="minorHAnsi"/>
          <w:b/>
          <w:bCs/>
          <w:color w:val="auto"/>
          <w:kern w:val="2"/>
          <w:sz w:val="21"/>
          <w:szCs w:val="21"/>
          <w:lang w:val="zh-TW" w:eastAsia="zh-TW"/>
        </w:rPr>
      </w:pPr>
      <w:r>
        <w:rPr>
          <w:rStyle w:val="20"/>
          <w:rFonts w:hint="eastAsia" w:hAnsi="宋体" w:eastAsia="宋体" w:cs="宋体" w:asciiTheme="minorHAnsi"/>
          <w:b/>
          <w:bCs/>
          <w:color w:val="auto"/>
          <w:kern w:val="2"/>
          <w:sz w:val="21"/>
          <w:szCs w:val="21"/>
          <w:lang w:val="zh-TW" w:eastAsia="zh-TW"/>
        </w:rPr>
        <w:t>十</w:t>
      </w:r>
      <w:r>
        <w:rPr>
          <w:rStyle w:val="20"/>
          <w:rFonts w:hint="eastAsia" w:hAnsi="宋体" w:eastAsia="宋体" w:cs="宋体" w:asciiTheme="minorHAnsi"/>
          <w:b/>
          <w:bCs/>
          <w:color w:val="auto"/>
          <w:kern w:val="2"/>
          <w:sz w:val="21"/>
          <w:szCs w:val="21"/>
          <w:lang w:val="en-US" w:eastAsia="zh-CN"/>
        </w:rPr>
        <w:t>二</w:t>
      </w:r>
      <w:r>
        <w:rPr>
          <w:rStyle w:val="20"/>
          <w:rFonts w:hint="eastAsia" w:hAnsi="宋体" w:eastAsia="宋体" w:cs="宋体" w:asciiTheme="minorHAnsi"/>
          <w:b/>
          <w:bCs/>
          <w:color w:val="auto"/>
          <w:kern w:val="2"/>
          <w:sz w:val="21"/>
          <w:szCs w:val="21"/>
          <w:lang w:val="zh-TW" w:eastAsia="zh-TW"/>
        </w:rPr>
        <w:t>、报价单</w:t>
      </w:r>
    </w:p>
    <w:p w14:paraId="3FE3731E">
      <w:pPr>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b w:val="0"/>
          <w:bCs w:val="0"/>
          <w:sz w:val="21"/>
          <w:szCs w:val="21"/>
          <w:lang w:val="zh-TW" w:eastAsia="zh-TW"/>
        </w:rPr>
        <w:t>我单位作为</w:t>
      </w:r>
      <w:r>
        <w:rPr>
          <w:rFonts w:hint="eastAsia" w:ascii="宋体" w:hAnsi="宋体" w:eastAsia="宋体" w:cs="宋体"/>
          <w:sz w:val="21"/>
          <w:szCs w:val="21"/>
          <w:lang w:val="zh-TW" w:eastAsia="zh-TW"/>
        </w:rPr>
        <w:t>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 w:val="21"/>
          <w:szCs w:val="21"/>
        </w:rPr>
        <w:t>,</w:t>
      </w:r>
      <w:r>
        <w:rPr>
          <w:rFonts w:hint="eastAsia" w:ascii="宋体" w:hAnsi="宋体" w:eastAsia="宋体" w:cs="宋体"/>
          <w:sz w:val="21"/>
          <w:szCs w:val="21"/>
          <w:lang w:val="zh-TW" w:eastAsia="zh-TW"/>
        </w:rPr>
        <w:t>本单位愿承担一切责任（包括赔偿损失、取消评审及中选资格等）</w:t>
      </w:r>
      <w:r>
        <w:rPr>
          <w:rFonts w:hint="eastAsia" w:ascii="宋体" w:hAnsi="宋体" w:eastAsia="宋体" w:cs="宋体"/>
          <w:sz w:val="21"/>
          <w:szCs w:val="21"/>
          <w:lang w:val="en-US" w:eastAsia="zh-CN"/>
        </w:rPr>
        <w:t>。以下数量为一年使用的预估数量，若实际采购数量低于预估数量，则按实结算。</w:t>
      </w:r>
    </w:p>
    <w:p w14:paraId="286E4ACC">
      <w:pPr>
        <w:numPr>
          <w:ilvl w:val="0"/>
          <w:numId w:val="0"/>
        </w:numPr>
        <w:spacing w:line="360" w:lineRule="auto"/>
        <w:ind w:firstLine="420" w:firstLineChars="200"/>
        <w:rPr>
          <w:rFonts w:hint="default" w:ascii="宋体" w:hAnsi="宋体" w:eastAsia="宋体" w:cs="宋体"/>
          <w:sz w:val="21"/>
          <w:szCs w:val="21"/>
          <w:lang w:val="en-US" w:eastAsia="zh-CN"/>
        </w:rPr>
      </w:pPr>
    </w:p>
    <w:tbl>
      <w:tblPr>
        <w:tblStyle w:val="16"/>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6"/>
        <w:gridCol w:w="3922"/>
        <w:gridCol w:w="3978"/>
      </w:tblGrid>
      <w:tr w14:paraId="17F74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616" w:type="dxa"/>
            <w:vAlign w:val="center"/>
          </w:tcPr>
          <w:p w14:paraId="14F56AA5">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序号</w:t>
            </w:r>
          </w:p>
        </w:tc>
        <w:tc>
          <w:tcPr>
            <w:tcW w:w="3922" w:type="dxa"/>
            <w:vAlign w:val="center"/>
          </w:tcPr>
          <w:p w14:paraId="04F93E74">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采购内容</w:t>
            </w:r>
          </w:p>
        </w:tc>
        <w:tc>
          <w:tcPr>
            <w:tcW w:w="3978" w:type="dxa"/>
            <w:vAlign w:val="center"/>
          </w:tcPr>
          <w:p w14:paraId="202674B0">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折扣率（%）</w:t>
            </w:r>
          </w:p>
        </w:tc>
      </w:tr>
      <w:tr w14:paraId="799DC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dxa"/>
            <w:vAlign w:val="center"/>
          </w:tcPr>
          <w:p w14:paraId="75791EC0">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w:t>
            </w:r>
          </w:p>
        </w:tc>
        <w:tc>
          <w:tcPr>
            <w:tcW w:w="3922" w:type="dxa"/>
            <w:vAlign w:val="top"/>
          </w:tcPr>
          <w:p w14:paraId="6BF81337">
            <w:pPr>
              <w:spacing w:line="440" w:lineRule="exact"/>
              <w:jc w:val="center"/>
              <w:rPr>
                <w:rFonts w:hint="default" w:ascii="仿宋" w:hAnsi="仿宋" w:eastAsia="仿宋" w:cs="仿宋"/>
                <w:i w:val="0"/>
                <w:iCs w:val="0"/>
                <w:color w:val="000000"/>
                <w:kern w:val="2"/>
                <w:sz w:val="24"/>
                <w:szCs w:val="24"/>
                <w:u w:val="none"/>
                <w:lang w:val="en-US" w:eastAsia="zh-CN" w:bidi="ar-SA"/>
              </w:rPr>
            </w:pPr>
          </w:p>
        </w:tc>
        <w:tc>
          <w:tcPr>
            <w:tcW w:w="3978" w:type="dxa"/>
            <w:vAlign w:val="center"/>
          </w:tcPr>
          <w:p w14:paraId="529A14DE">
            <w:pPr>
              <w:spacing w:line="240" w:lineRule="auto"/>
              <w:jc w:val="center"/>
              <w:rPr>
                <w:rFonts w:hint="eastAsia" w:ascii="仿宋" w:hAnsi="仿宋" w:eastAsia="仿宋" w:cs="仿宋"/>
                <w:b/>
                <w:bCs/>
                <w:color w:val="000000"/>
                <w:sz w:val="21"/>
                <w:szCs w:val="21"/>
                <w:highlight w:val="none"/>
                <w:lang w:val="en-US" w:eastAsia="zh-CN"/>
              </w:rPr>
            </w:pPr>
          </w:p>
        </w:tc>
      </w:tr>
    </w:tbl>
    <w:p w14:paraId="79678D0B">
      <w:pPr>
        <w:widowControl/>
        <w:spacing w:line="360" w:lineRule="auto"/>
        <w:jc w:val="left"/>
        <w:rPr>
          <w:rFonts w:hint="eastAsia" w:ascii="宋体" w:hAnsi="宋体" w:eastAsia="宋体" w:cs="宋体"/>
          <w:sz w:val="24"/>
          <w:szCs w:val="24"/>
          <w:lang w:val="zh-TW" w:eastAsia="zh-TW"/>
        </w:rPr>
      </w:pPr>
    </w:p>
    <w:p w14:paraId="503AF30C">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1F507AAD">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7CA838C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00DACDBF">
      <w:pPr>
        <w:spacing w:line="360" w:lineRule="auto"/>
        <w:jc w:val="left"/>
        <w:rPr>
          <w:rFonts w:hint="eastAsia" w:ascii="宋体" w:hAnsi="宋体" w:eastAsia="宋体" w:cs="宋体"/>
          <w:sz w:val="24"/>
          <w:szCs w:val="24"/>
          <w:u w:val="none"/>
          <w:lang w:val="en-US" w:eastAsia="zh-CN"/>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p>
    <w:p w14:paraId="323219E9">
      <w:pPr>
        <w:spacing w:line="360" w:lineRule="auto"/>
        <w:jc w:val="left"/>
        <w:rPr>
          <w:rFonts w:hint="eastAsia" w:ascii="宋体" w:hAnsi="宋体" w:eastAsia="宋体" w:cs="宋体"/>
          <w:sz w:val="24"/>
          <w:szCs w:val="24"/>
          <w:u w:val="none"/>
          <w:lang w:val="en-US" w:eastAsia="zh-CN"/>
        </w:rPr>
      </w:pPr>
    </w:p>
    <w:p w14:paraId="5B477082">
      <w:pPr>
        <w:spacing w:line="360" w:lineRule="auto"/>
        <w:jc w:val="left"/>
        <w:rPr>
          <w:rFonts w:hint="eastAsia" w:ascii="宋体" w:hAnsi="宋体" w:eastAsia="宋体" w:cs="宋体"/>
          <w:sz w:val="24"/>
          <w:szCs w:val="24"/>
          <w:u w:val="none"/>
          <w:lang w:val="en-US" w:eastAsia="zh-CN"/>
        </w:rPr>
      </w:pPr>
    </w:p>
    <w:p w14:paraId="7A80FA89">
      <w:pPr>
        <w:spacing w:line="360" w:lineRule="auto"/>
        <w:jc w:val="left"/>
        <w:rPr>
          <w:rFonts w:hint="eastAsia" w:ascii="宋体" w:hAnsi="宋体" w:eastAsia="宋体" w:cs="宋体"/>
          <w:sz w:val="24"/>
          <w:szCs w:val="24"/>
          <w:u w:val="none"/>
          <w:lang w:val="en-US" w:eastAsia="zh-CN"/>
        </w:rPr>
      </w:pPr>
    </w:p>
    <w:p w14:paraId="5C0A8A6A">
      <w:pPr>
        <w:spacing w:line="360" w:lineRule="auto"/>
        <w:jc w:val="left"/>
        <w:rPr>
          <w:rFonts w:hint="eastAsia" w:ascii="宋体" w:hAnsi="宋体" w:eastAsia="宋体" w:cs="宋体"/>
          <w:sz w:val="24"/>
          <w:szCs w:val="24"/>
          <w:u w:val="none"/>
          <w:lang w:val="en-US" w:eastAsia="zh-CN"/>
        </w:rPr>
      </w:pPr>
    </w:p>
    <w:p w14:paraId="1B9B8486">
      <w:pPr>
        <w:spacing w:line="360" w:lineRule="auto"/>
        <w:jc w:val="left"/>
        <w:rPr>
          <w:rFonts w:hint="eastAsia" w:ascii="宋体" w:hAnsi="宋体" w:eastAsia="宋体" w:cs="宋体"/>
          <w:sz w:val="24"/>
          <w:szCs w:val="24"/>
          <w:u w:val="none"/>
          <w:lang w:val="en-US" w:eastAsia="zh-CN"/>
        </w:rPr>
      </w:pPr>
    </w:p>
    <w:p w14:paraId="2082889A">
      <w:pPr>
        <w:spacing w:line="360" w:lineRule="auto"/>
        <w:jc w:val="left"/>
        <w:rPr>
          <w:rFonts w:hint="eastAsia" w:ascii="宋体" w:hAnsi="宋体" w:eastAsia="宋体" w:cs="宋体"/>
          <w:sz w:val="24"/>
          <w:szCs w:val="24"/>
          <w:u w:val="none"/>
          <w:lang w:val="en-US" w:eastAsia="zh-CN"/>
        </w:rPr>
      </w:pPr>
    </w:p>
    <w:p w14:paraId="6E609D6B">
      <w:pPr>
        <w:spacing w:line="360" w:lineRule="auto"/>
        <w:jc w:val="left"/>
        <w:rPr>
          <w:rFonts w:hint="eastAsia" w:ascii="宋体" w:hAnsi="宋体" w:eastAsia="宋体" w:cs="宋体"/>
          <w:sz w:val="24"/>
          <w:szCs w:val="24"/>
          <w:u w:val="none"/>
          <w:lang w:val="en-US" w:eastAsia="zh-CN"/>
        </w:rPr>
      </w:pPr>
    </w:p>
    <w:p w14:paraId="680F040D">
      <w:pPr>
        <w:spacing w:line="360" w:lineRule="auto"/>
        <w:jc w:val="left"/>
        <w:rPr>
          <w:rFonts w:hint="eastAsia" w:ascii="宋体" w:hAnsi="宋体" w:eastAsia="宋体" w:cs="宋体"/>
          <w:sz w:val="24"/>
          <w:szCs w:val="24"/>
          <w:u w:val="none"/>
          <w:lang w:val="en-US" w:eastAsia="zh-CN"/>
        </w:rPr>
      </w:pPr>
    </w:p>
    <w:p w14:paraId="1307DF2C">
      <w:pPr>
        <w:spacing w:line="360" w:lineRule="auto"/>
        <w:jc w:val="left"/>
        <w:rPr>
          <w:rFonts w:hint="eastAsia" w:ascii="宋体" w:hAnsi="宋体" w:eastAsia="宋体" w:cs="宋体"/>
          <w:sz w:val="24"/>
          <w:szCs w:val="24"/>
          <w:u w:val="none"/>
          <w:lang w:val="en-US" w:eastAsia="zh-CN"/>
        </w:rPr>
      </w:pPr>
    </w:p>
    <w:p w14:paraId="5223D3F1">
      <w:pPr>
        <w:spacing w:line="360" w:lineRule="auto"/>
        <w:jc w:val="left"/>
        <w:rPr>
          <w:rFonts w:hint="eastAsia" w:ascii="宋体" w:hAnsi="宋体" w:eastAsia="宋体" w:cs="宋体"/>
          <w:sz w:val="24"/>
          <w:szCs w:val="24"/>
          <w:u w:val="none"/>
          <w:lang w:val="en-US" w:eastAsia="zh-CN"/>
        </w:rPr>
      </w:pPr>
    </w:p>
    <w:p w14:paraId="08C7B6DF">
      <w:pPr>
        <w:spacing w:line="360" w:lineRule="auto"/>
        <w:jc w:val="left"/>
        <w:rPr>
          <w:rFonts w:hint="eastAsia" w:ascii="宋体" w:hAnsi="宋体" w:eastAsia="宋体" w:cs="宋体"/>
          <w:sz w:val="24"/>
          <w:szCs w:val="24"/>
          <w:u w:val="none"/>
          <w:lang w:val="en-US" w:eastAsia="zh-CN"/>
        </w:rPr>
      </w:pPr>
    </w:p>
    <w:p w14:paraId="3C3002EB">
      <w:pPr>
        <w:spacing w:line="360" w:lineRule="auto"/>
        <w:jc w:val="left"/>
        <w:rPr>
          <w:rFonts w:hint="eastAsia" w:ascii="宋体" w:hAnsi="宋体" w:eastAsia="宋体" w:cs="宋体"/>
          <w:sz w:val="24"/>
          <w:szCs w:val="24"/>
          <w:u w:val="none"/>
          <w:lang w:val="en-US" w:eastAsia="zh-CN"/>
        </w:rPr>
      </w:pPr>
    </w:p>
    <w:p w14:paraId="115B7149">
      <w:pPr>
        <w:spacing w:line="360" w:lineRule="auto"/>
        <w:jc w:val="left"/>
        <w:rPr>
          <w:rFonts w:hint="eastAsia" w:ascii="宋体" w:hAnsi="宋体" w:eastAsia="宋体" w:cs="宋体"/>
          <w:sz w:val="24"/>
          <w:szCs w:val="24"/>
          <w:u w:val="none"/>
          <w:lang w:val="en-US" w:eastAsia="zh-CN"/>
        </w:rPr>
      </w:pPr>
    </w:p>
    <w:p w14:paraId="4EA9A440">
      <w:pPr>
        <w:spacing w:line="360" w:lineRule="auto"/>
        <w:jc w:val="left"/>
        <w:rPr>
          <w:rFonts w:hint="eastAsia" w:ascii="宋体" w:hAnsi="宋体" w:eastAsia="宋体" w:cs="宋体"/>
          <w:sz w:val="24"/>
          <w:szCs w:val="24"/>
          <w:u w:val="none"/>
          <w:lang w:val="en-US" w:eastAsia="zh-CN"/>
        </w:rPr>
      </w:pPr>
    </w:p>
    <w:p w14:paraId="76FF3A98">
      <w:pPr>
        <w:pStyle w:val="6"/>
        <w:rPr>
          <w:rFonts w:hint="eastAsia" w:ascii="宋体" w:hAnsi="宋体" w:eastAsia="宋体" w:cs="宋体"/>
          <w:sz w:val="24"/>
          <w:szCs w:val="24"/>
          <w:u w:val="none"/>
          <w:lang w:val="en-US" w:eastAsia="zh-CN"/>
        </w:rPr>
      </w:pPr>
    </w:p>
    <w:p w14:paraId="7781B777">
      <w:pPr>
        <w:pStyle w:val="19"/>
        <w:numPr>
          <w:ilvl w:val="0"/>
          <w:numId w:val="0"/>
        </w:numPr>
        <w:ind w:leftChars="0"/>
        <w:rPr>
          <w:rStyle w:val="20"/>
          <w:rFonts w:hint="default" w:hAnsi="宋体" w:eastAsia="宋体" w:cs="宋体" w:asciiTheme="minorHAnsi"/>
          <w:b/>
          <w:bCs/>
          <w:color w:val="auto"/>
          <w:kern w:val="2"/>
          <w:sz w:val="21"/>
          <w:szCs w:val="21"/>
          <w:lang w:val="en-US" w:eastAsia="zh-CN"/>
        </w:rPr>
      </w:pPr>
    </w:p>
    <w:p w14:paraId="655C25F8">
      <w:pPr>
        <w:pStyle w:val="6"/>
        <w:rPr>
          <w:rFonts w:hint="eastAsia" w:ascii="宋体" w:hAnsi="宋体" w:eastAsia="宋体" w:cs="宋体"/>
          <w:sz w:val="24"/>
          <w:szCs w:val="24"/>
          <w:u w:val="none"/>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1E6B2433">
      <w:pPr>
        <w:pStyle w:val="19"/>
        <w:numPr>
          <w:ilvl w:val="0"/>
          <w:numId w:val="0"/>
        </w:numPr>
        <w:ind w:leftChars="0"/>
        <w:rPr>
          <w:rStyle w:val="20"/>
          <w:rFonts w:hint="eastAsia" w:hAnsi="宋体" w:eastAsia="宋体" w:cs="宋体" w:asciiTheme="minorHAnsi"/>
          <w:b/>
          <w:bCs/>
          <w:color w:val="auto"/>
          <w:kern w:val="2"/>
          <w:sz w:val="21"/>
          <w:szCs w:val="21"/>
          <w:lang w:val="en-US" w:eastAsia="zh-CN"/>
        </w:rPr>
      </w:pPr>
      <w:r>
        <w:rPr>
          <w:rStyle w:val="20"/>
          <w:rFonts w:hint="eastAsia" w:hAnsi="宋体" w:eastAsia="宋体" w:cs="宋体" w:asciiTheme="minorHAnsi"/>
          <w:b/>
          <w:bCs/>
          <w:color w:val="auto"/>
          <w:kern w:val="2"/>
          <w:sz w:val="21"/>
          <w:szCs w:val="21"/>
          <w:lang w:val="en-US" w:eastAsia="zh-CN"/>
        </w:rPr>
        <w:t>十三、评分表</w:t>
      </w:r>
    </w:p>
    <w:p w14:paraId="772A03A2">
      <w:pPr>
        <w:spacing w:line="440" w:lineRule="exact"/>
        <w:jc w:val="center"/>
      </w:pPr>
      <w:r>
        <w:rPr>
          <w:rFonts w:hint="eastAsia" w:ascii="仿宋" w:hAnsi="仿宋" w:eastAsia="仿宋" w:cs="仿宋"/>
          <w:b/>
          <w:bCs/>
          <w:color w:val="auto"/>
          <w:sz w:val="44"/>
          <w:szCs w:val="44"/>
          <w:highlight w:val="none"/>
        </w:rPr>
        <w:t>评分表</w:t>
      </w:r>
    </w:p>
    <w:tbl>
      <w:tblPr>
        <w:tblStyle w:val="15"/>
        <w:tblW w:w="10100" w:type="dxa"/>
        <w:tblInd w:w="-822"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67"/>
        <w:gridCol w:w="1114"/>
        <w:gridCol w:w="4986"/>
        <w:gridCol w:w="1216"/>
        <w:gridCol w:w="1717"/>
      </w:tblGrid>
      <w:tr w14:paraId="5E6E91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7" w:type="dxa"/>
          </w:tcPr>
          <w:p w14:paraId="002EDF62">
            <w:pPr>
              <w:pStyle w:val="24"/>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评审因素</w:t>
            </w:r>
          </w:p>
        </w:tc>
        <w:tc>
          <w:tcPr>
            <w:tcW w:w="6100" w:type="dxa"/>
            <w:gridSpan w:val="2"/>
          </w:tcPr>
          <w:p w14:paraId="213C72D1">
            <w:pPr>
              <w:pStyle w:val="24"/>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评审标准</w:t>
            </w:r>
          </w:p>
        </w:tc>
        <w:tc>
          <w:tcPr>
            <w:tcW w:w="1216" w:type="dxa"/>
            <w:vMerge w:val="restart"/>
            <w:vAlign w:val="center"/>
          </w:tcPr>
          <w:p w14:paraId="535DE684">
            <w:pPr>
              <w:pStyle w:val="24"/>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lang w:val="en-US" w:eastAsia="zh-CN"/>
              </w:rPr>
              <w:t>自评分</w:t>
            </w:r>
          </w:p>
        </w:tc>
        <w:tc>
          <w:tcPr>
            <w:tcW w:w="1717" w:type="dxa"/>
            <w:vMerge w:val="restart"/>
            <w:vAlign w:val="center"/>
          </w:tcPr>
          <w:p w14:paraId="15BA2D19">
            <w:pPr>
              <w:pStyle w:val="24"/>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lang w:val="en-US" w:eastAsia="zh-CN"/>
              </w:rPr>
              <w:t>证明材料对应页码</w:t>
            </w:r>
          </w:p>
        </w:tc>
      </w:tr>
      <w:tr w14:paraId="11AC23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7" w:type="dxa"/>
          </w:tcPr>
          <w:p w14:paraId="4D4BD660">
            <w:pPr>
              <w:pStyle w:val="24"/>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分值构成</w:t>
            </w:r>
          </w:p>
        </w:tc>
        <w:tc>
          <w:tcPr>
            <w:tcW w:w="6100" w:type="dxa"/>
            <w:gridSpan w:val="2"/>
          </w:tcPr>
          <w:p w14:paraId="716C03A1">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商务部分</w:t>
            </w:r>
            <w:r>
              <w:rPr>
                <w:rFonts w:hint="eastAsia" w:ascii="Times New Roman" w:hAnsi="Times New Roman" w:cs="Times New Roman"/>
                <w:color w:val="auto"/>
                <w:highlight w:val="none"/>
                <w:lang w:val="en-US" w:eastAsia="zh-CN"/>
              </w:rPr>
              <w:t>18</w:t>
            </w:r>
            <w:r>
              <w:rPr>
                <w:rFonts w:hint="default" w:ascii="Times New Roman" w:hAnsi="Times New Roman" w:cs="Times New Roman"/>
                <w:color w:val="auto"/>
                <w:highlight w:val="none"/>
              </w:rPr>
              <w:t>.</w:t>
            </w:r>
            <w:r>
              <w:rPr>
                <w:rFonts w:ascii="Times New Roman" w:hAnsi="Times New Roman" w:cs="Times New Roman"/>
                <w:color w:val="auto"/>
                <w:highlight w:val="none"/>
                <w:lang w:eastAsia="zh-CN"/>
              </w:rPr>
              <w:t>8</w:t>
            </w:r>
            <w:r>
              <w:rPr>
                <w:rFonts w:hint="default" w:ascii="Times New Roman" w:hAnsi="Times New Roman" w:cs="Times New Roman"/>
                <w:color w:val="auto"/>
                <w:highlight w:val="none"/>
              </w:rPr>
              <w:t>分</w:t>
            </w:r>
          </w:p>
          <w:p w14:paraId="57D420C3">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技术部分</w:t>
            </w:r>
            <w:r>
              <w:rPr>
                <w:rFonts w:hint="eastAsia" w:ascii="Times New Roman" w:hAnsi="Times New Roman" w:cs="Times New Roman"/>
                <w:color w:val="auto"/>
                <w:highlight w:val="none"/>
                <w:lang w:val="en-US" w:eastAsia="zh-CN"/>
              </w:rPr>
              <w:t>61</w:t>
            </w:r>
            <w:r>
              <w:rPr>
                <w:rFonts w:hint="default" w:ascii="Times New Roman" w:hAnsi="Times New Roman" w:cs="Times New Roman"/>
                <w:color w:val="auto"/>
                <w:highlight w:val="none"/>
              </w:rPr>
              <w:t>.</w:t>
            </w:r>
            <w:r>
              <w:rPr>
                <w:rFonts w:ascii="Times New Roman" w:hAnsi="Times New Roman" w:cs="Times New Roman"/>
                <w:color w:val="auto"/>
                <w:highlight w:val="none"/>
                <w:lang w:eastAsia="zh-CN"/>
              </w:rPr>
              <w:t>2</w:t>
            </w:r>
            <w:r>
              <w:rPr>
                <w:rFonts w:hint="default" w:ascii="Times New Roman" w:hAnsi="Times New Roman" w:cs="Times New Roman"/>
                <w:color w:val="auto"/>
                <w:highlight w:val="none"/>
              </w:rPr>
              <w:t>分</w:t>
            </w:r>
          </w:p>
          <w:p w14:paraId="7FF9BA9E">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报价得分</w:t>
            </w:r>
            <w:r>
              <w:rPr>
                <w:rFonts w:hint="default" w:ascii="Times New Roman" w:hAnsi="Times New Roman" w:cs="Times New Roman"/>
                <w:color w:val="auto"/>
                <w:highlight w:val="none"/>
                <w:lang w:eastAsia="zh-CN"/>
              </w:rPr>
              <w:t>20</w:t>
            </w:r>
            <w:r>
              <w:rPr>
                <w:rFonts w:hint="default" w:ascii="Times New Roman" w:hAnsi="Times New Roman" w:cs="Times New Roman"/>
                <w:color w:val="auto"/>
                <w:highlight w:val="none"/>
              </w:rPr>
              <w:t>.0分</w:t>
            </w:r>
          </w:p>
        </w:tc>
        <w:tc>
          <w:tcPr>
            <w:tcW w:w="1216" w:type="dxa"/>
            <w:vMerge w:val="continue"/>
          </w:tcPr>
          <w:p w14:paraId="311ECE2A">
            <w:pPr>
              <w:pStyle w:val="24"/>
              <w:rPr>
                <w:rFonts w:hint="default" w:ascii="Times New Roman" w:hAnsi="Times New Roman" w:cs="Times New Roman"/>
                <w:color w:val="auto"/>
                <w:highlight w:val="none"/>
              </w:rPr>
            </w:pPr>
          </w:p>
        </w:tc>
        <w:tc>
          <w:tcPr>
            <w:tcW w:w="1717" w:type="dxa"/>
            <w:vMerge w:val="continue"/>
          </w:tcPr>
          <w:p w14:paraId="2B95C28C">
            <w:pPr>
              <w:pStyle w:val="24"/>
              <w:rPr>
                <w:rFonts w:hint="default" w:ascii="Times New Roman" w:hAnsi="Times New Roman" w:cs="Times New Roman"/>
                <w:color w:val="auto"/>
                <w:highlight w:val="none"/>
              </w:rPr>
            </w:pPr>
          </w:p>
        </w:tc>
      </w:tr>
      <w:tr w14:paraId="24EAC6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7" w:type="dxa"/>
            <w:vMerge w:val="restart"/>
          </w:tcPr>
          <w:p w14:paraId="08C625E8">
            <w:pPr>
              <w:pStyle w:val="24"/>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技术部分</w:t>
            </w:r>
          </w:p>
        </w:tc>
        <w:tc>
          <w:tcPr>
            <w:tcW w:w="1114" w:type="dxa"/>
          </w:tcPr>
          <w:p w14:paraId="34A8DE7E">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一般条款响应程度(</w:t>
            </w:r>
            <w:r>
              <w:rPr>
                <w:rFonts w:ascii="Times New Roman" w:hAnsi="Times New Roman" w:cs="Times New Roman"/>
                <w:color w:val="auto"/>
                <w:highlight w:val="none"/>
                <w:lang w:eastAsia="zh-CN"/>
              </w:rPr>
              <w:t>9</w:t>
            </w:r>
            <w:r>
              <w:rPr>
                <w:rFonts w:hint="default" w:ascii="Times New Roman" w:hAnsi="Times New Roman" w:cs="Times New Roman"/>
                <w:color w:val="auto"/>
                <w:highlight w:val="none"/>
              </w:rPr>
              <w:t>分)</w:t>
            </w:r>
          </w:p>
        </w:tc>
        <w:tc>
          <w:tcPr>
            <w:tcW w:w="4986" w:type="dxa"/>
          </w:tcPr>
          <w:p w14:paraId="4D6C5DDE">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根据投标人对采购需求中技术服务要求一般条款（非“▲”条款）的响应程度进行评分： </w:t>
            </w:r>
          </w:p>
          <w:p w14:paraId="5159DC2C">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一般条款（非“▲”条款）负偏离在</w:t>
            </w:r>
            <w:r>
              <w:rPr>
                <w:rFonts w:ascii="Times New Roman" w:hAnsi="Times New Roman" w:cs="Times New Roman"/>
                <w:color w:val="auto"/>
                <w:highlight w:val="none"/>
                <w:lang w:eastAsia="zh-CN"/>
              </w:rPr>
              <w:t>30</w:t>
            </w:r>
            <w:r>
              <w:rPr>
                <w:rFonts w:hint="default" w:ascii="Times New Roman" w:hAnsi="Times New Roman" w:cs="Times New Roman"/>
                <w:color w:val="auto"/>
                <w:highlight w:val="none"/>
              </w:rPr>
              <w:t>项以内（含</w:t>
            </w:r>
            <w:r>
              <w:rPr>
                <w:rFonts w:ascii="Times New Roman" w:hAnsi="Times New Roman" w:cs="Times New Roman"/>
                <w:color w:val="auto"/>
                <w:highlight w:val="none"/>
                <w:lang w:eastAsia="zh-CN"/>
              </w:rPr>
              <w:t>30</w:t>
            </w:r>
            <w:r>
              <w:rPr>
                <w:rFonts w:hint="default" w:ascii="Times New Roman" w:hAnsi="Times New Roman" w:cs="Times New Roman"/>
                <w:color w:val="auto"/>
                <w:highlight w:val="none"/>
              </w:rPr>
              <w:t>项），每项扣</w:t>
            </w:r>
            <w:r>
              <w:rPr>
                <w:rFonts w:ascii="Times New Roman" w:hAnsi="Times New Roman" w:cs="Times New Roman"/>
                <w:color w:val="auto"/>
                <w:highlight w:val="none"/>
                <w:lang w:eastAsia="zh-CN"/>
              </w:rPr>
              <w:t>0.3</w:t>
            </w:r>
            <w:r>
              <w:rPr>
                <w:rFonts w:hint="default" w:ascii="Times New Roman" w:hAnsi="Times New Roman" w:cs="Times New Roman"/>
                <w:color w:val="auto"/>
                <w:highlight w:val="none"/>
              </w:rPr>
              <w:t>分；完全响应得</w:t>
            </w:r>
            <w:r>
              <w:rPr>
                <w:rFonts w:ascii="Times New Roman" w:hAnsi="Times New Roman" w:cs="Times New Roman"/>
                <w:color w:val="auto"/>
                <w:highlight w:val="none"/>
                <w:lang w:eastAsia="zh-CN"/>
              </w:rPr>
              <w:t>9</w:t>
            </w:r>
            <w:r>
              <w:rPr>
                <w:rFonts w:hint="default" w:ascii="Times New Roman" w:hAnsi="Times New Roman" w:cs="Times New Roman"/>
                <w:color w:val="auto"/>
                <w:highlight w:val="none"/>
              </w:rPr>
              <w:t xml:space="preserve">分。 </w:t>
            </w:r>
          </w:p>
          <w:p w14:paraId="7F606B9B">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注：</w:t>
            </w:r>
            <w:r>
              <w:rPr>
                <w:rFonts w:hint="default" w:ascii="Times New Roman" w:hAnsi="Times New Roman" w:cs="Times New Roman"/>
                <w:b/>
                <w:bCs/>
                <w:color w:val="auto"/>
                <w:highlight w:val="none"/>
              </w:rPr>
              <w:t>若采购需求中有要求提供相关证明材料的，以提供的材料为准，若用户需求中未要求提供证明材料的，则以投标人提供的《技术和服务要求响应表》为准，未按要求提供的不得分。</w:t>
            </w:r>
          </w:p>
        </w:tc>
        <w:tc>
          <w:tcPr>
            <w:tcW w:w="1216" w:type="dxa"/>
          </w:tcPr>
          <w:p w14:paraId="72C41D8B">
            <w:pPr>
              <w:pStyle w:val="24"/>
              <w:rPr>
                <w:rFonts w:hint="default" w:ascii="Times New Roman" w:hAnsi="Times New Roman" w:cs="Times New Roman"/>
                <w:color w:val="auto"/>
                <w:highlight w:val="none"/>
              </w:rPr>
            </w:pPr>
          </w:p>
        </w:tc>
        <w:tc>
          <w:tcPr>
            <w:tcW w:w="1717" w:type="dxa"/>
          </w:tcPr>
          <w:p w14:paraId="15FA0480">
            <w:pPr>
              <w:pStyle w:val="24"/>
              <w:rPr>
                <w:rFonts w:hint="default" w:ascii="Times New Roman" w:hAnsi="Times New Roman" w:cs="Times New Roman"/>
                <w:color w:val="auto"/>
                <w:highlight w:val="none"/>
              </w:rPr>
            </w:pPr>
          </w:p>
        </w:tc>
      </w:tr>
      <w:tr w14:paraId="0499FF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7" w:type="dxa"/>
            <w:vMerge w:val="continue"/>
          </w:tcPr>
          <w:p w14:paraId="5FCC1A92">
            <w:pPr>
              <w:rPr>
                <w:color w:val="auto"/>
                <w:sz w:val="20"/>
                <w:szCs w:val="20"/>
                <w:highlight w:val="none"/>
              </w:rPr>
            </w:pPr>
          </w:p>
        </w:tc>
        <w:tc>
          <w:tcPr>
            <w:tcW w:w="1114" w:type="dxa"/>
          </w:tcPr>
          <w:p w14:paraId="34244DC6">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重要条款响应程度 (</w:t>
            </w:r>
            <w:r>
              <w:rPr>
                <w:rFonts w:hint="default" w:ascii="Times New Roman" w:hAnsi="Times New Roman" w:cs="Times New Roman"/>
                <w:color w:val="auto"/>
                <w:highlight w:val="none"/>
                <w:lang w:eastAsia="zh-CN"/>
              </w:rPr>
              <w:t>1</w:t>
            </w:r>
            <w:r>
              <w:rPr>
                <w:rFonts w:ascii="Times New Roman" w:hAnsi="Times New Roman" w:cs="Times New Roman"/>
                <w:color w:val="auto"/>
                <w:highlight w:val="none"/>
                <w:lang w:eastAsia="zh-CN"/>
              </w:rPr>
              <w:t>6</w:t>
            </w:r>
            <w:r>
              <w:rPr>
                <w:rFonts w:hint="default" w:ascii="Times New Roman" w:hAnsi="Times New Roman" w:cs="Times New Roman"/>
                <w:color w:val="auto"/>
                <w:highlight w:val="none"/>
              </w:rPr>
              <w:t>.0分)</w:t>
            </w:r>
          </w:p>
        </w:tc>
        <w:tc>
          <w:tcPr>
            <w:tcW w:w="4986" w:type="dxa"/>
            <w:vAlign w:val="center"/>
          </w:tcPr>
          <w:p w14:paraId="6FC86CA2">
            <w:pPr>
              <w:rPr>
                <w:color w:val="auto"/>
                <w:sz w:val="20"/>
                <w:szCs w:val="20"/>
                <w:highlight w:val="none"/>
                <w:lang w:val="zh-CN"/>
              </w:rPr>
            </w:pPr>
            <w:r>
              <w:rPr>
                <w:color w:val="auto"/>
                <w:sz w:val="20"/>
                <w:szCs w:val="20"/>
                <w:highlight w:val="none"/>
                <w:lang w:val="zh-CN"/>
              </w:rPr>
              <w:t>根据</w:t>
            </w:r>
            <w:r>
              <w:rPr>
                <w:color w:val="auto"/>
                <w:sz w:val="20"/>
                <w:szCs w:val="20"/>
                <w:highlight w:val="none"/>
              </w:rPr>
              <w:t>投标人对采购需求中技术服务要求</w:t>
            </w:r>
            <w:r>
              <w:rPr>
                <w:color w:val="auto"/>
                <w:sz w:val="20"/>
                <w:szCs w:val="20"/>
                <w:highlight w:val="none"/>
                <w:lang w:val="zh-CN"/>
              </w:rPr>
              <w:t>重要条款（“▲”条款）</w:t>
            </w:r>
            <w:r>
              <w:rPr>
                <w:color w:val="auto"/>
                <w:sz w:val="20"/>
                <w:szCs w:val="20"/>
                <w:highlight w:val="none"/>
              </w:rPr>
              <w:t>条款进行评分：</w:t>
            </w:r>
          </w:p>
          <w:p w14:paraId="76FC7C88">
            <w:pPr>
              <w:rPr>
                <w:color w:val="auto"/>
                <w:sz w:val="20"/>
                <w:szCs w:val="20"/>
                <w:highlight w:val="none"/>
                <w:lang w:val="zh-CN"/>
              </w:rPr>
            </w:pPr>
            <w:r>
              <w:rPr>
                <w:color w:val="auto"/>
                <w:sz w:val="20"/>
                <w:szCs w:val="20"/>
                <w:highlight w:val="none"/>
                <w:lang w:val="zh-CN"/>
              </w:rPr>
              <w:t>重要条款（“▲”条款）负偏离在</w:t>
            </w:r>
            <w:r>
              <w:rPr>
                <w:color w:val="auto"/>
                <w:sz w:val="20"/>
                <w:szCs w:val="20"/>
                <w:highlight w:val="none"/>
              </w:rPr>
              <w:t>1</w:t>
            </w:r>
            <w:r>
              <w:rPr>
                <w:rFonts w:hint="eastAsia"/>
                <w:color w:val="auto"/>
                <w:sz w:val="20"/>
                <w:szCs w:val="20"/>
                <w:highlight w:val="none"/>
              </w:rPr>
              <w:t>6</w:t>
            </w:r>
            <w:r>
              <w:rPr>
                <w:color w:val="auto"/>
                <w:sz w:val="20"/>
                <w:szCs w:val="20"/>
                <w:highlight w:val="none"/>
                <w:lang w:val="zh-CN"/>
              </w:rPr>
              <w:t>项以内（含</w:t>
            </w:r>
            <w:r>
              <w:rPr>
                <w:color w:val="auto"/>
                <w:sz w:val="20"/>
                <w:szCs w:val="20"/>
                <w:highlight w:val="none"/>
              </w:rPr>
              <w:t>1</w:t>
            </w:r>
            <w:r>
              <w:rPr>
                <w:rFonts w:hint="eastAsia"/>
                <w:color w:val="auto"/>
                <w:sz w:val="20"/>
                <w:szCs w:val="20"/>
                <w:highlight w:val="none"/>
              </w:rPr>
              <w:t>6</w:t>
            </w:r>
            <w:r>
              <w:rPr>
                <w:color w:val="auto"/>
                <w:sz w:val="20"/>
                <w:szCs w:val="20"/>
                <w:highlight w:val="none"/>
                <w:lang w:val="zh-CN"/>
              </w:rPr>
              <w:t>项），每项扣</w:t>
            </w:r>
            <w:r>
              <w:rPr>
                <w:color w:val="auto"/>
                <w:sz w:val="20"/>
                <w:szCs w:val="20"/>
                <w:highlight w:val="none"/>
              </w:rPr>
              <w:t>1</w:t>
            </w:r>
            <w:r>
              <w:rPr>
                <w:color w:val="auto"/>
                <w:sz w:val="20"/>
                <w:szCs w:val="20"/>
                <w:highlight w:val="none"/>
                <w:lang w:val="zh-CN"/>
              </w:rPr>
              <w:t>分；</w:t>
            </w:r>
            <w:r>
              <w:rPr>
                <w:color w:val="auto"/>
                <w:sz w:val="20"/>
                <w:szCs w:val="20"/>
                <w:highlight w:val="none"/>
              </w:rPr>
              <w:t>完全响应得1</w:t>
            </w:r>
            <w:r>
              <w:rPr>
                <w:rFonts w:hint="eastAsia"/>
                <w:color w:val="auto"/>
                <w:sz w:val="20"/>
                <w:szCs w:val="20"/>
                <w:highlight w:val="none"/>
              </w:rPr>
              <w:t>6</w:t>
            </w:r>
            <w:r>
              <w:rPr>
                <w:color w:val="auto"/>
                <w:sz w:val="20"/>
                <w:szCs w:val="20"/>
                <w:highlight w:val="none"/>
              </w:rPr>
              <w:t>分</w:t>
            </w:r>
            <w:r>
              <w:rPr>
                <w:color w:val="auto"/>
                <w:sz w:val="20"/>
                <w:szCs w:val="20"/>
                <w:highlight w:val="none"/>
                <w:lang w:val="zh-CN"/>
              </w:rPr>
              <w:t>。</w:t>
            </w:r>
          </w:p>
          <w:p w14:paraId="4F426D02">
            <w:pPr>
              <w:pStyle w:val="5"/>
              <w:rPr>
                <w:color w:val="auto"/>
                <w:sz w:val="20"/>
                <w:szCs w:val="20"/>
                <w:highlight w:val="none"/>
              </w:rPr>
            </w:pPr>
            <w:r>
              <w:rPr>
                <w:b/>
                <w:bCs/>
                <w:color w:val="auto"/>
                <w:sz w:val="20"/>
                <w:szCs w:val="20"/>
                <w:highlight w:val="none"/>
                <w:u w:val="single"/>
              </w:rPr>
              <w:t>注：若采购需求中有要求提供相关证明材料的，以提供的材料为准，若用户需求中未要求提供证明材料的，则以投标人提供的《技术和服务要求响应表》为准，未按要求提供的不得分。</w:t>
            </w:r>
          </w:p>
        </w:tc>
        <w:tc>
          <w:tcPr>
            <w:tcW w:w="1216" w:type="dxa"/>
            <w:vAlign w:val="center"/>
          </w:tcPr>
          <w:p w14:paraId="35729181">
            <w:pPr>
              <w:pStyle w:val="5"/>
              <w:rPr>
                <w:b/>
                <w:bCs/>
                <w:color w:val="auto"/>
                <w:sz w:val="20"/>
                <w:szCs w:val="20"/>
                <w:highlight w:val="none"/>
                <w:u w:val="single"/>
              </w:rPr>
            </w:pPr>
          </w:p>
        </w:tc>
        <w:tc>
          <w:tcPr>
            <w:tcW w:w="1717" w:type="dxa"/>
            <w:vAlign w:val="center"/>
          </w:tcPr>
          <w:p w14:paraId="41C6F586">
            <w:pPr>
              <w:pStyle w:val="5"/>
              <w:rPr>
                <w:b/>
                <w:bCs/>
                <w:color w:val="auto"/>
                <w:sz w:val="20"/>
                <w:szCs w:val="20"/>
                <w:highlight w:val="none"/>
                <w:u w:val="single"/>
              </w:rPr>
            </w:pPr>
          </w:p>
        </w:tc>
      </w:tr>
      <w:tr w14:paraId="20A5A2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7" w:type="dxa"/>
            <w:vMerge w:val="continue"/>
          </w:tcPr>
          <w:p w14:paraId="7D1C591A">
            <w:pPr>
              <w:rPr>
                <w:color w:val="auto"/>
                <w:sz w:val="20"/>
                <w:szCs w:val="20"/>
                <w:highlight w:val="none"/>
              </w:rPr>
            </w:pPr>
          </w:p>
        </w:tc>
        <w:tc>
          <w:tcPr>
            <w:tcW w:w="1114" w:type="dxa"/>
          </w:tcPr>
          <w:p w14:paraId="439327EA">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质量保障</w:t>
            </w:r>
            <w:r>
              <w:rPr>
                <w:rFonts w:hint="default" w:ascii="Times New Roman" w:hAnsi="Times New Roman" w:cs="Times New Roman"/>
                <w:color w:val="auto"/>
                <w:highlight w:val="none"/>
              </w:rPr>
              <w:t xml:space="preserve"> (</w:t>
            </w:r>
            <w:r>
              <w:rPr>
                <w:rFonts w:ascii="Times New Roman" w:hAnsi="Times New Roman" w:cs="Times New Roman"/>
                <w:color w:val="auto"/>
                <w:highlight w:val="none"/>
                <w:lang w:eastAsia="zh-CN"/>
              </w:rPr>
              <w:t>3</w:t>
            </w:r>
            <w:r>
              <w:rPr>
                <w:rFonts w:hint="default" w:ascii="Times New Roman" w:hAnsi="Times New Roman" w:cs="Times New Roman"/>
                <w:color w:val="auto"/>
                <w:highlight w:val="none"/>
              </w:rPr>
              <w:t>.0分)</w:t>
            </w:r>
          </w:p>
        </w:tc>
        <w:tc>
          <w:tcPr>
            <w:tcW w:w="4986" w:type="dxa"/>
            <w:vAlign w:val="center"/>
          </w:tcPr>
          <w:p w14:paraId="7F6F2461">
            <w:pPr>
              <w:jc w:val="left"/>
              <w:rPr>
                <w:color w:val="auto"/>
                <w:sz w:val="20"/>
                <w:szCs w:val="20"/>
                <w:highlight w:val="none"/>
              </w:rPr>
            </w:pPr>
            <w:r>
              <w:rPr>
                <w:color w:val="auto"/>
                <w:sz w:val="20"/>
                <w:szCs w:val="20"/>
                <w:highlight w:val="none"/>
              </w:rPr>
              <w:t>1、服务项目按相关要求开展室内质控，质控结果满意，得</w:t>
            </w:r>
            <w:r>
              <w:rPr>
                <w:rFonts w:hint="eastAsia"/>
                <w:color w:val="auto"/>
                <w:sz w:val="20"/>
                <w:szCs w:val="20"/>
                <w:highlight w:val="none"/>
              </w:rPr>
              <w:t>3</w:t>
            </w:r>
            <w:r>
              <w:rPr>
                <w:color w:val="auto"/>
                <w:sz w:val="20"/>
                <w:szCs w:val="20"/>
                <w:highlight w:val="none"/>
              </w:rPr>
              <w:t>分。其他不得分。</w:t>
            </w:r>
          </w:p>
          <w:p w14:paraId="65D39E6A">
            <w:pPr>
              <w:jc w:val="left"/>
              <w:rPr>
                <w:color w:val="auto"/>
                <w:sz w:val="20"/>
                <w:szCs w:val="20"/>
                <w:highlight w:val="none"/>
              </w:rPr>
            </w:pPr>
            <w:r>
              <w:rPr>
                <w:b/>
                <w:bCs/>
                <w:color w:val="auto"/>
                <w:sz w:val="20"/>
                <w:szCs w:val="20"/>
                <w:highlight w:val="none"/>
                <w:u w:val="single"/>
              </w:rPr>
              <w:t>注：提供2023年1月份以来室内质量控制报表和性能验证报告，加盖公章。</w:t>
            </w:r>
          </w:p>
        </w:tc>
        <w:tc>
          <w:tcPr>
            <w:tcW w:w="1216" w:type="dxa"/>
            <w:vAlign w:val="center"/>
          </w:tcPr>
          <w:p w14:paraId="6B46971D">
            <w:pPr>
              <w:jc w:val="left"/>
              <w:rPr>
                <w:b/>
                <w:bCs/>
                <w:color w:val="auto"/>
                <w:sz w:val="20"/>
                <w:szCs w:val="20"/>
                <w:highlight w:val="none"/>
                <w:u w:val="single"/>
              </w:rPr>
            </w:pPr>
          </w:p>
        </w:tc>
        <w:tc>
          <w:tcPr>
            <w:tcW w:w="1717" w:type="dxa"/>
            <w:vAlign w:val="center"/>
          </w:tcPr>
          <w:p w14:paraId="42C328DD">
            <w:pPr>
              <w:jc w:val="left"/>
              <w:rPr>
                <w:b/>
                <w:bCs/>
                <w:color w:val="auto"/>
                <w:sz w:val="20"/>
                <w:szCs w:val="20"/>
                <w:highlight w:val="none"/>
                <w:u w:val="single"/>
              </w:rPr>
            </w:pPr>
          </w:p>
        </w:tc>
      </w:tr>
      <w:tr w14:paraId="214F63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7" w:type="dxa"/>
            <w:vMerge w:val="continue"/>
          </w:tcPr>
          <w:p w14:paraId="4A19F82D">
            <w:pPr>
              <w:rPr>
                <w:color w:val="auto"/>
                <w:sz w:val="20"/>
                <w:szCs w:val="20"/>
                <w:highlight w:val="none"/>
              </w:rPr>
            </w:pPr>
          </w:p>
        </w:tc>
        <w:tc>
          <w:tcPr>
            <w:tcW w:w="1114" w:type="dxa"/>
          </w:tcPr>
          <w:p w14:paraId="6152A972">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基础服务 (</w:t>
            </w:r>
            <w:r>
              <w:rPr>
                <w:rFonts w:ascii="Times New Roman" w:hAnsi="Times New Roman" w:cs="Times New Roman"/>
                <w:color w:val="auto"/>
                <w:highlight w:val="none"/>
                <w:lang w:eastAsia="zh-CN"/>
              </w:rPr>
              <w:t>5</w:t>
            </w:r>
            <w:r>
              <w:rPr>
                <w:rFonts w:hint="default" w:ascii="Times New Roman" w:hAnsi="Times New Roman" w:cs="Times New Roman"/>
                <w:color w:val="auto"/>
                <w:highlight w:val="none"/>
              </w:rPr>
              <w:t>.0分)</w:t>
            </w:r>
          </w:p>
        </w:tc>
        <w:tc>
          <w:tcPr>
            <w:tcW w:w="4986" w:type="dxa"/>
          </w:tcPr>
          <w:p w14:paraId="3B3B55C1">
            <w:pPr>
              <w:pStyle w:val="5"/>
              <w:rPr>
                <w:color w:val="auto"/>
                <w:sz w:val="20"/>
                <w:szCs w:val="20"/>
                <w:highlight w:val="none"/>
              </w:rPr>
            </w:pPr>
            <w:r>
              <w:rPr>
                <w:color w:val="auto"/>
                <w:sz w:val="20"/>
                <w:szCs w:val="20"/>
                <w:highlight w:val="none"/>
              </w:rPr>
              <w:t>1、对各投标人提供的标本接收方案进行评审打分：</w:t>
            </w:r>
          </w:p>
          <w:p w14:paraId="6E5590B2">
            <w:pPr>
              <w:pStyle w:val="5"/>
              <w:rPr>
                <w:color w:val="auto"/>
                <w:sz w:val="20"/>
                <w:szCs w:val="20"/>
                <w:highlight w:val="none"/>
              </w:rPr>
            </w:pPr>
            <w:r>
              <w:rPr>
                <w:color w:val="auto"/>
                <w:sz w:val="20"/>
                <w:szCs w:val="20"/>
                <w:highlight w:val="none"/>
              </w:rPr>
              <w:t>（1）方案内容详尽完整，流程设计严谨规范，配备符合生物安全要求的专用运输车辆及应急处理设备，登记流程完善，质控措施全面可靠，标本接收与周转时效保障有力，得</w:t>
            </w:r>
            <w:r>
              <w:rPr>
                <w:rFonts w:hint="eastAsia"/>
                <w:color w:val="auto"/>
                <w:sz w:val="20"/>
                <w:szCs w:val="20"/>
                <w:highlight w:val="none"/>
              </w:rPr>
              <w:t>5</w:t>
            </w:r>
            <w:r>
              <w:rPr>
                <w:color w:val="auto"/>
                <w:sz w:val="20"/>
                <w:szCs w:val="20"/>
                <w:highlight w:val="none"/>
              </w:rPr>
              <w:t>分；</w:t>
            </w:r>
          </w:p>
          <w:p w14:paraId="639CF6B8">
            <w:pPr>
              <w:pStyle w:val="5"/>
              <w:rPr>
                <w:color w:val="auto"/>
                <w:sz w:val="20"/>
                <w:szCs w:val="20"/>
                <w:highlight w:val="none"/>
              </w:rPr>
            </w:pPr>
            <w:r>
              <w:rPr>
                <w:color w:val="auto"/>
                <w:sz w:val="20"/>
                <w:szCs w:val="20"/>
                <w:highlight w:val="none"/>
              </w:rPr>
              <w:t>（2）方案内容基本完整，流程与安全控制措施总体符合要求，配备规定车辆与应急设备，具备基本的质量与时效保障机制，得</w:t>
            </w:r>
            <w:r>
              <w:rPr>
                <w:rFonts w:hint="eastAsia"/>
                <w:color w:val="auto"/>
                <w:sz w:val="20"/>
                <w:szCs w:val="20"/>
                <w:highlight w:val="none"/>
              </w:rPr>
              <w:t>3</w:t>
            </w:r>
            <w:r>
              <w:rPr>
                <w:color w:val="auto"/>
                <w:sz w:val="20"/>
                <w:szCs w:val="20"/>
                <w:highlight w:val="none"/>
              </w:rPr>
              <w:t>分；</w:t>
            </w:r>
          </w:p>
          <w:p w14:paraId="17B1ED01">
            <w:pPr>
              <w:pStyle w:val="5"/>
              <w:rPr>
                <w:color w:val="auto"/>
                <w:sz w:val="20"/>
                <w:szCs w:val="20"/>
                <w:highlight w:val="none"/>
              </w:rPr>
            </w:pPr>
            <w:r>
              <w:rPr>
                <w:color w:val="auto"/>
                <w:sz w:val="20"/>
                <w:szCs w:val="20"/>
                <w:highlight w:val="none"/>
              </w:rPr>
              <w:t>（3）方案内容较为简略，流程或质控措施存在不足，但尚可支持项目运作，得1分；</w:t>
            </w:r>
          </w:p>
          <w:p w14:paraId="1FDDF204">
            <w:pPr>
              <w:pStyle w:val="5"/>
              <w:rPr>
                <w:color w:val="auto"/>
                <w:sz w:val="20"/>
                <w:szCs w:val="20"/>
                <w:highlight w:val="none"/>
              </w:rPr>
            </w:pPr>
            <w:r>
              <w:rPr>
                <w:color w:val="auto"/>
                <w:sz w:val="20"/>
                <w:szCs w:val="20"/>
                <w:highlight w:val="none"/>
              </w:rPr>
              <w:t>（4）未提供有效方案，或方案明显不符合项目规范与生物安全要求，得0分。</w:t>
            </w:r>
          </w:p>
        </w:tc>
        <w:tc>
          <w:tcPr>
            <w:tcW w:w="1216" w:type="dxa"/>
          </w:tcPr>
          <w:p w14:paraId="4EEC16F5">
            <w:pPr>
              <w:pStyle w:val="5"/>
              <w:rPr>
                <w:color w:val="auto"/>
                <w:sz w:val="20"/>
                <w:szCs w:val="20"/>
                <w:highlight w:val="none"/>
              </w:rPr>
            </w:pPr>
          </w:p>
        </w:tc>
        <w:tc>
          <w:tcPr>
            <w:tcW w:w="1717" w:type="dxa"/>
          </w:tcPr>
          <w:p w14:paraId="63DEAB7A">
            <w:pPr>
              <w:pStyle w:val="5"/>
              <w:rPr>
                <w:color w:val="auto"/>
                <w:sz w:val="20"/>
                <w:szCs w:val="20"/>
                <w:highlight w:val="none"/>
              </w:rPr>
            </w:pPr>
          </w:p>
        </w:tc>
      </w:tr>
      <w:tr w14:paraId="4FE98F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7" w:type="dxa"/>
            <w:vMerge w:val="continue"/>
          </w:tcPr>
          <w:p w14:paraId="5BC365E2">
            <w:pPr>
              <w:rPr>
                <w:color w:val="auto"/>
                <w:sz w:val="20"/>
                <w:szCs w:val="20"/>
                <w:highlight w:val="none"/>
              </w:rPr>
            </w:pPr>
          </w:p>
        </w:tc>
        <w:tc>
          <w:tcPr>
            <w:tcW w:w="1114" w:type="dxa"/>
          </w:tcPr>
          <w:p w14:paraId="72287F91">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项目实施服务方案 (</w:t>
            </w:r>
            <w:r>
              <w:rPr>
                <w:rFonts w:hint="default" w:ascii="Times New Roman" w:hAnsi="Times New Roman" w:cs="Times New Roman"/>
                <w:color w:val="auto"/>
                <w:highlight w:val="none"/>
                <w:lang w:eastAsia="zh-CN"/>
              </w:rPr>
              <w:t>4</w:t>
            </w:r>
            <w:r>
              <w:rPr>
                <w:rFonts w:hint="default" w:ascii="Times New Roman" w:hAnsi="Times New Roman" w:cs="Times New Roman"/>
                <w:color w:val="auto"/>
                <w:highlight w:val="none"/>
              </w:rPr>
              <w:t>.0分)</w:t>
            </w:r>
          </w:p>
        </w:tc>
        <w:tc>
          <w:tcPr>
            <w:tcW w:w="4986" w:type="dxa"/>
          </w:tcPr>
          <w:p w14:paraId="16B2D02B">
            <w:pPr>
              <w:pStyle w:val="5"/>
              <w:rPr>
                <w:color w:val="auto"/>
                <w:sz w:val="20"/>
                <w:szCs w:val="20"/>
                <w:highlight w:val="none"/>
              </w:rPr>
            </w:pPr>
            <w:r>
              <w:rPr>
                <w:color w:val="auto"/>
                <w:sz w:val="20"/>
                <w:szCs w:val="20"/>
                <w:highlight w:val="none"/>
              </w:rPr>
              <w:t>对各投标人项目实施服务方案（包括但不限于项目实施进度计划、安全保障措施、后续服务方案、服务计划的安排等）是否满足采购人需求，完善可行、具体合理进行评审打分：</w:t>
            </w:r>
          </w:p>
          <w:p w14:paraId="64E8CA13">
            <w:pPr>
              <w:rPr>
                <w:color w:val="auto"/>
                <w:sz w:val="20"/>
                <w:szCs w:val="20"/>
                <w:highlight w:val="none"/>
              </w:rPr>
            </w:pPr>
            <w:r>
              <w:rPr>
                <w:color w:val="auto"/>
                <w:sz w:val="20"/>
                <w:szCs w:val="20"/>
                <w:highlight w:val="none"/>
              </w:rPr>
              <w:t>1. 项目实施服务方案能够结合采购人情况设置，方案完善可行、具体合理，得4分；</w:t>
            </w:r>
          </w:p>
          <w:p w14:paraId="519D2D8B">
            <w:pPr>
              <w:rPr>
                <w:color w:val="auto"/>
                <w:sz w:val="20"/>
                <w:szCs w:val="20"/>
                <w:highlight w:val="none"/>
              </w:rPr>
            </w:pPr>
            <w:r>
              <w:rPr>
                <w:color w:val="auto"/>
                <w:sz w:val="20"/>
                <w:szCs w:val="20"/>
                <w:highlight w:val="none"/>
              </w:rPr>
              <w:t>2. 项目实施服务方案能够结合采购人情况设置，方案较完善可行、较具体合理，得3分；</w:t>
            </w:r>
          </w:p>
          <w:p w14:paraId="15E903E4">
            <w:pPr>
              <w:rPr>
                <w:color w:val="auto"/>
                <w:sz w:val="20"/>
                <w:szCs w:val="20"/>
                <w:highlight w:val="none"/>
              </w:rPr>
            </w:pPr>
            <w:r>
              <w:rPr>
                <w:color w:val="auto"/>
                <w:sz w:val="20"/>
                <w:szCs w:val="20"/>
                <w:highlight w:val="none"/>
              </w:rPr>
              <w:t>3. 项目实施服务方案不能结合采购人情况设置，方案不够完善且可行性一般、不够具体且不够合理，得2分；</w:t>
            </w:r>
          </w:p>
          <w:p w14:paraId="274705DD">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4. 不提供项目实施服务方案不得分。</w:t>
            </w:r>
          </w:p>
        </w:tc>
        <w:tc>
          <w:tcPr>
            <w:tcW w:w="1216" w:type="dxa"/>
          </w:tcPr>
          <w:p w14:paraId="1533A92A">
            <w:pPr>
              <w:pStyle w:val="24"/>
              <w:rPr>
                <w:rFonts w:hint="default" w:ascii="Times New Roman" w:hAnsi="Times New Roman" w:cs="Times New Roman"/>
                <w:color w:val="auto"/>
                <w:highlight w:val="none"/>
              </w:rPr>
            </w:pPr>
          </w:p>
        </w:tc>
        <w:tc>
          <w:tcPr>
            <w:tcW w:w="1717" w:type="dxa"/>
          </w:tcPr>
          <w:p w14:paraId="34148654">
            <w:pPr>
              <w:pStyle w:val="24"/>
              <w:rPr>
                <w:rFonts w:hint="default" w:ascii="Times New Roman" w:hAnsi="Times New Roman" w:cs="Times New Roman"/>
                <w:color w:val="auto"/>
                <w:highlight w:val="none"/>
              </w:rPr>
            </w:pPr>
          </w:p>
        </w:tc>
      </w:tr>
      <w:tr w14:paraId="610120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7" w:type="dxa"/>
            <w:vMerge w:val="continue"/>
          </w:tcPr>
          <w:p w14:paraId="4DA126F4">
            <w:pPr>
              <w:rPr>
                <w:color w:val="auto"/>
                <w:sz w:val="20"/>
                <w:szCs w:val="20"/>
                <w:highlight w:val="none"/>
              </w:rPr>
            </w:pPr>
          </w:p>
        </w:tc>
        <w:tc>
          <w:tcPr>
            <w:tcW w:w="1114" w:type="dxa"/>
          </w:tcPr>
          <w:p w14:paraId="3A6032F0">
            <w:pPr>
              <w:pStyle w:val="24"/>
              <w:rPr>
                <w:rFonts w:hint="default" w:ascii="Times New Roman" w:hAnsi="Times New Roman" w:cs="Times New Roman"/>
                <w:color w:val="auto"/>
                <w:highlight w:val="none"/>
              </w:rPr>
            </w:pPr>
            <w:r>
              <w:rPr>
                <w:rFonts w:hint="default" w:ascii="Times New Roman" w:hAnsi="Times New Roman" w:cs="Times New Roman"/>
                <w:color w:val="auto"/>
                <w:spacing w:val="-8"/>
                <w:highlight w:val="none"/>
                <w:lang w:val="en-GB"/>
              </w:rPr>
              <w:t>专业技术服务团队</w:t>
            </w:r>
            <w:r>
              <w:rPr>
                <w:rFonts w:hint="default" w:ascii="Times New Roman" w:hAnsi="Times New Roman" w:cs="Times New Roman"/>
                <w:color w:val="auto"/>
                <w:highlight w:val="none"/>
              </w:rPr>
              <w:t xml:space="preserve"> (</w:t>
            </w:r>
            <w:r>
              <w:rPr>
                <w:rFonts w:ascii="Times New Roman" w:hAnsi="Times New Roman" w:cs="Times New Roman"/>
                <w:color w:val="auto"/>
                <w:highlight w:val="none"/>
                <w:lang w:eastAsia="zh-CN"/>
              </w:rPr>
              <w:t>6</w:t>
            </w:r>
            <w:r>
              <w:rPr>
                <w:rFonts w:hint="default" w:ascii="Times New Roman" w:hAnsi="Times New Roman" w:cs="Times New Roman"/>
                <w:color w:val="auto"/>
                <w:highlight w:val="none"/>
              </w:rPr>
              <w:t>.0分)</w:t>
            </w:r>
          </w:p>
        </w:tc>
        <w:tc>
          <w:tcPr>
            <w:tcW w:w="4986" w:type="dxa"/>
            <w:vAlign w:val="center"/>
          </w:tcPr>
          <w:p w14:paraId="178EE1EE">
            <w:pPr>
              <w:numPr>
                <w:ilvl w:val="0"/>
                <w:numId w:val="7"/>
              </w:numPr>
              <w:rPr>
                <w:color w:val="auto"/>
                <w:sz w:val="20"/>
                <w:szCs w:val="20"/>
                <w:highlight w:val="none"/>
                <w:lang w:eastAsia="zh-Hans"/>
              </w:rPr>
            </w:pPr>
            <w:r>
              <w:rPr>
                <w:rFonts w:hint="eastAsia"/>
                <w:color w:val="auto"/>
                <w:sz w:val="20"/>
                <w:szCs w:val="20"/>
                <w:highlight w:val="none"/>
                <w:lang w:eastAsia="zh-Hans"/>
              </w:rPr>
              <w:t>投标人根据本项目采购需求中“★（一）为本项目配备的服务人员中”为本项目所配备的5名（或以上）专业技术人员中：（1）每提供1名具备副高或以上的医学检验技师职称的得</w:t>
            </w:r>
            <w:r>
              <w:rPr>
                <w:rFonts w:hint="eastAsia"/>
                <w:color w:val="auto"/>
                <w:sz w:val="20"/>
                <w:szCs w:val="20"/>
                <w:highlight w:val="none"/>
              </w:rPr>
              <w:t>1</w:t>
            </w:r>
            <w:r>
              <w:rPr>
                <w:rFonts w:hint="eastAsia"/>
                <w:color w:val="auto"/>
                <w:sz w:val="20"/>
                <w:szCs w:val="20"/>
                <w:highlight w:val="none"/>
                <w:lang w:eastAsia="zh-Hans"/>
              </w:rPr>
              <w:t>分，最高得</w:t>
            </w:r>
            <w:r>
              <w:rPr>
                <w:rFonts w:hint="eastAsia"/>
                <w:color w:val="auto"/>
                <w:sz w:val="20"/>
                <w:szCs w:val="20"/>
                <w:highlight w:val="none"/>
              </w:rPr>
              <w:t>4</w:t>
            </w:r>
            <w:r>
              <w:rPr>
                <w:rFonts w:hint="eastAsia"/>
                <w:color w:val="auto"/>
                <w:sz w:val="20"/>
                <w:szCs w:val="20"/>
                <w:highlight w:val="none"/>
                <w:lang w:eastAsia="zh-Hans"/>
              </w:rPr>
              <w:t>分；（2）每提供1名具备中级检验技师职称的得</w:t>
            </w:r>
            <w:r>
              <w:rPr>
                <w:rFonts w:hint="eastAsia"/>
                <w:color w:val="auto"/>
                <w:sz w:val="20"/>
                <w:szCs w:val="20"/>
                <w:highlight w:val="none"/>
              </w:rPr>
              <w:t>0</w:t>
            </w:r>
            <w:r>
              <w:rPr>
                <w:rFonts w:hint="eastAsia"/>
                <w:color w:val="auto"/>
                <w:sz w:val="20"/>
                <w:szCs w:val="20"/>
                <w:highlight w:val="none"/>
                <w:lang w:eastAsia="zh-Hans"/>
              </w:rPr>
              <w:t>.5分，最高得</w:t>
            </w:r>
            <w:r>
              <w:rPr>
                <w:rFonts w:hint="eastAsia"/>
                <w:color w:val="auto"/>
                <w:sz w:val="20"/>
                <w:szCs w:val="20"/>
                <w:highlight w:val="none"/>
              </w:rPr>
              <w:t>2</w:t>
            </w:r>
            <w:r>
              <w:rPr>
                <w:rFonts w:hint="eastAsia"/>
                <w:color w:val="auto"/>
                <w:sz w:val="20"/>
                <w:szCs w:val="20"/>
                <w:highlight w:val="none"/>
                <w:lang w:eastAsia="zh-Hans"/>
              </w:rPr>
              <w:t>分；（3）本小项最高得</w:t>
            </w:r>
            <w:r>
              <w:rPr>
                <w:rFonts w:hint="eastAsia"/>
                <w:color w:val="auto"/>
                <w:sz w:val="20"/>
                <w:szCs w:val="20"/>
                <w:highlight w:val="none"/>
              </w:rPr>
              <w:t>6</w:t>
            </w:r>
            <w:r>
              <w:rPr>
                <w:rFonts w:hint="eastAsia"/>
                <w:color w:val="auto"/>
                <w:sz w:val="20"/>
                <w:szCs w:val="20"/>
                <w:highlight w:val="none"/>
                <w:lang w:eastAsia="zh-Hans"/>
              </w:rPr>
              <w:t xml:space="preserve">分；同一人员按其最高职称级别计算一次，不累计得分，不提供不得分。 </w:t>
            </w:r>
          </w:p>
          <w:p w14:paraId="5F7E188A">
            <w:pPr>
              <w:numPr>
                <w:ilvl w:val="255"/>
                <w:numId w:val="0"/>
              </w:numPr>
              <w:rPr>
                <w:color w:val="auto"/>
                <w:sz w:val="20"/>
                <w:szCs w:val="20"/>
                <w:highlight w:val="none"/>
              </w:rPr>
            </w:pPr>
            <w:r>
              <w:rPr>
                <w:rFonts w:hint="eastAsia"/>
                <w:color w:val="auto"/>
                <w:sz w:val="20"/>
                <w:szCs w:val="20"/>
                <w:highlight w:val="none"/>
                <w:lang w:eastAsia="zh-Hans"/>
              </w:rPr>
              <w:t>（注：提供人员配备清单（格式自定），以上1～2项的同一人员不重复且不混合计算；提供1～2的拟派服务人员的对应职称证明或相关的证明材料，提供微生物学相关专业人员的相关服务工作经验证明材料（如甲乙双方合同、用户评价、第三方委派工作证明等），复印件并加盖投标人公章。证明材料不清晰或不按要求提供或缺项漏项或不提供的，则不得分。）</w:t>
            </w:r>
          </w:p>
        </w:tc>
        <w:tc>
          <w:tcPr>
            <w:tcW w:w="1216" w:type="dxa"/>
            <w:vAlign w:val="center"/>
          </w:tcPr>
          <w:p w14:paraId="1EFC9BF9">
            <w:pPr>
              <w:numPr>
                <w:ilvl w:val="255"/>
                <w:numId w:val="0"/>
              </w:numPr>
              <w:rPr>
                <w:rFonts w:hint="eastAsia"/>
                <w:color w:val="auto"/>
                <w:sz w:val="20"/>
                <w:szCs w:val="20"/>
                <w:highlight w:val="none"/>
                <w:lang w:eastAsia="zh-Hans"/>
              </w:rPr>
            </w:pPr>
          </w:p>
        </w:tc>
        <w:tc>
          <w:tcPr>
            <w:tcW w:w="1717" w:type="dxa"/>
            <w:vAlign w:val="center"/>
          </w:tcPr>
          <w:p w14:paraId="38A25199">
            <w:pPr>
              <w:numPr>
                <w:ilvl w:val="255"/>
                <w:numId w:val="0"/>
              </w:numPr>
              <w:rPr>
                <w:rFonts w:hint="eastAsia"/>
                <w:color w:val="auto"/>
                <w:sz w:val="20"/>
                <w:szCs w:val="20"/>
                <w:highlight w:val="none"/>
                <w:lang w:eastAsia="zh-Hans"/>
              </w:rPr>
            </w:pPr>
          </w:p>
        </w:tc>
      </w:tr>
      <w:tr w14:paraId="5891CC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7" w:type="dxa"/>
            <w:vMerge w:val="continue"/>
          </w:tcPr>
          <w:p w14:paraId="69FDA6CF">
            <w:pPr>
              <w:rPr>
                <w:color w:val="auto"/>
                <w:sz w:val="20"/>
                <w:szCs w:val="20"/>
                <w:highlight w:val="none"/>
              </w:rPr>
            </w:pPr>
          </w:p>
        </w:tc>
        <w:tc>
          <w:tcPr>
            <w:tcW w:w="1114" w:type="dxa"/>
          </w:tcPr>
          <w:p w14:paraId="42F53BCD">
            <w:pPr>
              <w:pStyle w:val="24"/>
              <w:rPr>
                <w:rFonts w:hint="default" w:ascii="Times New Roman" w:hAnsi="Times New Roman" w:cs="Times New Roman"/>
                <w:color w:val="auto"/>
                <w:spacing w:val="-8"/>
                <w:highlight w:val="none"/>
                <w:lang w:eastAsia="zh-CN"/>
              </w:rPr>
            </w:pPr>
            <w:r>
              <w:rPr>
                <w:rFonts w:hint="default" w:ascii="Times New Roman" w:hAnsi="Times New Roman" w:eastAsia="宋体" w:cs="Times New Roman"/>
                <w:color w:val="auto"/>
                <w:sz w:val="21"/>
                <w:szCs w:val="21"/>
                <w:highlight w:val="none"/>
              </w:rPr>
              <w:t>检验信息化服务能力方案</w:t>
            </w:r>
            <w:r>
              <w:rPr>
                <w:rFonts w:hint="default" w:ascii="Times New Roman" w:hAnsi="Times New Roman" w:cs="Times New Roman"/>
                <w:color w:val="auto"/>
                <w:spacing w:val="-8"/>
                <w:highlight w:val="none"/>
                <w:lang w:eastAsia="zh-CN"/>
              </w:rPr>
              <w:t>（</w:t>
            </w:r>
            <w:r>
              <w:rPr>
                <w:rFonts w:ascii="Times New Roman" w:hAnsi="Times New Roman" w:cs="Times New Roman"/>
                <w:color w:val="auto"/>
                <w:spacing w:val="-8"/>
                <w:highlight w:val="none"/>
                <w:lang w:eastAsia="zh-CN"/>
              </w:rPr>
              <w:t>8</w:t>
            </w:r>
            <w:r>
              <w:rPr>
                <w:rFonts w:hint="default" w:ascii="Times New Roman" w:hAnsi="Times New Roman" w:cs="Times New Roman"/>
                <w:color w:val="auto"/>
                <w:spacing w:val="-8"/>
                <w:highlight w:val="none"/>
                <w:lang w:eastAsia="zh-CN"/>
              </w:rPr>
              <w:t>.0分）</w:t>
            </w:r>
          </w:p>
        </w:tc>
        <w:tc>
          <w:tcPr>
            <w:tcW w:w="4986" w:type="dxa"/>
            <w:vAlign w:val="center"/>
          </w:tcPr>
          <w:p w14:paraId="5503F0D4">
            <w:pPr>
              <w:spacing w:line="312" w:lineRule="auto"/>
              <w:rPr>
                <w:color w:val="auto"/>
                <w:highlight w:val="none"/>
              </w:rPr>
            </w:pPr>
            <w:r>
              <w:rPr>
                <w:color w:val="auto"/>
                <w:highlight w:val="none"/>
              </w:rPr>
              <w:t>1.</w:t>
            </w:r>
            <w:r>
              <w:rPr>
                <w:color w:val="auto"/>
                <w:kern w:val="0"/>
                <w:highlight w:val="none"/>
                <w:lang w:bidi="ar"/>
              </w:rPr>
              <w:t>投标人具备信息化服务能力，能够保证医疗信息安全。对投标人获得的信息安全管理体系认证证书、信息技术服务管理体系认证证书进行评审，以上证书覆盖范围须包括临床医学检验，提供一个证书得</w:t>
            </w:r>
            <w:r>
              <w:rPr>
                <w:rFonts w:hint="eastAsia"/>
                <w:color w:val="auto"/>
                <w:kern w:val="0"/>
                <w:highlight w:val="none"/>
                <w:lang w:bidi="ar"/>
              </w:rPr>
              <w:t>0.5</w:t>
            </w:r>
            <w:r>
              <w:rPr>
                <w:color w:val="auto"/>
                <w:kern w:val="0"/>
                <w:highlight w:val="none"/>
                <w:lang w:bidi="ar"/>
              </w:rPr>
              <w:t>分，最高得</w:t>
            </w:r>
            <w:r>
              <w:rPr>
                <w:rFonts w:hint="eastAsia"/>
                <w:color w:val="auto"/>
                <w:kern w:val="0"/>
                <w:highlight w:val="none"/>
                <w:lang w:bidi="ar"/>
              </w:rPr>
              <w:t>2</w:t>
            </w:r>
            <w:r>
              <w:rPr>
                <w:color w:val="auto"/>
                <w:kern w:val="0"/>
                <w:highlight w:val="none"/>
                <w:lang w:bidi="ar"/>
              </w:rPr>
              <w:t>分。</w:t>
            </w:r>
          </w:p>
          <w:p w14:paraId="133AC830">
            <w:pPr>
              <w:spacing w:line="312" w:lineRule="auto"/>
              <w:rPr>
                <w:color w:val="auto"/>
                <w:highlight w:val="none"/>
              </w:rPr>
            </w:pPr>
            <w:r>
              <w:rPr>
                <w:color w:val="auto"/>
                <w:highlight w:val="none"/>
              </w:rPr>
              <w:t>2.投标人需具备医学信息化服务能力，配备完善的信息系统，具备安全可靠的医疗信息安全管理服务能力。根据投标人针对本项目采购需求所提供的检验信息化服务能力方案（内容至少包括：①标本检测所需信息系统等信息化工具及技术支持并具备自建检验信息系统开发、实施能力的相关方案；②双向系统对接方案；③信息安全承诺等）进行评审：</w:t>
            </w:r>
          </w:p>
          <w:p w14:paraId="511EA4BD">
            <w:pPr>
              <w:spacing w:line="312" w:lineRule="auto"/>
              <w:rPr>
                <w:color w:val="auto"/>
                <w:highlight w:val="none"/>
              </w:rPr>
            </w:pPr>
            <w:r>
              <w:rPr>
                <w:color w:val="auto"/>
                <w:highlight w:val="none"/>
              </w:rPr>
              <w:t>（1）检验信息化系统服务方案涵盖上述内容项，医学信息化服务能力强，配备完善的信息系统，系统对接方案完整可行的，得</w:t>
            </w:r>
            <w:r>
              <w:rPr>
                <w:rFonts w:hint="eastAsia"/>
                <w:color w:val="auto"/>
                <w:highlight w:val="none"/>
              </w:rPr>
              <w:t>6</w:t>
            </w:r>
            <w:r>
              <w:rPr>
                <w:color w:val="auto"/>
                <w:highlight w:val="none"/>
              </w:rPr>
              <w:t>分；</w:t>
            </w:r>
          </w:p>
          <w:p w14:paraId="1FA2D58E">
            <w:pPr>
              <w:spacing w:line="312" w:lineRule="auto"/>
              <w:rPr>
                <w:color w:val="auto"/>
                <w:highlight w:val="none"/>
              </w:rPr>
            </w:pPr>
            <w:r>
              <w:rPr>
                <w:color w:val="auto"/>
                <w:highlight w:val="none"/>
              </w:rPr>
              <w:t>（2）检验信息化系统服务方案涵盖上述内容项，医学信息化服务能力较强，配备较完善的信息系统，系统对接方案较完整可行的，得</w:t>
            </w:r>
            <w:r>
              <w:rPr>
                <w:rFonts w:hint="eastAsia"/>
                <w:color w:val="auto"/>
                <w:highlight w:val="none"/>
              </w:rPr>
              <w:t>4</w:t>
            </w:r>
            <w:r>
              <w:rPr>
                <w:color w:val="auto"/>
                <w:highlight w:val="none"/>
              </w:rPr>
              <w:t>分；</w:t>
            </w:r>
          </w:p>
          <w:p w14:paraId="44E77BD5">
            <w:pPr>
              <w:spacing w:line="312" w:lineRule="auto"/>
              <w:rPr>
                <w:color w:val="auto"/>
                <w:highlight w:val="none"/>
              </w:rPr>
            </w:pPr>
            <w:r>
              <w:rPr>
                <w:color w:val="auto"/>
                <w:highlight w:val="none"/>
              </w:rPr>
              <w:t>（3）检验信息化系统服务方案涵盖上述内容项，但医学信息化服务能力一般，信息系统一般，系统对接方案一般的，得</w:t>
            </w:r>
            <w:r>
              <w:rPr>
                <w:rFonts w:hint="eastAsia"/>
                <w:color w:val="auto"/>
                <w:highlight w:val="none"/>
              </w:rPr>
              <w:t>2</w:t>
            </w:r>
            <w:r>
              <w:rPr>
                <w:color w:val="auto"/>
                <w:highlight w:val="none"/>
              </w:rPr>
              <w:t>分；</w:t>
            </w:r>
          </w:p>
          <w:p w14:paraId="7F866CA6">
            <w:pPr>
              <w:pStyle w:val="6"/>
              <w:rPr>
                <w:color w:val="auto"/>
                <w:spacing w:val="-8"/>
                <w:sz w:val="20"/>
                <w:szCs w:val="20"/>
                <w:highlight w:val="none"/>
              </w:rPr>
            </w:pPr>
            <w:r>
              <w:rPr>
                <w:color w:val="auto"/>
                <w:highlight w:val="none"/>
              </w:rPr>
              <w:t>（4）检验信息化系统服务方案未全部涵盖上述内容项或未提供检验信息化系统服务方案的，不得分。</w:t>
            </w:r>
          </w:p>
        </w:tc>
        <w:tc>
          <w:tcPr>
            <w:tcW w:w="1216" w:type="dxa"/>
            <w:vAlign w:val="center"/>
          </w:tcPr>
          <w:p w14:paraId="35C80707">
            <w:pPr>
              <w:pStyle w:val="6"/>
              <w:rPr>
                <w:color w:val="auto"/>
                <w:highlight w:val="none"/>
              </w:rPr>
            </w:pPr>
          </w:p>
        </w:tc>
        <w:tc>
          <w:tcPr>
            <w:tcW w:w="1717" w:type="dxa"/>
            <w:vAlign w:val="center"/>
          </w:tcPr>
          <w:p w14:paraId="64BE89B4">
            <w:pPr>
              <w:pStyle w:val="6"/>
              <w:rPr>
                <w:color w:val="auto"/>
                <w:highlight w:val="none"/>
              </w:rPr>
            </w:pPr>
          </w:p>
        </w:tc>
      </w:tr>
      <w:tr w14:paraId="39DE2A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7" w:type="dxa"/>
            <w:vMerge w:val="continue"/>
          </w:tcPr>
          <w:p w14:paraId="06335DF7">
            <w:pPr>
              <w:rPr>
                <w:color w:val="auto"/>
                <w:sz w:val="20"/>
                <w:szCs w:val="20"/>
                <w:highlight w:val="none"/>
              </w:rPr>
            </w:pPr>
          </w:p>
        </w:tc>
        <w:tc>
          <w:tcPr>
            <w:tcW w:w="1114" w:type="dxa"/>
          </w:tcPr>
          <w:p w14:paraId="7BA87C15">
            <w:pPr>
              <w:pStyle w:val="24"/>
              <w:rPr>
                <w:rFonts w:hint="default" w:ascii="Times New Roman" w:hAnsi="Times New Roman" w:cs="Times New Roman"/>
                <w:color w:val="auto"/>
                <w:highlight w:val="none"/>
              </w:rPr>
            </w:pPr>
            <w:r>
              <w:rPr>
                <w:rFonts w:ascii="Times New Roman" w:hAnsi="Times New Roman" w:cs="Times New Roman"/>
                <w:color w:val="auto"/>
                <w:spacing w:val="-8"/>
                <w:highlight w:val="none"/>
                <w:lang w:eastAsia="zh-CN"/>
              </w:rPr>
              <w:t>综合能力</w:t>
            </w:r>
            <w:r>
              <w:rPr>
                <w:rFonts w:hint="default" w:ascii="Times New Roman" w:hAnsi="Times New Roman" w:cs="Times New Roman"/>
                <w:color w:val="auto"/>
                <w:highlight w:val="none"/>
              </w:rPr>
              <w:t xml:space="preserve"> (</w:t>
            </w:r>
            <w:r>
              <w:rPr>
                <w:rFonts w:ascii="Times New Roman" w:hAnsi="Times New Roman" w:cs="Times New Roman"/>
                <w:color w:val="auto"/>
                <w:highlight w:val="none"/>
                <w:lang w:eastAsia="zh-CN"/>
              </w:rPr>
              <w:t>5.2</w:t>
            </w:r>
            <w:r>
              <w:rPr>
                <w:rFonts w:hint="default" w:ascii="Times New Roman" w:hAnsi="Times New Roman" w:cs="Times New Roman"/>
                <w:color w:val="auto"/>
                <w:highlight w:val="none"/>
              </w:rPr>
              <w:t>分)</w:t>
            </w:r>
          </w:p>
        </w:tc>
        <w:tc>
          <w:tcPr>
            <w:tcW w:w="4986" w:type="dxa"/>
            <w:vAlign w:val="center"/>
          </w:tcPr>
          <w:p w14:paraId="56EDC95A">
            <w:pPr>
              <w:pStyle w:val="6"/>
              <w:rPr>
                <w:color w:val="auto"/>
                <w:sz w:val="20"/>
                <w:szCs w:val="20"/>
                <w:highlight w:val="none"/>
              </w:rPr>
            </w:pPr>
            <w:r>
              <w:rPr>
                <w:color w:val="auto"/>
                <w:highlight w:val="none"/>
              </w:rPr>
              <w:t>投标人需在医学检验领域具备人工智能体，通过人工智能应用提升医院医疗服务能力，并将投标人需在医学检验领域具备人工智能体，通过人工智能应用提升医院医疗服务能力，并将人工智能与医院临床诊疗路径及业务流程相结合，实现智慧报告解读、疾病问答、项目推荐、用药助手等智能场景应用，且人工智能体通过第三方机构或行业权威组织的合规化评估/验证，或提供相关技术文档、测试报告等证明材料，证明其符合医疗行业相关标准和规范，得</w:t>
            </w:r>
            <w:r>
              <w:rPr>
                <w:rFonts w:hint="eastAsia"/>
                <w:color w:val="auto"/>
                <w:highlight w:val="none"/>
              </w:rPr>
              <w:t>5.2</w:t>
            </w:r>
            <w:r>
              <w:rPr>
                <w:color w:val="auto"/>
                <w:highlight w:val="none"/>
              </w:rPr>
              <w:t>分。</w:t>
            </w:r>
          </w:p>
        </w:tc>
        <w:tc>
          <w:tcPr>
            <w:tcW w:w="1216" w:type="dxa"/>
            <w:vAlign w:val="center"/>
          </w:tcPr>
          <w:p w14:paraId="5FC27C97">
            <w:pPr>
              <w:pStyle w:val="6"/>
              <w:rPr>
                <w:color w:val="auto"/>
                <w:highlight w:val="none"/>
              </w:rPr>
            </w:pPr>
          </w:p>
        </w:tc>
        <w:tc>
          <w:tcPr>
            <w:tcW w:w="1717" w:type="dxa"/>
            <w:vAlign w:val="center"/>
          </w:tcPr>
          <w:p w14:paraId="324F0D88">
            <w:pPr>
              <w:pStyle w:val="6"/>
              <w:rPr>
                <w:color w:val="auto"/>
                <w:highlight w:val="none"/>
              </w:rPr>
            </w:pPr>
          </w:p>
        </w:tc>
      </w:tr>
      <w:tr w14:paraId="4DBA4D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7" w:type="dxa"/>
            <w:vMerge w:val="continue"/>
          </w:tcPr>
          <w:p w14:paraId="58733659">
            <w:pPr>
              <w:rPr>
                <w:color w:val="auto"/>
                <w:sz w:val="20"/>
                <w:szCs w:val="20"/>
                <w:highlight w:val="none"/>
              </w:rPr>
            </w:pPr>
          </w:p>
        </w:tc>
        <w:tc>
          <w:tcPr>
            <w:tcW w:w="1114" w:type="dxa"/>
            <w:shd w:val="clear" w:color="auto" w:fill="auto"/>
            <w:vAlign w:val="top"/>
          </w:tcPr>
          <w:p w14:paraId="6D61826E">
            <w:pPr>
              <w:pStyle w:val="24"/>
              <w:rPr>
                <w:rFonts w:hint="default" w:ascii="Times New Roman" w:hAnsi="Times New Roman" w:cs="Times New Roman" w:eastAsiaTheme="minorEastAsia"/>
                <w:color w:val="auto"/>
                <w:highlight w:val="none"/>
                <w:lang w:val="en-US" w:eastAsia="zh-CN" w:bidi="ar-SA"/>
              </w:rPr>
            </w:pPr>
            <w:r>
              <w:rPr>
                <w:rFonts w:hint="default" w:ascii="Times New Roman" w:hAnsi="Times New Roman" w:cs="Times New Roman"/>
                <w:color w:val="auto"/>
                <w:spacing w:val="-8"/>
                <w:highlight w:val="none"/>
              </w:rPr>
              <w:t>质量控制方案</w:t>
            </w:r>
            <w:r>
              <w:rPr>
                <w:rFonts w:hint="default" w:ascii="Times New Roman" w:hAnsi="Times New Roman" w:cs="Times New Roman"/>
                <w:color w:val="auto"/>
                <w:highlight w:val="none"/>
              </w:rPr>
              <w:t xml:space="preserve"> (</w:t>
            </w:r>
            <w:r>
              <w:rPr>
                <w:rFonts w:hint="default" w:ascii="Times New Roman" w:hAnsi="Times New Roman" w:cs="Times New Roman"/>
                <w:color w:val="auto"/>
                <w:highlight w:val="none"/>
                <w:lang w:eastAsia="zh-CN"/>
              </w:rPr>
              <w:t>5.</w:t>
            </w:r>
            <w:r>
              <w:rPr>
                <w:rFonts w:hint="default" w:ascii="Times New Roman" w:hAnsi="Times New Roman" w:cs="Times New Roman"/>
                <w:color w:val="auto"/>
                <w:highlight w:val="none"/>
              </w:rPr>
              <w:t>0分)</w:t>
            </w:r>
          </w:p>
        </w:tc>
        <w:tc>
          <w:tcPr>
            <w:tcW w:w="4986" w:type="dxa"/>
            <w:shd w:val="clear" w:color="auto" w:fill="auto"/>
            <w:vAlign w:val="center"/>
          </w:tcPr>
          <w:p w14:paraId="7BAE885B">
            <w:pPr>
              <w:numPr>
                <w:ilvl w:val="255"/>
                <w:numId w:val="0"/>
              </w:numPr>
              <w:rPr>
                <w:color w:val="auto"/>
                <w:spacing w:val="-8"/>
                <w:sz w:val="20"/>
                <w:szCs w:val="20"/>
                <w:highlight w:val="none"/>
              </w:rPr>
            </w:pPr>
            <w:r>
              <w:rPr>
                <w:color w:val="auto"/>
                <w:spacing w:val="-8"/>
                <w:sz w:val="20"/>
                <w:szCs w:val="20"/>
                <w:highlight w:val="none"/>
              </w:rPr>
              <w:t>根据投标人提供的质量控制措施方案进行综合评审：</w:t>
            </w:r>
          </w:p>
          <w:p w14:paraId="09F0ACBD">
            <w:pPr>
              <w:rPr>
                <w:color w:val="auto"/>
                <w:spacing w:val="-8"/>
                <w:sz w:val="20"/>
                <w:szCs w:val="20"/>
                <w:highlight w:val="none"/>
              </w:rPr>
            </w:pPr>
            <w:r>
              <w:rPr>
                <w:color w:val="auto"/>
                <w:spacing w:val="-8"/>
                <w:sz w:val="20"/>
                <w:szCs w:val="20"/>
                <w:highlight w:val="none"/>
              </w:rPr>
              <w:t>（1）质量控制措施方案内容详细，有针对性、科学合理、措施可行性高，完全满足采购需求的，得5分；</w:t>
            </w:r>
          </w:p>
          <w:p w14:paraId="4EE33205">
            <w:pPr>
              <w:rPr>
                <w:color w:val="auto"/>
                <w:spacing w:val="-8"/>
                <w:sz w:val="20"/>
                <w:szCs w:val="20"/>
                <w:highlight w:val="none"/>
              </w:rPr>
            </w:pPr>
            <w:r>
              <w:rPr>
                <w:color w:val="auto"/>
                <w:spacing w:val="-8"/>
                <w:sz w:val="20"/>
                <w:szCs w:val="20"/>
                <w:highlight w:val="none"/>
              </w:rPr>
              <w:t>（2）质量控制措施方案内容一般，针对性一般、合理性般、措施可行性一般，基本满足采购需求的，得3分；</w:t>
            </w:r>
          </w:p>
          <w:p w14:paraId="53B3CC69">
            <w:pPr>
              <w:rPr>
                <w:color w:val="auto"/>
                <w:spacing w:val="-8"/>
                <w:sz w:val="20"/>
                <w:szCs w:val="20"/>
                <w:highlight w:val="none"/>
              </w:rPr>
            </w:pPr>
            <w:r>
              <w:rPr>
                <w:color w:val="auto"/>
                <w:spacing w:val="-8"/>
                <w:sz w:val="20"/>
                <w:szCs w:val="20"/>
                <w:highlight w:val="none"/>
              </w:rPr>
              <w:t>（4）质量控制措施方案内容较简单，没有针对性、合理性较差、措施可行性较差，不能满足采购需求的，得1分；</w:t>
            </w:r>
          </w:p>
          <w:p w14:paraId="6B5D96CD">
            <w:pPr>
              <w:rPr>
                <w:rFonts w:ascii="Times New Roman" w:hAnsi="Times New Roman" w:eastAsia="宋体" w:cs="Times New Roman"/>
                <w:color w:val="auto"/>
                <w:kern w:val="2"/>
                <w:sz w:val="20"/>
                <w:szCs w:val="20"/>
                <w:highlight w:val="none"/>
                <w:lang w:val="en-US" w:eastAsia="zh-CN" w:bidi="ar-SA"/>
              </w:rPr>
            </w:pPr>
            <w:r>
              <w:rPr>
                <w:color w:val="auto"/>
                <w:spacing w:val="-8"/>
                <w:sz w:val="20"/>
                <w:szCs w:val="20"/>
                <w:highlight w:val="none"/>
              </w:rPr>
              <w:t>(5)没有提供方案不得分。</w:t>
            </w:r>
          </w:p>
        </w:tc>
        <w:tc>
          <w:tcPr>
            <w:tcW w:w="1216" w:type="dxa"/>
            <w:shd w:val="clear" w:color="auto" w:fill="auto"/>
            <w:vAlign w:val="center"/>
          </w:tcPr>
          <w:p w14:paraId="647022D2">
            <w:pPr>
              <w:rPr>
                <w:color w:val="auto"/>
                <w:spacing w:val="-8"/>
                <w:sz w:val="20"/>
                <w:szCs w:val="20"/>
                <w:highlight w:val="none"/>
              </w:rPr>
            </w:pPr>
          </w:p>
        </w:tc>
        <w:tc>
          <w:tcPr>
            <w:tcW w:w="1717" w:type="dxa"/>
            <w:shd w:val="clear" w:color="auto" w:fill="auto"/>
            <w:vAlign w:val="center"/>
          </w:tcPr>
          <w:p w14:paraId="54E1D750">
            <w:pPr>
              <w:rPr>
                <w:color w:val="auto"/>
                <w:spacing w:val="-8"/>
                <w:sz w:val="20"/>
                <w:szCs w:val="20"/>
                <w:highlight w:val="none"/>
              </w:rPr>
            </w:pPr>
          </w:p>
        </w:tc>
      </w:tr>
      <w:tr w14:paraId="5411C2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7" w:type="dxa"/>
            <w:vMerge w:val="restart"/>
          </w:tcPr>
          <w:p w14:paraId="24DB826C">
            <w:pPr>
              <w:pStyle w:val="24"/>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商务部分</w:t>
            </w:r>
          </w:p>
        </w:tc>
        <w:tc>
          <w:tcPr>
            <w:tcW w:w="1114" w:type="dxa"/>
          </w:tcPr>
          <w:p w14:paraId="14272C4C">
            <w:pPr>
              <w:pStyle w:val="24"/>
              <w:rPr>
                <w:rFonts w:hint="default" w:ascii="Times New Roman" w:hAnsi="Times New Roman" w:cs="Times New Roman"/>
                <w:color w:val="auto"/>
                <w:highlight w:val="none"/>
              </w:rPr>
            </w:pPr>
            <w:r>
              <w:rPr>
                <w:rFonts w:hint="default" w:ascii="Times New Roman" w:hAnsi="Times New Roman" w:cs="Times New Roman"/>
                <w:bCs/>
                <w:color w:val="auto"/>
                <w:highlight w:val="none"/>
              </w:rPr>
              <w:t>商务要求条款响应情况</w:t>
            </w:r>
            <w:r>
              <w:rPr>
                <w:rFonts w:hint="default" w:ascii="Times New Roman" w:hAnsi="Times New Roman" w:cs="Times New Roman"/>
                <w:color w:val="auto"/>
                <w:highlight w:val="none"/>
              </w:rPr>
              <w:t xml:space="preserve"> (</w:t>
            </w:r>
            <w:r>
              <w:rPr>
                <w:rFonts w:hint="default" w:ascii="Times New Roman" w:hAnsi="Times New Roman" w:cs="Times New Roman"/>
                <w:color w:val="auto"/>
                <w:highlight w:val="none"/>
                <w:lang w:eastAsia="zh-CN"/>
              </w:rPr>
              <w:t>4.</w:t>
            </w:r>
            <w:r>
              <w:rPr>
                <w:rFonts w:ascii="Times New Roman" w:hAnsi="Times New Roman" w:cs="Times New Roman"/>
                <w:color w:val="auto"/>
                <w:highlight w:val="none"/>
                <w:lang w:eastAsia="zh-CN"/>
              </w:rPr>
              <w:t>8</w:t>
            </w:r>
            <w:r>
              <w:rPr>
                <w:rFonts w:hint="default" w:ascii="Times New Roman" w:hAnsi="Times New Roman" w:cs="Times New Roman"/>
                <w:color w:val="auto"/>
                <w:highlight w:val="none"/>
              </w:rPr>
              <w:t>分)</w:t>
            </w:r>
          </w:p>
        </w:tc>
        <w:tc>
          <w:tcPr>
            <w:tcW w:w="4986" w:type="dxa"/>
          </w:tcPr>
          <w:p w14:paraId="3DDB28E4">
            <w:pPr>
              <w:pStyle w:val="5"/>
              <w:rPr>
                <w:color w:val="auto"/>
                <w:sz w:val="20"/>
                <w:szCs w:val="20"/>
                <w:highlight w:val="none"/>
              </w:rPr>
            </w:pPr>
            <w:r>
              <w:rPr>
                <w:color w:val="auto"/>
                <w:sz w:val="20"/>
                <w:szCs w:val="20"/>
                <w:highlight w:val="none"/>
              </w:rPr>
              <w:t>根据投标人对采购需求中的其他商务需求：一般条款（非“▲”条款）每响应一个得0.2分；完全响应得</w:t>
            </w:r>
            <w:r>
              <w:rPr>
                <w:rFonts w:hint="eastAsia"/>
                <w:color w:val="auto"/>
                <w:sz w:val="20"/>
                <w:szCs w:val="20"/>
                <w:highlight w:val="none"/>
              </w:rPr>
              <w:t>4.8</w:t>
            </w:r>
            <w:r>
              <w:rPr>
                <w:color w:val="auto"/>
                <w:sz w:val="20"/>
                <w:szCs w:val="20"/>
                <w:highlight w:val="none"/>
              </w:rPr>
              <w:t xml:space="preserve">分 </w:t>
            </w:r>
          </w:p>
          <w:p w14:paraId="1BBC7F08">
            <w:pPr>
              <w:pStyle w:val="24"/>
              <w:rPr>
                <w:rFonts w:hint="default" w:ascii="Times New Roman" w:hAnsi="Times New Roman" w:cs="Times New Roman"/>
                <w:color w:val="auto"/>
                <w:highlight w:val="none"/>
              </w:rPr>
            </w:pPr>
            <w:r>
              <w:rPr>
                <w:rFonts w:hint="default" w:ascii="Times New Roman" w:hAnsi="Times New Roman" w:cs="Times New Roman"/>
                <w:b/>
                <w:bCs/>
                <w:color w:val="auto"/>
                <w:highlight w:val="none"/>
                <w:u w:val="single"/>
              </w:rPr>
              <w:t>注：若采购需求中有要求提供相关证明材料的，以提供的材料为准，若用户需求中未要求提供证明材料的，则以投标人提供的《商务条件响应表》为准，未按要求提供的不得分。</w:t>
            </w:r>
          </w:p>
        </w:tc>
        <w:tc>
          <w:tcPr>
            <w:tcW w:w="1216" w:type="dxa"/>
          </w:tcPr>
          <w:p w14:paraId="797F5C2B">
            <w:pPr>
              <w:pStyle w:val="24"/>
              <w:rPr>
                <w:rFonts w:hint="default" w:ascii="Times New Roman" w:hAnsi="Times New Roman" w:cs="Times New Roman"/>
                <w:b/>
                <w:bCs/>
                <w:color w:val="auto"/>
                <w:highlight w:val="none"/>
                <w:u w:val="single"/>
              </w:rPr>
            </w:pPr>
          </w:p>
        </w:tc>
        <w:tc>
          <w:tcPr>
            <w:tcW w:w="1717" w:type="dxa"/>
          </w:tcPr>
          <w:p w14:paraId="640C9B00">
            <w:pPr>
              <w:pStyle w:val="24"/>
              <w:rPr>
                <w:rFonts w:hint="default" w:ascii="Times New Roman" w:hAnsi="Times New Roman" w:cs="Times New Roman"/>
                <w:b/>
                <w:bCs/>
                <w:color w:val="auto"/>
                <w:highlight w:val="none"/>
                <w:u w:val="single"/>
              </w:rPr>
            </w:pPr>
          </w:p>
        </w:tc>
      </w:tr>
      <w:tr w14:paraId="4F40D2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7" w:type="dxa"/>
            <w:vMerge w:val="continue"/>
          </w:tcPr>
          <w:p w14:paraId="353EF609">
            <w:pPr>
              <w:rPr>
                <w:color w:val="auto"/>
                <w:sz w:val="20"/>
                <w:szCs w:val="20"/>
                <w:highlight w:val="none"/>
              </w:rPr>
            </w:pPr>
          </w:p>
        </w:tc>
        <w:tc>
          <w:tcPr>
            <w:tcW w:w="1114" w:type="dxa"/>
          </w:tcPr>
          <w:p w14:paraId="4B718E09">
            <w:pPr>
              <w:pStyle w:val="24"/>
              <w:rPr>
                <w:rFonts w:hint="default" w:ascii="Times New Roman" w:hAnsi="Times New Roman" w:cs="Times New Roman"/>
                <w:color w:val="auto"/>
                <w:highlight w:val="none"/>
              </w:rPr>
            </w:pPr>
            <w:r>
              <w:rPr>
                <w:rFonts w:hint="default" w:ascii="Times New Roman" w:hAnsi="Times New Roman" w:cs="Times New Roman"/>
                <w:color w:val="auto"/>
                <w:spacing w:val="-8"/>
                <w:highlight w:val="none"/>
                <w:lang w:eastAsia="zh-CN"/>
              </w:rPr>
              <w:t>同项</w:t>
            </w:r>
            <w:r>
              <w:rPr>
                <w:rFonts w:hint="default" w:ascii="Times New Roman" w:hAnsi="Times New Roman" w:cs="Times New Roman"/>
                <w:color w:val="auto"/>
                <w:spacing w:val="-8"/>
                <w:highlight w:val="none"/>
              </w:rPr>
              <w:t>业绩</w:t>
            </w:r>
            <w:r>
              <w:rPr>
                <w:rFonts w:hint="default" w:ascii="Times New Roman" w:hAnsi="Times New Roman" w:cs="Times New Roman"/>
                <w:color w:val="auto"/>
                <w:highlight w:val="none"/>
              </w:rPr>
              <w:t xml:space="preserve"> (6.0分)</w:t>
            </w:r>
          </w:p>
        </w:tc>
        <w:tc>
          <w:tcPr>
            <w:tcW w:w="4986" w:type="dxa"/>
          </w:tcPr>
          <w:p w14:paraId="5E62D625">
            <w:pPr>
              <w:pStyle w:val="5"/>
              <w:rPr>
                <w:color w:val="auto"/>
                <w:sz w:val="20"/>
                <w:szCs w:val="20"/>
                <w:highlight w:val="none"/>
                <w:lang w:val="en-GB"/>
              </w:rPr>
            </w:pPr>
            <w:r>
              <w:rPr>
                <w:color w:val="auto"/>
                <w:sz w:val="20"/>
                <w:szCs w:val="20"/>
                <w:highlight w:val="none"/>
                <w:lang w:val="en-GB"/>
              </w:rPr>
              <w:t>评审投标人在</w:t>
            </w:r>
            <w:r>
              <w:rPr>
                <w:rFonts w:hint="eastAsia"/>
                <w:color w:val="auto"/>
                <w:sz w:val="20"/>
                <w:szCs w:val="20"/>
                <w:highlight w:val="none"/>
              </w:rPr>
              <w:t>承接同类合同业绩的实施经验</w:t>
            </w:r>
            <w:r>
              <w:rPr>
                <w:color w:val="auto"/>
                <w:sz w:val="20"/>
                <w:szCs w:val="20"/>
                <w:highlight w:val="none"/>
                <w:lang w:val="en-GB"/>
              </w:rPr>
              <w:t>。</w:t>
            </w:r>
          </w:p>
          <w:p w14:paraId="10BE3258">
            <w:pPr>
              <w:widowControl/>
              <w:spacing w:line="312" w:lineRule="auto"/>
              <w:jc w:val="left"/>
              <w:rPr>
                <w:color w:val="auto"/>
                <w:sz w:val="20"/>
                <w:szCs w:val="20"/>
                <w:highlight w:val="none"/>
              </w:rPr>
            </w:pPr>
            <w:r>
              <w:rPr>
                <w:rFonts w:hint="eastAsia"/>
                <w:color w:val="auto"/>
                <w:sz w:val="20"/>
                <w:szCs w:val="20"/>
                <w:highlight w:val="none"/>
              </w:rPr>
              <w:t>对</w:t>
            </w:r>
            <w:r>
              <w:rPr>
                <w:color w:val="auto"/>
                <w:sz w:val="20"/>
                <w:szCs w:val="20"/>
                <w:highlight w:val="none"/>
              </w:rPr>
              <w:t>病原微生物宏基因组高通量测序</w:t>
            </w:r>
            <w:r>
              <w:rPr>
                <w:rFonts w:hint="eastAsia"/>
                <w:color w:val="auto"/>
                <w:sz w:val="20"/>
                <w:szCs w:val="20"/>
                <w:highlight w:val="none"/>
              </w:rPr>
              <w:t>项目合作的医院数量，</w:t>
            </w:r>
            <w:r>
              <w:rPr>
                <w:color w:val="auto"/>
                <w:sz w:val="20"/>
                <w:szCs w:val="20"/>
                <w:highlight w:val="none"/>
              </w:rPr>
              <w:t>每具有一项检验外送服务类项目合同的得0.5分，本项最高得</w:t>
            </w:r>
            <w:r>
              <w:rPr>
                <w:rFonts w:hint="eastAsia"/>
                <w:color w:val="auto"/>
                <w:sz w:val="20"/>
                <w:szCs w:val="20"/>
                <w:highlight w:val="none"/>
              </w:rPr>
              <w:t>6</w:t>
            </w:r>
            <w:r>
              <w:rPr>
                <w:color w:val="auto"/>
                <w:sz w:val="20"/>
                <w:szCs w:val="20"/>
                <w:highlight w:val="none"/>
              </w:rPr>
              <w:t>分。</w:t>
            </w:r>
          </w:p>
          <w:p w14:paraId="6B9E18D5">
            <w:pPr>
              <w:widowControl/>
              <w:spacing w:line="312" w:lineRule="auto"/>
              <w:jc w:val="left"/>
              <w:rPr>
                <w:color w:val="auto"/>
                <w:sz w:val="20"/>
                <w:szCs w:val="20"/>
                <w:highlight w:val="none"/>
              </w:rPr>
            </w:pPr>
            <w:r>
              <w:rPr>
                <w:color w:val="auto"/>
                <w:sz w:val="20"/>
                <w:szCs w:val="20"/>
                <w:highlight w:val="none"/>
              </w:rPr>
              <w:t>注：每项业绩须提供合同关键页，一年一签的长期服务续签合同只计算一个业绩：同一家医院同一类型的多次合作，算作1个业绩。上述资料均要求提供扫描件，不清晰或未提供不得分。</w:t>
            </w:r>
          </w:p>
        </w:tc>
        <w:tc>
          <w:tcPr>
            <w:tcW w:w="1216" w:type="dxa"/>
          </w:tcPr>
          <w:p w14:paraId="199D9C77">
            <w:pPr>
              <w:widowControl/>
              <w:spacing w:line="312" w:lineRule="auto"/>
              <w:jc w:val="left"/>
              <w:rPr>
                <w:color w:val="auto"/>
                <w:sz w:val="20"/>
                <w:szCs w:val="20"/>
                <w:highlight w:val="none"/>
              </w:rPr>
            </w:pPr>
          </w:p>
        </w:tc>
        <w:tc>
          <w:tcPr>
            <w:tcW w:w="1717" w:type="dxa"/>
          </w:tcPr>
          <w:p w14:paraId="221C4A88">
            <w:pPr>
              <w:widowControl/>
              <w:spacing w:line="312" w:lineRule="auto"/>
              <w:jc w:val="left"/>
              <w:rPr>
                <w:color w:val="auto"/>
                <w:sz w:val="20"/>
                <w:szCs w:val="20"/>
                <w:highlight w:val="none"/>
              </w:rPr>
            </w:pPr>
          </w:p>
        </w:tc>
      </w:tr>
      <w:tr w14:paraId="2D9C69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88" w:hRule="atLeast"/>
        </w:trPr>
        <w:tc>
          <w:tcPr>
            <w:tcW w:w="1067" w:type="dxa"/>
            <w:vMerge w:val="continue"/>
          </w:tcPr>
          <w:p w14:paraId="40B724EA">
            <w:pPr>
              <w:rPr>
                <w:color w:val="auto"/>
                <w:sz w:val="20"/>
                <w:szCs w:val="20"/>
                <w:highlight w:val="none"/>
              </w:rPr>
            </w:pPr>
          </w:p>
        </w:tc>
        <w:tc>
          <w:tcPr>
            <w:tcW w:w="1114" w:type="dxa"/>
          </w:tcPr>
          <w:p w14:paraId="4D0FED63">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实验室技术与质量能力保障 (</w:t>
            </w:r>
            <w:r>
              <w:rPr>
                <w:rFonts w:hint="default" w:ascii="Times New Roman" w:hAnsi="Times New Roman" w:cs="Times New Roman"/>
                <w:color w:val="auto"/>
                <w:highlight w:val="none"/>
                <w:lang w:eastAsia="zh-CN"/>
              </w:rPr>
              <w:t>8</w:t>
            </w:r>
            <w:r>
              <w:rPr>
                <w:rFonts w:hint="default" w:ascii="Times New Roman" w:hAnsi="Times New Roman" w:cs="Times New Roman"/>
                <w:color w:val="auto"/>
                <w:highlight w:val="none"/>
              </w:rPr>
              <w:t>.0分)</w:t>
            </w:r>
          </w:p>
        </w:tc>
        <w:tc>
          <w:tcPr>
            <w:tcW w:w="4986" w:type="dxa"/>
            <w:vAlign w:val="center"/>
          </w:tcPr>
          <w:p w14:paraId="7712DAA2">
            <w:pPr>
              <w:pStyle w:val="8"/>
              <w:ind w:left="0" w:leftChars="0"/>
              <w:rPr>
                <w:color w:val="auto"/>
                <w:sz w:val="20"/>
                <w:szCs w:val="20"/>
                <w:highlight w:val="none"/>
              </w:rPr>
            </w:pPr>
            <w:r>
              <w:rPr>
                <w:color w:val="auto"/>
                <w:spacing w:val="-8"/>
                <w:sz w:val="20"/>
                <w:szCs w:val="20"/>
                <w:highlight w:val="none"/>
              </w:rPr>
              <w:t>1、投标人实验室通过ISO15189实验室认可，满足得2分，不满足不得分。</w:t>
            </w:r>
          </w:p>
          <w:p w14:paraId="295A79BB">
            <w:pPr>
              <w:pStyle w:val="8"/>
              <w:ind w:left="0" w:leftChars="0"/>
              <w:rPr>
                <w:color w:val="auto"/>
                <w:spacing w:val="-8"/>
                <w:sz w:val="20"/>
                <w:szCs w:val="20"/>
                <w:highlight w:val="none"/>
              </w:rPr>
            </w:pPr>
            <w:r>
              <w:rPr>
                <w:color w:val="auto"/>
                <w:spacing w:val="-8"/>
                <w:sz w:val="20"/>
                <w:szCs w:val="20"/>
                <w:highlight w:val="none"/>
              </w:rPr>
              <w:t>2、投标人实验室通过质量管理体系认证、</w:t>
            </w:r>
            <w:r>
              <w:rPr>
                <w:color w:val="auto"/>
                <w:sz w:val="20"/>
                <w:szCs w:val="20"/>
                <w:highlight w:val="none"/>
              </w:rPr>
              <w:t>环境管理体系认证证书</w:t>
            </w:r>
            <w:r>
              <w:rPr>
                <w:color w:val="auto"/>
                <w:spacing w:val="-8"/>
                <w:sz w:val="20"/>
                <w:szCs w:val="20"/>
                <w:highlight w:val="none"/>
              </w:rPr>
              <w:t>、职业健康安全管理体系认证，每提供一个证书得0.5分，满分得</w:t>
            </w:r>
            <w:r>
              <w:rPr>
                <w:rFonts w:hint="eastAsia"/>
                <w:color w:val="auto"/>
                <w:spacing w:val="-8"/>
                <w:sz w:val="20"/>
                <w:szCs w:val="20"/>
                <w:highlight w:val="none"/>
                <w:lang w:val="en-US" w:eastAsia="zh-CN"/>
              </w:rPr>
              <w:t>6</w:t>
            </w:r>
            <w:bookmarkStart w:id="17" w:name="_GoBack"/>
            <w:bookmarkEnd w:id="17"/>
            <w:r>
              <w:rPr>
                <w:color w:val="auto"/>
                <w:spacing w:val="-8"/>
                <w:sz w:val="20"/>
                <w:szCs w:val="20"/>
                <w:highlight w:val="none"/>
              </w:rPr>
              <w:t>分。</w:t>
            </w:r>
          </w:p>
          <w:p w14:paraId="0EFCBE99">
            <w:pPr>
              <w:rPr>
                <w:b/>
                <w:bCs/>
                <w:color w:val="auto"/>
                <w:spacing w:val="-8"/>
                <w:sz w:val="20"/>
                <w:szCs w:val="20"/>
                <w:highlight w:val="none"/>
              </w:rPr>
            </w:pPr>
            <w:r>
              <w:rPr>
                <w:b/>
                <w:bCs/>
                <w:color w:val="auto"/>
                <w:spacing w:val="-8"/>
                <w:sz w:val="20"/>
                <w:szCs w:val="20"/>
                <w:highlight w:val="none"/>
              </w:rPr>
              <w:t>注：第1、2项须提供证书复印件加盖投标人公章。</w:t>
            </w:r>
          </w:p>
          <w:p w14:paraId="1128A7E3">
            <w:pPr>
              <w:pStyle w:val="8"/>
              <w:ind w:left="0" w:leftChars="0"/>
              <w:rPr>
                <w:color w:val="auto"/>
                <w:sz w:val="20"/>
                <w:szCs w:val="20"/>
                <w:highlight w:val="none"/>
              </w:rPr>
            </w:pPr>
            <w:r>
              <w:rPr>
                <w:b/>
                <w:bCs/>
                <w:color w:val="auto"/>
                <w:spacing w:val="-8"/>
                <w:sz w:val="20"/>
                <w:szCs w:val="20"/>
                <w:highlight w:val="none"/>
              </w:rPr>
              <w:t>注：需提供相关文件复印件作为证明材料，并加盖投标人公章，不提供不得分。</w:t>
            </w:r>
          </w:p>
        </w:tc>
        <w:tc>
          <w:tcPr>
            <w:tcW w:w="1216" w:type="dxa"/>
            <w:vAlign w:val="center"/>
          </w:tcPr>
          <w:p w14:paraId="09320E2E">
            <w:pPr>
              <w:pStyle w:val="8"/>
              <w:ind w:left="0" w:leftChars="0"/>
              <w:rPr>
                <w:b/>
                <w:bCs/>
                <w:color w:val="auto"/>
                <w:spacing w:val="-8"/>
                <w:sz w:val="20"/>
                <w:szCs w:val="20"/>
                <w:highlight w:val="none"/>
              </w:rPr>
            </w:pPr>
          </w:p>
        </w:tc>
        <w:tc>
          <w:tcPr>
            <w:tcW w:w="1717" w:type="dxa"/>
            <w:vAlign w:val="center"/>
          </w:tcPr>
          <w:p w14:paraId="4AAF7B2B">
            <w:pPr>
              <w:pStyle w:val="8"/>
              <w:ind w:left="0" w:leftChars="0"/>
              <w:rPr>
                <w:b/>
                <w:bCs/>
                <w:color w:val="auto"/>
                <w:spacing w:val="-8"/>
                <w:sz w:val="20"/>
                <w:szCs w:val="20"/>
                <w:highlight w:val="none"/>
              </w:rPr>
            </w:pPr>
          </w:p>
        </w:tc>
      </w:tr>
      <w:tr w14:paraId="56FAF6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7" w:type="dxa"/>
          </w:tcPr>
          <w:p w14:paraId="597AE31E">
            <w:pPr>
              <w:pStyle w:val="24"/>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投标报价</w:t>
            </w:r>
          </w:p>
        </w:tc>
        <w:tc>
          <w:tcPr>
            <w:tcW w:w="1114" w:type="dxa"/>
          </w:tcPr>
          <w:p w14:paraId="5A67DC8D">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投标报价得分 (</w:t>
            </w:r>
            <w:r>
              <w:rPr>
                <w:rFonts w:hint="default" w:ascii="Times New Roman" w:hAnsi="Times New Roman" w:cs="Times New Roman"/>
                <w:color w:val="auto"/>
                <w:highlight w:val="none"/>
                <w:lang w:eastAsia="zh-CN"/>
              </w:rPr>
              <w:t>20</w:t>
            </w:r>
            <w:r>
              <w:rPr>
                <w:rFonts w:hint="default" w:ascii="Times New Roman" w:hAnsi="Times New Roman" w:cs="Times New Roman"/>
                <w:color w:val="auto"/>
                <w:highlight w:val="none"/>
              </w:rPr>
              <w:t>.0分)</w:t>
            </w:r>
          </w:p>
        </w:tc>
        <w:tc>
          <w:tcPr>
            <w:tcW w:w="4986" w:type="dxa"/>
          </w:tcPr>
          <w:p w14:paraId="5D84E137">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投标报价得分＝（评标基准价/投标报价）×价格分值【注：满足招标文件要求且投标价格最低的投标报价为评标基准价。】最低报价不是中标的唯一依据。因落实政府采购政策进行价格调整的，以调整后的价格计算评标基准价和投标报价。</w:t>
            </w:r>
          </w:p>
        </w:tc>
        <w:tc>
          <w:tcPr>
            <w:tcW w:w="1216" w:type="dxa"/>
            <w:vAlign w:val="center"/>
          </w:tcPr>
          <w:p w14:paraId="2E017655">
            <w:pPr>
              <w:pStyle w:val="24"/>
              <w:jc w:val="center"/>
              <w:rPr>
                <w:rFonts w:hint="eastAsia" w:ascii="Times New Roman" w:hAnsi="Times New Roman" w:cs="Times New Roman" w:eastAsiaTheme="minorEastAsia"/>
                <w:color w:val="auto"/>
                <w:highlight w:val="none"/>
                <w:lang w:val="en-US" w:eastAsia="zh-CN"/>
              </w:rPr>
            </w:pPr>
            <w:r>
              <w:rPr>
                <w:rFonts w:hint="eastAsia" w:ascii="Times New Roman" w:hAnsi="Times New Roman" w:cs="Times New Roman"/>
                <w:color w:val="auto"/>
                <w:highlight w:val="none"/>
                <w:lang w:val="en-US" w:eastAsia="zh-CN"/>
              </w:rPr>
              <w:t>不填</w:t>
            </w:r>
          </w:p>
        </w:tc>
        <w:tc>
          <w:tcPr>
            <w:tcW w:w="1717" w:type="dxa"/>
            <w:vAlign w:val="center"/>
          </w:tcPr>
          <w:p w14:paraId="70AF2047">
            <w:pPr>
              <w:pStyle w:val="24"/>
              <w:jc w:val="center"/>
              <w:rPr>
                <w:rFonts w:hint="eastAsia" w:ascii="Times New Roman" w:hAnsi="Times New Roman" w:cs="Times New Roman" w:eastAsiaTheme="minorEastAsia"/>
                <w:color w:val="auto"/>
                <w:highlight w:val="none"/>
                <w:lang w:val="en-US" w:eastAsia="zh-CN"/>
              </w:rPr>
            </w:pPr>
            <w:r>
              <w:rPr>
                <w:rFonts w:hint="eastAsia" w:ascii="Times New Roman" w:hAnsi="Times New Roman" w:cs="Times New Roman"/>
                <w:color w:val="auto"/>
                <w:highlight w:val="none"/>
                <w:lang w:val="en-US" w:eastAsia="zh-CN"/>
              </w:rPr>
              <w:t>不填</w:t>
            </w:r>
          </w:p>
        </w:tc>
      </w:tr>
    </w:tbl>
    <w:p w14:paraId="4993F133">
      <w:pPr>
        <w:spacing w:line="440" w:lineRule="exact"/>
        <w:jc w:val="center"/>
        <w:rPr>
          <w:rFonts w:ascii="仿宋" w:hAnsi="仿宋" w:eastAsia="仿宋" w:cs="仿宋"/>
          <w:b/>
          <w:bCs/>
          <w:color w:val="auto"/>
          <w:sz w:val="24"/>
          <w:highlight w:val="none"/>
        </w:rPr>
      </w:pPr>
    </w:p>
    <w:p w14:paraId="0825F423">
      <w:pPr>
        <w:pStyle w:val="6"/>
        <w:rPr>
          <w:rFonts w:hint="eastAsia"/>
          <w:lang w:val="en-US" w:eastAsia="zh-CN"/>
        </w:rPr>
      </w:pPr>
    </w:p>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Times New Roman Regular">
    <w:altName w:val="Times New Roman"/>
    <w:panose1 w:val="00000000000000000000"/>
    <w:charset w:val="00"/>
    <w:family w:val="auto"/>
    <w:pitch w:val="default"/>
    <w:sig w:usb0="00000000" w:usb1="00000000" w:usb2="00000001" w:usb3="00000000" w:csb0="400001BF" w:csb1="DF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59B101">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16E7A4">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116E7A4">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8782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4CCD9D"/>
    <w:multiLevelType w:val="singleLevel"/>
    <w:tmpl w:val="8D4CCD9D"/>
    <w:lvl w:ilvl="0" w:tentative="0">
      <w:start w:val="8"/>
      <w:numFmt w:val="chineseCounting"/>
      <w:suff w:val="nothing"/>
      <w:lvlText w:val="%1、"/>
      <w:lvlJc w:val="left"/>
      <w:rPr>
        <w:rFonts w:hint="eastAsia"/>
      </w:rPr>
    </w:lvl>
  </w:abstractNum>
  <w:abstractNum w:abstractNumId="1">
    <w:nsid w:val="E3627032"/>
    <w:multiLevelType w:val="singleLevel"/>
    <w:tmpl w:val="E3627032"/>
    <w:lvl w:ilvl="0" w:tentative="0">
      <w:start w:val="1"/>
      <w:numFmt w:val="decimal"/>
      <w:suff w:val="nothing"/>
      <w:lvlText w:val="%1、"/>
      <w:lvlJc w:val="left"/>
    </w:lvl>
  </w:abstractNum>
  <w:abstractNum w:abstractNumId="2">
    <w:nsid w:val="EEC7A9DD"/>
    <w:multiLevelType w:val="singleLevel"/>
    <w:tmpl w:val="EEC7A9DD"/>
    <w:lvl w:ilvl="0" w:tentative="0">
      <w:start w:val="3"/>
      <w:numFmt w:val="decimal"/>
      <w:suff w:val="nothing"/>
      <w:lvlText w:val="%1、"/>
      <w:lvlJc w:val="left"/>
    </w:lvl>
  </w:abstractNum>
  <w:abstractNum w:abstractNumId="3">
    <w:nsid w:val="07CE4D1B"/>
    <w:multiLevelType w:val="singleLevel"/>
    <w:tmpl w:val="07CE4D1B"/>
    <w:lvl w:ilvl="0" w:tentative="0">
      <w:start w:val="1"/>
      <w:numFmt w:val="decimal"/>
      <w:suff w:val="nothing"/>
      <w:lvlText w:val="%1、"/>
      <w:lvlJc w:val="left"/>
    </w:lvl>
  </w:abstractNum>
  <w:abstractNum w:abstractNumId="4">
    <w:nsid w:val="1A215ECB"/>
    <w:multiLevelType w:val="singleLevel"/>
    <w:tmpl w:val="1A215ECB"/>
    <w:lvl w:ilvl="0" w:tentative="0">
      <w:start w:val="1"/>
      <w:numFmt w:val="decimal"/>
      <w:lvlText w:val="(%1)"/>
      <w:lvlJc w:val="left"/>
      <w:pPr>
        <w:ind w:left="425" w:hanging="425"/>
      </w:pPr>
      <w:rPr>
        <w:rFonts w:hint="default"/>
      </w:rPr>
    </w:lvl>
  </w:abstractNum>
  <w:abstractNum w:abstractNumId="5">
    <w:nsid w:val="6CE845BF"/>
    <w:multiLevelType w:val="singleLevel"/>
    <w:tmpl w:val="6CE845BF"/>
    <w:lvl w:ilvl="0" w:tentative="0">
      <w:start w:val="1"/>
      <w:numFmt w:val="decimalEnclosedCircleChinese"/>
      <w:suff w:val="nothing"/>
      <w:lvlText w:val="%1　"/>
      <w:lvlJc w:val="left"/>
      <w:rPr>
        <w:rFonts w:hint="eastAsia"/>
      </w:rPr>
    </w:lvl>
  </w:abstractNum>
  <w:abstractNum w:abstractNumId="6">
    <w:nsid w:val="6FEF5E58"/>
    <w:multiLevelType w:val="singleLevel"/>
    <w:tmpl w:val="6FEF5E58"/>
    <w:lvl w:ilvl="0" w:tentative="0">
      <w:start w:val="1"/>
      <w:numFmt w:val="decimal"/>
      <w:lvlText w:val="%1."/>
      <w:lvlJc w:val="left"/>
      <w:pPr>
        <w:ind w:left="425" w:hanging="425"/>
      </w:pPr>
      <w:rPr>
        <w:rFonts w:hint="default"/>
      </w:rPr>
    </w:lvl>
  </w:abstractNum>
  <w:num w:numId="1">
    <w:abstractNumId w:val="6"/>
  </w:num>
  <w:num w:numId="2">
    <w:abstractNumId w:val="0"/>
  </w:num>
  <w:num w:numId="3">
    <w:abstractNumId w:val="3"/>
  </w:num>
  <w:num w:numId="4">
    <w:abstractNumId w:val="4"/>
  </w:num>
  <w:num w:numId="5">
    <w:abstractNumId w:val="5"/>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24921DB"/>
    <w:rsid w:val="06744454"/>
    <w:rsid w:val="094D472E"/>
    <w:rsid w:val="095011A8"/>
    <w:rsid w:val="09D37DDB"/>
    <w:rsid w:val="0CA21D1B"/>
    <w:rsid w:val="0CCD43BF"/>
    <w:rsid w:val="0DFE0A99"/>
    <w:rsid w:val="1CF85987"/>
    <w:rsid w:val="1DB55626"/>
    <w:rsid w:val="1E840AC7"/>
    <w:rsid w:val="1F2945E3"/>
    <w:rsid w:val="1FE65AC0"/>
    <w:rsid w:val="20E33B6F"/>
    <w:rsid w:val="20FE31B4"/>
    <w:rsid w:val="235F3BE9"/>
    <w:rsid w:val="28DF6635"/>
    <w:rsid w:val="2ABC1895"/>
    <w:rsid w:val="2BB67139"/>
    <w:rsid w:val="2D355601"/>
    <w:rsid w:val="2F0F75BD"/>
    <w:rsid w:val="319E422D"/>
    <w:rsid w:val="324E3C26"/>
    <w:rsid w:val="335464C2"/>
    <w:rsid w:val="347B2CCE"/>
    <w:rsid w:val="35124480"/>
    <w:rsid w:val="36E33B5E"/>
    <w:rsid w:val="3A0E226D"/>
    <w:rsid w:val="3E6B5D05"/>
    <w:rsid w:val="3F1A6F0B"/>
    <w:rsid w:val="4354121F"/>
    <w:rsid w:val="43655275"/>
    <w:rsid w:val="44973488"/>
    <w:rsid w:val="490E789E"/>
    <w:rsid w:val="490F4F35"/>
    <w:rsid w:val="4A050F2D"/>
    <w:rsid w:val="4AD477F4"/>
    <w:rsid w:val="4B7A033A"/>
    <w:rsid w:val="4CBE77A4"/>
    <w:rsid w:val="51600F69"/>
    <w:rsid w:val="53BC3594"/>
    <w:rsid w:val="576C719B"/>
    <w:rsid w:val="5C0E1B80"/>
    <w:rsid w:val="5D127D12"/>
    <w:rsid w:val="5FA10B01"/>
    <w:rsid w:val="612D28B6"/>
    <w:rsid w:val="65DB14DF"/>
    <w:rsid w:val="68F16986"/>
    <w:rsid w:val="69DB7BB7"/>
    <w:rsid w:val="6A3B747A"/>
    <w:rsid w:val="6AE41641"/>
    <w:rsid w:val="6B4C6025"/>
    <w:rsid w:val="6BB6035B"/>
    <w:rsid w:val="6C561999"/>
    <w:rsid w:val="6E0F1C96"/>
    <w:rsid w:val="70922C0A"/>
    <w:rsid w:val="72D245E7"/>
    <w:rsid w:val="761107C1"/>
    <w:rsid w:val="76BE71B6"/>
    <w:rsid w:val="79490272"/>
    <w:rsid w:val="79D14349"/>
    <w:rsid w:val="7A995229"/>
    <w:rsid w:val="7C270BB8"/>
    <w:rsid w:val="7CD837B0"/>
    <w:rsid w:val="7F4367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7">
    <w:name w:val="Default Paragraph Font"/>
    <w:semiHidden/>
    <w:qFormat/>
    <w:uiPriority w:val="0"/>
  </w:style>
  <w:style w:type="table" w:default="1" w:styleId="15">
    <w:name w:val="Normal Table"/>
    <w:autoRedefine/>
    <w:semiHidden/>
    <w:qFormat/>
    <w:uiPriority w:val="0"/>
    <w:tblPr>
      <w:tblCellMar>
        <w:top w:w="0" w:type="dxa"/>
        <w:left w:w="108" w:type="dxa"/>
        <w:bottom w:w="0" w:type="dxa"/>
        <w:right w:w="108" w:type="dxa"/>
      </w:tblCellMar>
    </w:tblPr>
  </w:style>
  <w:style w:type="paragraph" w:styleId="4">
    <w:name w:val="Normal Indent"/>
    <w:basedOn w:val="1"/>
    <w:qFormat/>
    <w:uiPriority w:val="0"/>
    <w:pPr>
      <w:spacing w:line="360" w:lineRule="auto"/>
      <w:ind w:firstLine="420"/>
    </w:pPr>
    <w:rPr>
      <w:rFonts w:ascii="宋体"/>
    </w:rPr>
  </w:style>
  <w:style w:type="paragraph" w:styleId="5">
    <w:name w:val="annotation text"/>
    <w:basedOn w:val="1"/>
    <w:qFormat/>
    <w:uiPriority w:val="0"/>
    <w:pPr>
      <w:widowControl/>
      <w:jc w:val="left"/>
    </w:pPr>
    <w:rPr>
      <w:kern w:val="0"/>
      <w:szCs w:val="20"/>
    </w:rPr>
  </w:style>
  <w:style w:type="paragraph" w:styleId="6">
    <w:name w:val="Body Text"/>
    <w:basedOn w:val="1"/>
    <w:autoRedefine/>
    <w:qFormat/>
    <w:uiPriority w:val="99"/>
    <w:pPr>
      <w:spacing w:after="120"/>
    </w:pPr>
  </w:style>
  <w:style w:type="paragraph" w:styleId="7">
    <w:name w:val="Body Text Indent"/>
    <w:basedOn w:val="1"/>
    <w:qFormat/>
    <w:uiPriority w:val="0"/>
    <w:pPr>
      <w:widowControl w:val="0"/>
      <w:spacing w:line="360" w:lineRule="auto"/>
      <w:ind w:left="608" w:hanging="608"/>
      <w:jc w:val="both"/>
    </w:pPr>
    <w:rPr>
      <w:rFonts w:ascii="宋体"/>
      <w:sz w:val="28"/>
    </w:rPr>
  </w:style>
  <w:style w:type="paragraph" w:styleId="8">
    <w:name w:val="index 4"/>
    <w:basedOn w:val="1"/>
    <w:next w:val="1"/>
    <w:unhideWhenUsed/>
    <w:qFormat/>
    <w:uiPriority w:val="99"/>
    <w:pPr>
      <w:ind w:left="600" w:leftChars="600"/>
    </w:pPr>
  </w:style>
  <w:style w:type="paragraph" w:styleId="9">
    <w:name w:val="toc 5"/>
    <w:basedOn w:val="1"/>
    <w:next w:val="1"/>
    <w:autoRedefine/>
    <w:qFormat/>
    <w:uiPriority w:val="0"/>
    <w:pPr>
      <w:ind w:left="840"/>
      <w:jc w:val="left"/>
    </w:pPr>
    <w:rPr>
      <w:rFonts w:ascii="Calibri" w:hAnsi="Calibri"/>
      <w:sz w:val="18"/>
      <w:szCs w:val="18"/>
    </w:rPr>
  </w:style>
  <w:style w:type="paragraph" w:styleId="10">
    <w:name w:val="Date"/>
    <w:basedOn w:val="1"/>
    <w:next w:val="1"/>
    <w:qFormat/>
    <w:uiPriority w:val="0"/>
    <w:rPr>
      <w:rFonts w:ascii="Times New Roman" w:hAnsi="Times New Roman" w:eastAsia="宋体" w:cs="Times New Roman"/>
      <w:szCs w:val="20"/>
    </w:rPr>
  </w:style>
  <w:style w:type="paragraph" w:styleId="11">
    <w:name w:val="Body Text Indent 2"/>
    <w:basedOn w:val="1"/>
    <w:link w:val="20"/>
    <w:autoRedefine/>
    <w:qFormat/>
    <w:uiPriority w:val="0"/>
    <w:pPr>
      <w:spacing w:after="120" w:line="480" w:lineRule="auto"/>
      <w:ind w:left="420" w:leftChars="200"/>
    </w:pPr>
    <w:rPr>
      <w:szCs w:val="20"/>
    </w:rPr>
  </w:style>
  <w:style w:type="paragraph" w:styleId="12">
    <w:name w:val="footer"/>
    <w:basedOn w:val="1"/>
    <w:qFormat/>
    <w:uiPriority w:val="99"/>
    <w:pPr>
      <w:tabs>
        <w:tab w:val="center" w:pos="4153"/>
        <w:tab w:val="right" w:pos="8306"/>
      </w:tabs>
      <w:snapToGrid w:val="0"/>
      <w:jc w:val="left"/>
    </w:pPr>
    <w:rPr>
      <w:sz w:val="18"/>
    </w:rPr>
  </w:style>
  <w:style w:type="paragraph" w:styleId="13">
    <w:name w:val="Body Text First Indent"/>
    <w:basedOn w:val="6"/>
    <w:next w:val="1"/>
    <w:qFormat/>
    <w:uiPriority w:val="0"/>
    <w:pPr>
      <w:snapToGrid w:val="0"/>
      <w:spacing w:before="40" w:after="40" w:line="288" w:lineRule="auto"/>
      <w:ind w:firstLine="482"/>
    </w:pPr>
    <w:rPr>
      <w:rFonts w:ascii="仿宋_GB2312" w:hAnsi="仿宋_GB2312" w:eastAsia="仿宋_GB2312"/>
      <w:szCs w:val="20"/>
    </w:rPr>
  </w:style>
  <w:style w:type="paragraph" w:styleId="14">
    <w:name w:val="Body Text First Indent 2"/>
    <w:basedOn w:val="7"/>
    <w:qFormat/>
    <w:uiPriority w:val="0"/>
    <w:pPr>
      <w:snapToGrid w:val="0"/>
      <w:spacing w:after="120" w:afterLines="0"/>
      <w:ind w:left="420" w:firstLine="420" w:firstLineChars="200"/>
    </w:pPr>
    <w:rPr>
      <w:rFonts w:ascii="Tahoma" w:hAnsi="Tahoma"/>
      <w:kern w:val="2"/>
      <w:szCs w:val="24"/>
    </w:rPr>
  </w:style>
  <w:style w:type="table" w:styleId="16">
    <w:name w:val="Table Grid"/>
    <w:basedOn w:val="15"/>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8">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9">
    <w:name w:val="List Paragraph"/>
    <w:basedOn w:val="1"/>
    <w:autoRedefine/>
    <w:qFormat/>
    <w:uiPriority w:val="34"/>
    <w:pPr>
      <w:ind w:firstLine="420" w:firstLineChars="200"/>
    </w:pPr>
    <w:rPr>
      <w:rFonts w:ascii="Calibri" w:hAnsi="Calibri"/>
      <w:szCs w:val="22"/>
    </w:rPr>
  </w:style>
  <w:style w:type="character" w:customStyle="1" w:styleId="20">
    <w:name w:val="正文文本缩进 2 Char"/>
    <w:link w:val="11"/>
    <w:autoRedefine/>
    <w:qFormat/>
    <w:uiPriority w:val="0"/>
    <w:rPr>
      <w:szCs w:val="20"/>
    </w:rPr>
  </w:style>
  <w:style w:type="paragraph" w:customStyle="1" w:styleId="21">
    <w:name w:val="图"/>
    <w:basedOn w:val="1"/>
    <w:autoRedefine/>
    <w:qFormat/>
    <w:uiPriority w:val="0"/>
    <w:pPr>
      <w:keepNext/>
      <w:widowControl w:val="0"/>
      <w:adjustRightInd w:val="0"/>
      <w:spacing w:before="60" w:after="60" w:line="300" w:lineRule="auto"/>
      <w:jc w:val="center"/>
      <w:textAlignment w:val="center"/>
    </w:pPr>
    <w:rPr>
      <w:snapToGrid w:val="0"/>
      <w:spacing w:val="20"/>
      <w:sz w:val="24"/>
    </w:rPr>
  </w:style>
  <w:style w:type="table" w:customStyle="1" w:styleId="22">
    <w:name w:val="Table Normal"/>
    <w:semiHidden/>
    <w:unhideWhenUsed/>
    <w:qFormat/>
    <w:uiPriority w:val="0"/>
    <w:tblPr>
      <w:tblCellMar>
        <w:top w:w="0" w:type="dxa"/>
        <w:left w:w="0" w:type="dxa"/>
        <w:bottom w:w="0" w:type="dxa"/>
        <w:right w:w="0" w:type="dxa"/>
      </w:tblCellMar>
    </w:tblPr>
  </w:style>
  <w:style w:type="paragraph" w:customStyle="1" w:styleId="23">
    <w:name w:val="1、标题"/>
    <w:basedOn w:val="1"/>
    <w:qFormat/>
    <w:uiPriority w:val="0"/>
    <w:pPr>
      <w:spacing w:line="360" w:lineRule="auto"/>
    </w:pPr>
    <w:rPr>
      <w:rFonts w:hint="eastAsia"/>
      <w:b/>
    </w:rPr>
  </w:style>
  <w:style w:type="paragraph" w:customStyle="1" w:styleId="24">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39</Pages>
  <Words>5374</Words>
  <Characters>5826</Characters>
  <Lines>0</Lines>
  <Paragraphs>0</Paragraphs>
  <TotalTime>15</TotalTime>
  <ScaleCrop>false</ScaleCrop>
  <LinksUpToDate>false</LinksUpToDate>
  <CharactersWithSpaces>6137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酸小敏</cp:lastModifiedBy>
  <dcterms:modified xsi:type="dcterms:W3CDTF">2026-06-05T03:55:36Z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1E03957D1A5D44E49755756EB6CAEA52_13</vt:lpwstr>
  </property>
  <property fmtid="{D5CDD505-2E9C-101B-9397-08002B2CF9AE}" pid="4" name="KSOTemplateDocerSaveRecord">
    <vt:lpwstr>eyJoZGlkIjoiZGVjYzc1YWE1ZDY5ZTBhMjhkOTc1M2MxMTMzMzJhMTAiLCJ1c2VySWQiOiIyNjc1OTg4MDkifQ==</vt:lpwstr>
  </property>
</Properties>
</file>