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7EEF2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right="0"/>
        <w:jc w:val="center"/>
        <w:rPr>
          <w:rFonts w:hint="eastAsia" w:ascii="仿宋" w:hAnsi="仿宋" w:eastAsia="仿宋" w:cs="仿宋"/>
          <w:color w:val="00000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z w:val="24"/>
          <w:szCs w:val="24"/>
        </w:rPr>
        <w:t>中山市东升医院医院精细化管理系统项目调研公告</w:t>
      </w:r>
    </w:p>
    <w:p w14:paraId="3FE75C0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firstLine="420" w:firstLineChars="0"/>
        <w:jc w:val="left"/>
        <w:rPr>
          <w:rFonts w:hint="eastAsia" w:ascii="仿宋" w:hAnsi="仿宋" w:eastAsia="仿宋" w:cs="仿宋"/>
          <w:color w:val="00000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为提升我院医院精细化管理水平，规范病案、绩效、医保等核心管理流程，保障医院精细化管理系统稳定、高效、安全运行，现拟对医院精细化管理系统项目进行调研，欢迎各位有意向、有资质的公司递交资料。本次项目调研情况仅作为我院制定采购文件的依据，后续依照国家、省、市及医院相关采购制度执行采购。</w:t>
      </w:r>
    </w:p>
    <w:p w14:paraId="619B942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/>
        <w:jc w:val="left"/>
        <w:rPr>
          <w:rFonts w:hint="eastAsia" w:ascii="仿宋" w:hAnsi="仿宋" w:eastAsia="仿宋" w:cs="仿宋"/>
          <w:color w:val="00000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z w:val="24"/>
          <w:szCs w:val="24"/>
        </w:rPr>
        <w:t>一、项目概况</w:t>
      </w:r>
    </w:p>
    <w:tbl>
      <w:tblPr>
        <w:tblStyle w:val="5"/>
        <w:tblW w:w="8434" w:type="dxa"/>
        <w:tblInd w:w="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4"/>
        <w:gridCol w:w="1915"/>
        <w:gridCol w:w="6085"/>
      </w:tblGrid>
      <w:tr w14:paraId="54297D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409" w:type="dxa"/>
            <w:shd w:val="clear" w:color="auto" w:fill="auto"/>
            <w:noWrap/>
            <w:vAlign w:val="center"/>
          </w:tcPr>
          <w:p w14:paraId="4FCD01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921" w:type="dxa"/>
            <w:shd w:val="clear" w:color="auto" w:fill="auto"/>
            <w:noWrap/>
            <w:vAlign w:val="center"/>
          </w:tcPr>
          <w:p w14:paraId="6A9BE7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系统模块 / 费用类型</w:t>
            </w:r>
          </w:p>
        </w:tc>
        <w:tc>
          <w:tcPr>
            <w:tcW w:w="6104" w:type="dxa"/>
            <w:shd w:val="clear" w:color="auto" w:fill="auto"/>
            <w:noWrap/>
            <w:vAlign w:val="center"/>
          </w:tcPr>
          <w:p w14:paraId="1F0B91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需求概况</w:t>
            </w:r>
          </w:p>
        </w:tc>
      </w:tr>
      <w:tr w14:paraId="6608BC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435" w:type="dxa"/>
            <w:shd w:val="clear" w:color="auto" w:fill="auto"/>
            <w:noWrap/>
            <w:vAlign w:val="center"/>
          </w:tcPr>
          <w:p w14:paraId="3006A4B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921" w:type="dxa"/>
            <w:shd w:val="clear" w:color="auto" w:fill="auto"/>
            <w:noWrap/>
            <w:vAlign w:val="center"/>
          </w:tcPr>
          <w:p w14:paraId="662E86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病案首页与编码质控（包含HQMS上报）</w:t>
            </w:r>
          </w:p>
        </w:tc>
        <w:tc>
          <w:tcPr>
            <w:tcW w:w="6104" w:type="dxa"/>
            <w:shd w:val="clear" w:color="auto" w:fill="auto"/>
            <w:noWrap/>
            <w:vAlign w:val="center"/>
          </w:tcPr>
          <w:p w14:paraId="5D39A9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包括但不限于：1. 实现病案首页数据的智能采集、规范填写，支持病案编码的智能匹配、自动质控；2. 具备编码错误预警、病案首页数据完整性校验功能，生成质控报告并支持整改追踪；3. 对接院内相关业务系统，实现病案数据的互联互通，保障数据实时同步。</w:t>
            </w:r>
          </w:p>
        </w:tc>
      </w:tr>
      <w:tr w14:paraId="70D03C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435" w:type="dxa"/>
            <w:shd w:val="clear" w:color="auto" w:fill="auto"/>
            <w:noWrap/>
            <w:vAlign w:val="center"/>
          </w:tcPr>
          <w:p w14:paraId="6D2D986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921" w:type="dxa"/>
            <w:shd w:val="clear" w:color="auto" w:fill="auto"/>
            <w:noWrap/>
            <w:vAlign w:val="center"/>
          </w:tcPr>
          <w:p w14:paraId="394373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公立医院绩效考核上报</w:t>
            </w:r>
          </w:p>
        </w:tc>
        <w:tc>
          <w:tcPr>
            <w:tcW w:w="6104" w:type="dxa"/>
            <w:shd w:val="clear" w:color="auto" w:fill="auto"/>
            <w:noWrap/>
            <w:vAlign w:val="center"/>
          </w:tcPr>
          <w:p w14:paraId="64D8B8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包括但不限于：1. 适配国家、省、市公立医院绩效考核最新指标体系，实现指标数据的自动提取、核算；2. 支持绩效考核数据的可视化展示、报表生成，满足线上一键上报卫健部门相关平台要求；3. 具备指标异动分析、数据溯源功能，助力医院绩效考核管理优化。</w:t>
            </w:r>
          </w:p>
        </w:tc>
      </w:tr>
      <w:tr w14:paraId="0BF80A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435" w:type="dxa"/>
            <w:shd w:val="clear" w:color="auto" w:fill="auto"/>
            <w:noWrap/>
            <w:vAlign w:val="center"/>
          </w:tcPr>
          <w:p w14:paraId="2FCD0A2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921" w:type="dxa"/>
            <w:shd w:val="clear" w:color="auto" w:fill="auto"/>
            <w:noWrap/>
            <w:vAlign w:val="center"/>
          </w:tcPr>
          <w:p w14:paraId="4CF7A3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DRG 绩效评价管理</w:t>
            </w:r>
          </w:p>
        </w:tc>
        <w:tc>
          <w:tcPr>
            <w:tcW w:w="6104" w:type="dxa"/>
            <w:shd w:val="clear" w:color="auto" w:fill="auto"/>
            <w:noWrap/>
            <w:vAlign w:val="center"/>
          </w:tcPr>
          <w:p w14:paraId="760A55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包括但不限于：1. 实现住院病例的自动 DRG 分组，精准核算各科室、各病种 DRG 相关绩效指标；2. 支持 DRG 入组分析、效益评价，为医院科室绩效分配、病种管理提供数据支撑。</w:t>
            </w:r>
          </w:p>
        </w:tc>
      </w:tr>
      <w:tr w14:paraId="181D7C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435" w:type="dxa"/>
            <w:shd w:val="clear" w:color="auto" w:fill="auto"/>
            <w:noWrap/>
            <w:vAlign w:val="center"/>
          </w:tcPr>
          <w:p w14:paraId="3ED47B5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921" w:type="dxa"/>
            <w:shd w:val="clear" w:color="auto" w:fill="auto"/>
            <w:noWrap/>
            <w:vAlign w:val="center"/>
          </w:tcPr>
          <w:p w14:paraId="06BAA3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医保 DIP 付费管理</w:t>
            </w:r>
          </w:p>
        </w:tc>
        <w:tc>
          <w:tcPr>
            <w:tcW w:w="6104" w:type="dxa"/>
            <w:shd w:val="clear" w:color="auto" w:fill="auto"/>
            <w:noWrap/>
            <w:vAlign w:val="center"/>
          </w:tcPr>
          <w:p w14:paraId="554AC1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包括但不限于：1. 适配医保 DIP 付费最新政策，实现病例 DIP 分值自动核算、病种事中结余预测；2. 具备 DIP 付费预结算、超支预警功能；3. 支持 DIP 数据统计分析、报表生成，满足医保部门数据上报要求。</w:t>
            </w:r>
          </w:p>
        </w:tc>
      </w:tr>
      <w:tr w14:paraId="234AF9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435" w:type="dxa"/>
            <w:shd w:val="clear" w:color="auto" w:fill="auto"/>
            <w:noWrap/>
            <w:vAlign w:val="center"/>
          </w:tcPr>
          <w:p w14:paraId="78FDFD6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921" w:type="dxa"/>
            <w:shd w:val="clear" w:color="auto" w:fill="auto"/>
            <w:noWrap/>
            <w:vAlign w:val="center"/>
          </w:tcPr>
          <w:p w14:paraId="029AAF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医保智能审核 (含门诊审核)</w:t>
            </w:r>
          </w:p>
        </w:tc>
        <w:tc>
          <w:tcPr>
            <w:tcW w:w="6104" w:type="dxa"/>
            <w:shd w:val="clear" w:color="auto" w:fill="auto"/>
            <w:noWrap/>
            <w:vAlign w:val="center"/>
          </w:tcPr>
          <w:p w14:paraId="3C1060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包括但不限于：1. 覆盖门诊、住院全流程医保费用审核，实现医保违规行为的智能识别、实时预警；2. 包含医保政策库的实时更新，支持医院本地审核规则维护，精准定位超频次、重复收费等违规问题；3. 生成医保审核预警报表，支持违规问题的整改追踪及数据统计分析。</w:t>
            </w:r>
          </w:p>
        </w:tc>
      </w:tr>
      <w:tr w14:paraId="282A97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435" w:type="dxa"/>
            <w:shd w:val="clear" w:color="auto" w:fill="auto"/>
            <w:noWrap/>
            <w:vAlign w:val="center"/>
          </w:tcPr>
          <w:p w14:paraId="358422E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921" w:type="dxa"/>
            <w:shd w:val="clear" w:color="auto" w:fill="auto"/>
            <w:noWrap/>
            <w:vAlign w:val="center"/>
          </w:tcPr>
          <w:p w14:paraId="74AA49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医保结算清单</w:t>
            </w:r>
          </w:p>
        </w:tc>
        <w:tc>
          <w:tcPr>
            <w:tcW w:w="6104" w:type="dxa"/>
            <w:shd w:val="clear" w:color="auto" w:fill="auto"/>
            <w:noWrap/>
            <w:vAlign w:val="center"/>
          </w:tcPr>
          <w:p w14:paraId="7314A5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包括但不限于：1. 实现医保结算清单的自动生成、数据校验，保障清单填写的规范性、完整性；2. 支持清单的线上提交、院内审核反馈追踪；3. 具备清单数据的统计分析功能，助力医院医保结算管理优化。</w:t>
            </w:r>
          </w:p>
        </w:tc>
      </w:tr>
      <w:tr w14:paraId="512025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435" w:type="dxa"/>
            <w:shd w:val="clear" w:color="auto" w:fill="auto"/>
            <w:noWrap/>
            <w:vAlign w:val="center"/>
          </w:tcPr>
          <w:p w14:paraId="490B67A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921" w:type="dxa"/>
            <w:shd w:val="clear" w:color="auto" w:fill="auto"/>
            <w:noWrap/>
            <w:vAlign w:val="center"/>
          </w:tcPr>
          <w:p w14:paraId="20E413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接口费用</w:t>
            </w:r>
          </w:p>
        </w:tc>
        <w:tc>
          <w:tcPr>
            <w:tcW w:w="6104" w:type="dxa"/>
            <w:shd w:val="clear" w:color="auto" w:fill="auto"/>
            <w:noWrap/>
            <w:vAlign w:val="center"/>
          </w:tcPr>
          <w:p w14:paraId="1610F2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 完成院内现有 HIS、LIS、PACS、电子病历等第三方系统与本精细化管理系统的数据对接，实现数据互通共享；2. 提供接口的开发、改造、调试服务，保障接口稳定运行；3. 包含接口后期的维护、升级服务，适配第三方系统及本系统的功能迭代。</w:t>
            </w:r>
          </w:p>
        </w:tc>
      </w:tr>
    </w:tbl>
    <w:p w14:paraId="564ECE4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/>
        <w:jc w:val="left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</w:p>
    <w:p w14:paraId="3C5EFDA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/>
        <w:jc w:val="left"/>
        <w:rPr>
          <w:rFonts w:hint="eastAsia" w:ascii="仿宋" w:hAnsi="仿宋" w:eastAsia="仿宋" w:cs="仿宋"/>
          <w:color w:val="00000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注：本系统项目需满足国家、省、市医保及卫生健康部门最新政策规范要求，系统建设需贴合我院实际运营管理需求，实现病案、绩效、医保等管理环节的一体化衔接。</w:t>
      </w:r>
    </w:p>
    <w:p w14:paraId="25B696E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/>
        <w:jc w:val="left"/>
        <w:rPr>
          <w:rFonts w:hint="eastAsia" w:ascii="仿宋" w:hAnsi="仿宋" w:eastAsia="仿宋" w:cs="仿宋"/>
          <w:color w:val="00000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z w:val="24"/>
          <w:szCs w:val="24"/>
        </w:rPr>
        <w:t>二、项目要求</w:t>
      </w:r>
    </w:p>
    <w:p w14:paraId="5A95DF6F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hanging="360"/>
        <w:jc w:val="left"/>
        <w:rPr>
          <w:rFonts w:hint="eastAsia" w:ascii="仿宋" w:hAnsi="仿宋" w:eastAsia="仿宋" w:cs="仿宋"/>
          <w:color w:val="00000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z w:val="24"/>
          <w:szCs w:val="24"/>
        </w:rPr>
        <w:t>本项目可提供系统整体全流程服务保障方案或分模块服务方案，分模块服务方案需附各模块及接口服务单价，公司可根据实际情况安排驻场技术人员或非驻场分别报价，具体项目方案由各公司依照资质及能力自行拟定。</w:t>
      </w:r>
    </w:p>
    <w:p w14:paraId="7BC68072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hanging="360"/>
        <w:jc w:val="left"/>
        <w:rPr>
          <w:rFonts w:hint="eastAsia" w:ascii="仿宋" w:hAnsi="仿宋" w:eastAsia="仿宋" w:cs="仿宋"/>
          <w:color w:val="00000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z w:val="24"/>
          <w:szCs w:val="24"/>
        </w:rPr>
        <w:t>系统所使用的软硬件产品、技术服务需符合国家、医疗行业相关标准规范，产品资质证照可溯源；系统需支持后期免费升级迭代，及时匹配国家及地方最新政策要求。</w:t>
      </w:r>
    </w:p>
    <w:p w14:paraId="25021048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hanging="360"/>
        <w:jc w:val="left"/>
        <w:rPr>
          <w:rFonts w:hint="eastAsia" w:ascii="仿宋" w:hAnsi="仿宋" w:eastAsia="仿宋" w:cs="仿宋"/>
          <w:color w:val="00000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z w:val="24"/>
          <w:szCs w:val="24"/>
        </w:rPr>
        <w:t>系统日常运维服务内容包括但不限于系统运行状态 7×</w:t>
      </w:r>
      <w:r>
        <w:rPr>
          <w:rFonts w:hint="eastAsia" w:ascii="仿宋" w:hAnsi="仿宋" w:eastAsia="仿宋" w:cs="仿宋"/>
          <w:color w:val="000000"/>
          <w:sz w:val="24"/>
          <w:szCs w:val="24"/>
          <w:lang w:val="en-US" w:eastAsia="zh-CN"/>
        </w:rPr>
        <w:t>24</w:t>
      </w:r>
      <w:r>
        <w:rPr>
          <w:rFonts w:hint="eastAsia" w:ascii="仿宋" w:hAnsi="仿宋" w:eastAsia="仿宋" w:cs="仿宋"/>
          <w:color w:val="000000"/>
          <w:sz w:val="24"/>
          <w:szCs w:val="24"/>
        </w:rPr>
        <w:t>小时监测、医疗数据安全防护、功能故障排查、系统性能优化、医护人员操作培训及技术指导等。</w:t>
      </w:r>
    </w:p>
    <w:p w14:paraId="2F195947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hanging="360"/>
        <w:jc w:val="left"/>
        <w:rPr>
          <w:rFonts w:hint="eastAsia" w:ascii="仿宋" w:hAnsi="仿宋" w:eastAsia="仿宋" w:cs="仿宋"/>
          <w:color w:val="00000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z w:val="24"/>
          <w:szCs w:val="24"/>
        </w:rPr>
        <w:t>系统发生故障报修时，</w:t>
      </w:r>
      <w:r>
        <w:rPr>
          <w:rFonts w:hint="eastAsia" w:ascii="仿宋" w:hAnsi="仿宋" w:eastAsia="仿宋" w:cs="仿宋"/>
          <w:color w:val="000000"/>
          <w:sz w:val="24"/>
          <w:szCs w:val="24"/>
          <w:lang w:val="en-US" w:eastAsia="zh-CN"/>
        </w:rPr>
        <w:t>30分钟</w:t>
      </w:r>
      <w:r>
        <w:rPr>
          <w:rFonts w:hint="eastAsia" w:ascii="仿宋" w:hAnsi="仿宋" w:eastAsia="仿宋" w:cs="仿宋"/>
          <w:color w:val="000000"/>
          <w:sz w:val="24"/>
          <w:szCs w:val="24"/>
        </w:rPr>
        <w:t>内响应，并提供远程电话技术支持；</w:t>
      </w:r>
      <w:r>
        <w:rPr>
          <w:rFonts w:hint="eastAsia" w:ascii="仿宋" w:hAnsi="仿宋" w:eastAsia="仿宋" w:cs="仿宋"/>
          <w:color w:val="000000"/>
          <w:sz w:val="24"/>
          <w:szCs w:val="24"/>
          <w:lang w:val="en-US" w:eastAsia="zh-CN"/>
        </w:rPr>
        <w:t>60分钟</w:t>
      </w:r>
      <w:r>
        <w:rPr>
          <w:rFonts w:hint="eastAsia" w:ascii="仿宋" w:hAnsi="仿宋" w:eastAsia="仿宋" w:cs="仿宋"/>
          <w:color w:val="000000"/>
          <w:sz w:val="24"/>
          <w:szCs w:val="24"/>
        </w:rPr>
        <w:t xml:space="preserve">内到达设备使用现场进行故障处理，排除问题；技术人员无法解决系统故障需其他专业人员协助时，需 </w:t>
      </w:r>
      <w:r>
        <w:rPr>
          <w:rFonts w:hint="eastAsia" w:ascii="仿宋" w:hAnsi="仿宋" w:eastAsia="仿宋" w:cs="仿宋"/>
          <w:color w:val="000000"/>
          <w:sz w:val="24"/>
          <w:szCs w:val="24"/>
          <w:lang w:val="en-US" w:eastAsia="zh-CN"/>
        </w:rPr>
        <w:t>180分钟</w:t>
      </w:r>
      <w:r>
        <w:rPr>
          <w:rFonts w:hint="eastAsia" w:ascii="仿宋" w:hAnsi="仿宋" w:eastAsia="仿宋" w:cs="仿宋"/>
          <w:color w:val="000000"/>
          <w:sz w:val="24"/>
          <w:szCs w:val="24"/>
        </w:rPr>
        <w:t>内到达现场进行维修处理。</w:t>
      </w:r>
    </w:p>
    <w:p w14:paraId="65BBFA36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hanging="360"/>
        <w:jc w:val="left"/>
        <w:rPr>
          <w:rFonts w:hint="eastAsia" w:ascii="仿宋" w:hAnsi="仿宋" w:eastAsia="仿宋" w:cs="仿宋"/>
          <w:color w:val="00000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z w:val="24"/>
          <w:szCs w:val="24"/>
        </w:rPr>
        <w:t>系统需具备完善的数据安全保障机制，实现医疗数据的加密存储、定期备份及快速恢复，严格遵守医疗数据安全管理相关规定，保障数据的安全性、准确性、完整性。</w:t>
      </w:r>
    </w:p>
    <w:p w14:paraId="34F93D5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/>
        <w:jc w:val="left"/>
        <w:rPr>
          <w:rFonts w:hint="eastAsia" w:ascii="仿宋" w:hAnsi="仿宋" w:eastAsia="仿宋" w:cs="仿宋"/>
          <w:color w:val="00000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z w:val="24"/>
          <w:szCs w:val="24"/>
        </w:rPr>
        <w:t>三、递交资料要求（均需加盖公章）</w:t>
      </w:r>
    </w:p>
    <w:p w14:paraId="7557B02C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hanging="360"/>
        <w:jc w:val="left"/>
        <w:rPr>
          <w:rFonts w:hint="eastAsia" w:ascii="仿宋" w:hAnsi="仿宋" w:eastAsia="仿宋" w:cs="仿宋"/>
          <w:color w:val="00000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z w:val="24"/>
          <w:szCs w:val="24"/>
        </w:rPr>
        <w:t>营业执照等相关资质复印件（需具备软件研发、医疗信息化服务相关资质）；</w:t>
      </w:r>
    </w:p>
    <w:p w14:paraId="5A293FE2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hanging="360"/>
        <w:jc w:val="left"/>
        <w:rPr>
          <w:rFonts w:hint="eastAsia" w:ascii="仿宋" w:hAnsi="仿宋" w:eastAsia="仿宋" w:cs="仿宋"/>
          <w:color w:val="00000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z w:val="24"/>
          <w:szCs w:val="24"/>
        </w:rPr>
        <w:t>公司简介及联系人、联系方式（含办公电话、手机、邮箱）；</w:t>
      </w:r>
    </w:p>
    <w:p w14:paraId="65250064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hanging="360"/>
        <w:jc w:val="left"/>
        <w:rPr>
          <w:rFonts w:hint="eastAsia" w:ascii="仿宋" w:hAnsi="仿宋" w:eastAsia="仿宋" w:cs="仿宋"/>
          <w:color w:val="00000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z w:val="24"/>
          <w:szCs w:val="24"/>
        </w:rPr>
        <w:t>法定代表人证明书、法人身份证复印件或授权委托书、授权人身份证复印件；</w:t>
      </w:r>
    </w:p>
    <w:p w14:paraId="5626E090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hanging="360"/>
        <w:jc w:val="left"/>
        <w:rPr>
          <w:rFonts w:hint="eastAsia" w:ascii="仿宋" w:hAnsi="仿宋" w:eastAsia="仿宋" w:cs="仿宋"/>
          <w:color w:val="00000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z w:val="24"/>
          <w:szCs w:val="24"/>
        </w:rPr>
        <w:t>报价文件和方案（自拟），分模块服务方案需附各模块及接口服务单价；</w:t>
      </w:r>
    </w:p>
    <w:p w14:paraId="160ED8C0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hanging="360"/>
        <w:jc w:val="left"/>
        <w:rPr>
          <w:rFonts w:hint="eastAsia" w:ascii="仿宋" w:hAnsi="仿宋" w:eastAsia="仿宋" w:cs="仿宋"/>
          <w:color w:val="00000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z w:val="24"/>
          <w:szCs w:val="24"/>
        </w:rPr>
        <w:t>提供至少 3 个近三年医院精细化管理系统同类服务业绩情况，附有效合同副本、结算单据副本、发票凭证复印件三者之一作为证明材料，要求内容清晰并按填写附件 1 业绩情况表。</w:t>
      </w:r>
    </w:p>
    <w:p w14:paraId="278AF53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/>
        <w:jc w:val="left"/>
        <w:rPr>
          <w:rFonts w:hint="eastAsia" w:ascii="仿宋" w:hAnsi="仿宋" w:eastAsia="仿宋" w:cs="仿宋"/>
          <w:color w:val="00000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z w:val="24"/>
          <w:szCs w:val="24"/>
        </w:rPr>
        <w:t>四、报名要求</w:t>
      </w:r>
    </w:p>
    <w:p w14:paraId="6223299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/>
        <w:jc w:val="left"/>
        <w:rPr>
          <w:rFonts w:hint="eastAsia" w:ascii="仿宋" w:hAnsi="仿宋" w:eastAsia="仿宋" w:cs="仿宋"/>
          <w:color w:val="00000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有意参与供应商请于 2026 年 3 月 13 日 17：00 前，将相关资料发送至以下邮箱， 邮件标题为 “公司 + 中山市东升医院医院精细化管理系统项目 调研资料”，相关资料分两个附件发送：1.“公司 + 医院精细化管理系统调研资料” 命名，PDF 盖章文件，与递交的纸质版资料一致；2. 报价和业绩表，EXCEL 文件。同时原件需邮寄到以下地址。</w:t>
      </w:r>
    </w:p>
    <w:p w14:paraId="1678D98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/>
        <w:jc w:val="left"/>
        <w:rPr>
          <w:rFonts w:hint="eastAsia" w:ascii="仿宋" w:hAnsi="仿宋" w:eastAsia="仿宋" w:cs="仿宋"/>
          <w:color w:val="00000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z w:val="24"/>
          <w:szCs w:val="24"/>
        </w:rPr>
        <w:t>五、联系方式</w:t>
      </w:r>
    </w:p>
    <w:p w14:paraId="03221EF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/>
        <w:jc w:val="left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联系人：联系电话：戴老师0760-22824123/李老师 0760-22226306 邮寄地址：中山市小榄镇兆隆路一号之二东升医院1号楼三楼信息科 邮箱：15863203@qq.com</w:t>
      </w:r>
    </w:p>
    <w:p w14:paraId="1C8316F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/>
        <w:jc w:val="left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  <w:bookmarkStart w:id="0" w:name="_GoBack"/>
      <w:bookmarkEnd w:id="0"/>
    </w:p>
    <w:p w14:paraId="72F3457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/>
        <w:jc w:val="left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</w:p>
    <w:p w14:paraId="559A299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/>
        <w:jc w:val="left"/>
        <w:rPr>
          <w:rFonts w:hint="eastAsia" w:ascii="仿宋" w:hAnsi="仿宋" w:eastAsia="仿宋" w:cs="仿宋"/>
          <w:color w:val="000000"/>
          <w:sz w:val="24"/>
          <w:szCs w:val="24"/>
        </w:rPr>
      </w:pPr>
    </w:p>
    <w:p w14:paraId="097D08AE">
      <w:pPr>
        <w:spacing w:line="240" w:lineRule="auto"/>
        <w:rPr>
          <w:rFonts w:hint="eastAsia" w:ascii="仿宋" w:hAnsi="仿宋" w:eastAsia="仿宋" w:cs="仿宋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A76A471"/>
    <w:multiLevelType w:val="multilevel"/>
    <w:tmpl w:val="9A76A471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F7F4A7A7"/>
    <w:multiLevelType w:val="multilevel"/>
    <w:tmpl w:val="F7F4A7A7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FF8D98"/>
    <w:rsid w:val="11606A2B"/>
    <w:rsid w:val="2DFF8D98"/>
    <w:rsid w:val="4FE72304"/>
    <w:rsid w:val="5AC17A38"/>
    <w:rsid w:val="65CC633B"/>
    <w:rsid w:val="671D79D2"/>
    <w:rsid w:val="7DFCE810"/>
    <w:rsid w:val="7EEFB251"/>
    <w:rsid w:val="ADFB9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1878</Words>
  <Characters>1987</Characters>
  <Lines>0</Lines>
  <Paragraphs>0</Paragraphs>
  <TotalTime>14</TotalTime>
  <ScaleCrop>false</ScaleCrop>
  <LinksUpToDate>false</LinksUpToDate>
  <CharactersWithSpaces>2061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2026-03-03T09:17:00Z</dcterms:created>
  <dc:creator>Lee</dc:creator>
  <cp:lastModifiedBy>还不错</cp:lastModifiedBy>
  <cp:lastPrinted>2026-03-04T23:52:00Z</cp:lastPrinted>
  <dcterms:modified xsi:type="dcterms:W3CDTF">2026-03-06T09:31:31Z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3184012EF7A341FE878072C78B8DA3B3_13</vt:lpwstr>
  </property>
  <property fmtid="{D5CDD505-2E9C-101B-9397-08002B2CF9AE}" pid="4" name="KSOTemplateDocerSaveRecord">
    <vt:lpwstr>eyJoZGlkIjoiNTk5Y2UwNmIxOTBjNjYxZTFjMGQ0NjRlZTNlOWVlZjMiLCJ1c2VySWQiOiI0NDE3MTQyNjgifQ==</vt:lpwstr>
  </property>
</Properties>
</file>