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122647E3">
      <w:pPr>
        <w:spacing w:before="153" w:line="295" w:lineRule="auto"/>
        <w:ind w:right="191"/>
        <w:jc w:val="center"/>
        <w:outlineLvl w:val="0"/>
        <w:rPr>
          <w:rFonts w:hint="default" w:ascii="宋体" w:hAnsi="宋体" w:eastAsia="宋体" w:cs="宋体"/>
          <w:b/>
          <w:bCs/>
          <w:spacing w:val="-1"/>
          <w:sz w:val="47"/>
          <w:szCs w:val="47"/>
          <w:lang w:val="en-US" w:eastAsia="zh-CN"/>
        </w:rPr>
      </w:pPr>
      <w:r>
        <w:rPr>
          <w:rFonts w:hint="eastAsia" w:ascii="宋体" w:hAnsi="宋体" w:eastAsia="宋体" w:cs="宋体"/>
          <w:b/>
          <w:bCs/>
          <w:spacing w:val="-1"/>
          <w:sz w:val="47"/>
          <w:szCs w:val="47"/>
          <w:lang w:eastAsia="zh-CN"/>
        </w:rPr>
        <w:t>中山市东升医院拍卖代理服务项目（</w:t>
      </w:r>
      <w:r>
        <w:rPr>
          <w:rFonts w:hint="eastAsia" w:ascii="宋体" w:hAnsi="宋体" w:eastAsia="宋体" w:cs="宋体"/>
          <w:b/>
          <w:bCs/>
          <w:spacing w:val="-1"/>
          <w:sz w:val="47"/>
          <w:szCs w:val="47"/>
          <w:lang w:val="en-US" w:eastAsia="zh-CN"/>
        </w:rPr>
        <w:t>二次）</w:t>
      </w:r>
    </w:p>
    <w:p w14:paraId="61EA706F">
      <w:pPr>
        <w:spacing w:before="153" w:line="295" w:lineRule="auto"/>
        <w:ind w:right="191"/>
        <w:jc w:val="center"/>
        <w:outlineLvl w:val="0"/>
        <w:rPr>
          <w:rFonts w:ascii="宋体" w:hAnsi="宋体" w:eastAsia="宋体" w:cs="宋体"/>
          <w:sz w:val="47"/>
          <w:szCs w:val="47"/>
          <w:lang w:eastAsia="zh-CN"/>
        </w:rPr>
      </w:pPr>
      <w:r>
        <w:rPr>
          <w:rFonts w:ascii="宋体" w:hAnsi="宋体" w:eastAsia="宋体" w:cs="宋体"/>
          <w:b/>
          <w:bCs/>
          <w:spacing w:val="4"/>
          <w:sz w:val="47"/>
          <w:szCs w:val="47"/>
          <w:lang w:eastAsia="zh-CN"/>
        </w:rPr>
        <w:t>响应文件</w:t>
      </w:r>
    </w:p>
    <w:p w14:paraId="338CD2FE">
      <w:pPr>
        <w:pStyle w:val="2"/>
        <w:spacing w:line="247" w:lineRule="auto"/>
        <w:rPr>
          <w:lang w:eastAsia="zh-CN"/>
        </w:rPr>
      </w:pPr>
    </w:p>
    <w:p w14:paraId="1073FC52">
      <w:pPr>
        <w:pStyle w:val="2"/>
        <w:spacing w:line="247" w:lineRule="auto"/>
        <w:rPr>
          <w:lang w:eastAsia="zh-CN"/>
        </w:rPr>
      </w:pPr>
    </w:p>
    <w:p w14:paraId="76DBF516">
      <w:pPr>
        <w:pStyle w:val="2"/>
        <w:spacing w:line="247" w:lineRule="auto"/>
        <w:rPr>
          <w:lang w:eastAsia="zh-CN"/>
        </w:rPr>
      </w:pPr>
    </w:p>
    <w:p w14:paraId="7E46F770">
      <w:pPr>
        <w:pStyle w:val="2"/>
        <w:spacing w:line="247" w:lineRule="auto"/>
        <w:rPr>
          <w:lang w:eastAsia="zh-CN"/>
        </w:rPr>
      </w:pPr>
    </w:p>
    <w:p w14:paraId="769B815E">
      <w:pPr>
        <w:pStyle w:val="2"/>
        <w:spacing w:line="247" w:lineRule="auto"/>
        <w:rPr>
          <w:lang w:eastAsia="zh-CN"/>
        </w:rPr>
      </w:pPr>
    </w:p>
    <w:p w14:paraId="7B529BE3">
      <w:pPr>
        <w:pStyle w:val="2"/>
        <w:spacing w:line="247" w:lineRule="auto"/>
        <w:rPr>
          <w:lang w:eastAsia="zh-CN"/>
        </w:rPr>
      </w:pPr>
    </w:p>
    <w:p w14:paraId="16208457">
      <w:pPr>
        <w:pStyle w:val="2"/>
        <w:spacing w:line="247" w:lineRule="auto"/>
        <w:rPr>
          <w:lang w:eastAsia="zh-CN"/>
        </w:rPr>
      </w:pPr>
    </w:p>
    <w:p w14:paraId="5723285D">
      <w:pPr>
        <w:pStyle w:val="2"/>
        <w:spacing w:line="248" w:lineRule="auto"/>
        <w:rPr>
          <w:lang w:eastAsia="zh-CN"/>
        </w:rPr>
      </w:pPr>
    </w:p>
    <w:p w14:paraId="37C9723C">
      <w:pPr>
        <w:pStyle w:val="2"/>
        <w:spacing w:line="248" w:lineRule="auto"/>
        <w:rPr>
          <w:lang w:eastAsia="zh-CN"/>
        </w:rPr>
      </w:pPr>
    </w:p>
    <w:p w14:paraId="58D11985">
      <w:pPr>
        <w:pStyle w:val="2"/>
        <w:spacing w:line="248" w:lineRule="auto"/>
        <w:rPr>
          <w:lang w:eastAsia="zh-CN"/>
        </w:rPr>
      </w:pPr>
    </w:p>
    <w:p w14:paraId="5E2B3D32">
      <w:pPr>
        <w:pStyle w:val="2"/>
        <w:spacing w:line="248" w:lineRule="auto"/>
        <w:rPr>
          <w:lang w:eastAsia="zh-CN"/>
        </w:rPr>
      </w:pPr>
    </w:p>
    <w:p w14:paraId="7F891FFF">
      <w:pPr>
        <w:pStyle w:val="2"/>
        <w:spacing w:line="248" w:lineRule="auto"/>
        <w:rPr>
          <w:lang w:eastAsia="zh-CN"/>
        </w:rPr>
      </w:pPr>
    </w:p>
    <w:p w14:paraId="2B03D7A3">
      <w:pPr>
        <w:pStyle w:val="2"/>
        <w:spacing w:line="248" w:lineRule="auto"/>
        <w:rPr>
          <w:lang w:eastAsia="zh-CN"/>
        </w:rPr>
      </w:pPr>
    </w:p>
    <w:p w14:paraId="21F1022D">
      <w:pPr>
        <w:pStyle w:val="2"/>
        <w:spacing w:line="248" w:lineRule="auto"/>
        <w:rPr>
          <w:lang w:eastAsia="zh-CN"/>
        </w:rPr>
      </w:pPr>
    </w:p>
    <w:p w14:paraId="2F827075">
      <w:pPr>
        <w:pStyle w:val="2"/>
        <w:spacing w:line="248" w:lineRule="auto"/>
        <w:rPr>
          <w:lang w:eastAsia="zh-CN"/>
        </w:rPr>
      </w:pPr>
    </w:p>
    <w:p w14:paraId="0713AC1F">
      <w:pPr>
        <w:pStyle w:val="2"/>
        <w:spacing w:line="248" w:lineRule="auto"/>
        <w:rPr>
          <w:lang w:eastAsia="zh-CN"/>
        </w:rPr>
      </w:pPr>
    </w:p>
    <w:p w14:paraId="7F42F37A">
      <w:pPr>
        <w:pStyle w:val="2"/>
        <w:spacing w:line="248" w:lineRule="auto"/>
        <w:rPr>
          <w:lang w:eastAsia="zh-CN"/>
        </w:rPr>
      </w:pPr>
    </w:p>
    <w:p w14:paraId="514364A2">
      <w:pPr>
        <w:pStyle w:val="2"/>
        <w:spacing w:line="248" w:lineRule="auto"/>
        <w:rPr>
          <w:lang w:eastAsia="zh-CN"/>
        </w:rPr>
      </w:pPr>
    </w:p>
    <w:p w14:paraId="1626D0EF">
      <w:pPr>
        <w:pStyle w:val="2"/>
        <w:spacing w:line="248" w:lineRule="auto"/>
        <w:rPr>
          <w:lang w:eastAsia="zh-CN"/>
        </w:rPr>
      </w:pPr>
    </w:p>
    <w:p w14:paraId="7464C756">
      <w:pPr>
        <w:pStyle w:val="2"/>
        <w:spacing w:line="248" w:lineRule="auto"/>
        <w:rPr>
          <w:lang w:eastAsia="zh-CN"/>
        </w:rPr>
      </w:pPr>
    </w:p>
    <w:p w14:paraId="62F413E0">
      <w:pPr>
        <w:pStyle w:val="2"/>
        <w:spacing w:line="248" w:lineRule="auto"/>
        <w:rPr>
          <w:lang w:eastAsia="zh-CN"/>
        </w:rPr>
      </w:pPr>
    </w:p>
    <w:p w14:paraId="3BD43258">
      <w:pPr>
        <w:spacing w:before="78" w:line="219" w:lineRule="auto"/>
        <w:ind w:left="1702"/>
        <w:outlineLvl w:val="0"/>
        <w:rPr>
          <w:rFonts w:ascii="宋体" w:hAnsi="宋体" w:eastAsia="宋体" w:cs="宋体"/>
          <w:sz w:val="24"/>
          <w:szCs w:val="24"/>
          <w:lang w:eastAsia="zh-CN"/>
        </w:rPr>
      </w:pPr>
      <w:r>
        <w:rPr>
          <w:rFonts w:ascii="宋体" w:hAnsi="宋体" w:eastAsia="宋体" w:cs="宋体"/>
          <w:spacing w:val="-2"/>
          <w:sz w:val="24"/>
          <w:szCs w:val="24"/>
          <w:lang w:eastAsia="zh-CN"/>
        </w:rPr>
        <w:t>报名单位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41B67F3C">
      <w:pPr>
        <w:spacing w:before="183" w:line="221" w:lineRule="auto"/>
        <w:ind w:left="1705"/>
        <w:outlineLvl w:val="0"/>
        <w:rPr>
          <w:rFonts w:ascii="宋体" w:hAnsi="宋体" w:eastAsia="宋体" w:cs="宋体"/>
          <w:sz w:val="24"/>
          <w:szCs w:val="24"/>
          <w:lang w:eastAsia="zh-CN"/>
        </w:rPr>
      </w:pPr>
      <w:r>
        <w:rPr>
          <w:rFonts w:ascii="宋体" w:hAnsi="宋体" w:eastAsia="宋体" w:cs="宋体"/>
          <w:spacing w:val="-3"/>
          <w:sz w:val="24"/>
          <w:szCs w:val="24"/>
          <w:lang w:eastAsia="zh-CN"/>
        </w:rPr>
        <w:t>联系人：</w:t>
      </w:r>
    </w:p>
    <w:p w14:paraId="6F66936F">
      <w:pPr>
        <w:spacing w:before="178" w:line="221" w:lineRule="auto"/>
        <w:ind w:left="1705"/>
        <w:outlineLvl w:val="0"/>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4CABE41A">
      <w:pPr>
        <w:spacing w:before="180" w:line="220" w:lineRule="auto"/>
        <w:ind w:left="1722"/>
        <w:outlineLvl w:val="0"/>
        <w:rPr>
          <w:rFonts w:ascii="宋体" w:hAnsi="宋体" w:eastAsia="宋体" w:cs="宋体"/>
          <w:sz w:val="24"/>
          <w:szCs w:val="24"/>
          <w:lang w:eastAsia="zh-CN"/>
        </w:rPr>
      </w:pPr>
      <w:r>
        <w:rPr>
          <w:rFonts w:ascii="宋体" w:hAnsi="宋体" w:eastAsia="宋体" w:cs="宋体"/>
          <w:spacing w:val="-10"/>
          <w:sz w:val="24"/>
          <w:szCs w:val="24"/>
          <w:lang w:eastAsia="zh-CN"/>
        </w:rPr>
        <w:t>邮箱：</w:t>
      </w:r>
    </w:p>
    <w:p w14:paraId="466896BE">
      <w:pPr>
        <w:spacing w:line="22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spacing w:before="229" w:line="378" w:lineRule="auto"/>
        <w:ind w:left="120" w:right="113" w:firstLine="421"/>
        <w:jc w:val="both"/>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4AE4FFC3">
      <w:pPr>
        <w:spacing w:before="76"/>
      </w:pPr>
    </w:p>
    <w:p w14:paraId="145C478F">
      <w:pPr>
        <w:spacing w:before="76"/>
      </w:pPr>
    </w:p>
    <w:p w14:paraId="06CE8DBD">
      <w:pPr>
        <w:spacing w:before="76"/>
      </w:pPr>
    </w:p>
    <w:tbl>
      <w:tblPr>
        <w:tblStyle w:val="6"/>
        <w:tblW w:w="85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64"/>
        <w:gridCol w:w="2943"/>
        <w:gridCol w:w="2413"/>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jc w:val="center"/>
        </w:trPr>
        <w:tc>
          <w:tcPr>
            <w:tcW w:w="3164"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2943"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eastAsia="zh-CN"/>
              </w:rPr>
              <w:t>佣金费</w:t>
            </w:r>
            <w:r>
              <w:rPr>
                <w:rFonts w:ascii="宋体" w:hAnsi="宋体" w:eastAsia="宋体" w:cs="宋体"/>
                <w:b/>
                <w:bCs/>
                <w:spacing w:val="-8"/>
                <w:sz w:val="24"/>
                <w:szCs w:val="24"/>
              </w:rPr>
              <w:t>率</w:t>
            </w:r>
            <w:r>
              <w:rPr>
                <w:rFonts w:hint="eastAsia" w:ascii="宋体" w:hAnsi="宋体" w:eastAsia="宋体" w:cs="宋体"/>
                <w:b/>
                <w:bCs/>
                <w:spacing w:val="-8"/>
                <w:sz w:val="24"/>
                <w:szCs w:val="24"/>
                <w:lang w:eastAsia="zh-CN"/>
              </w:rPr>
              <w:t>（%）</w:t>
            </w:r>
          </w:p>
        </w:tc>
        <w:tc>
          <w:tcPr>
            <w:tcW w:w="2413"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jc w:val="center"/>
        </w:trPr>
        <w:tc>
          <w:tcPr>
            <w:tcW w:w="3164"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spacing w:val="2"/>
                <w:sz w:val="24"/>
                <w:szCs w:val="24"/>
                <w:lang w:eastAsia="zh-CN"/>
              </w:rPr>
              <w:t>中山市东升医院拍卖代理服务项目（</w:t>
            </w:r>
            <w:r>
              <w:rPr>
                <w:rFonts w:hint="eastAsia" w:ascii="宋体" w:hAnsi="宋体" w:eastAsia="宋体" w:cs="宋体"/>
                <w:spacing w:val="2"/>
                <w:sz w:val="24"/>
                <w:szCs w:val="24"/>
                <w:lang w:val="en-US" w:eastAsia="zh-CN"/>
              </w:rPr>
              <w:t>二次）</w:t>
            </w:r>
          </w:p>
        </w:tc>
        <w:tc>
          <w:tcPr>
            <w:tcW w:w="2943" w:type="dxa"/>
            <w:vAlign w:val="center"/>
          </w:tcPr>
          <w:p w14:paraId="7DDAFCE5">
            <w:pPr>
              <w:tabs>
                <w:tab w:val="left" w:pos="1770"/>
              </w:tabs>
              <w:jc w:val="center"/>
              <w:outlineLvl w:val="0"/>
              <w:rPr>
                <w:rFonts w:ascii="宋体" w:hAnsi="宋体" w:eastAsia="宋体" w:cs="宋体"/>
                <w:sz w:val="24"/>
                <w:szCs w:val="24"/>
              </w:rPr>
            </w:pP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w:t>
            </w:r>
          </w:p>
        </w:tc>
        <w:tc>
          <w:tcPr>
            <w:tcW w:w="2413" w:type="dxa"/>
            <w:vAlign w:val="center"/>
          </w:tcPr>
          <w:p w14:paraId="417A2084">
            <w:pPr>
              <w:jc w:val="center"/>
            </w:pPr>
          </w:p>
        </w:tc>
      </w:tr>
    </w:tbl>
    <w:p w14:paraId="0CFDB52E">
      <w:pPr>
        <w:pStyle w:val="2"/>
        <w:spacing w:line="371" w:lineRule="auto"/>
      </w:pPr>
    </w:p>
    <w:p w14:paraId="675AB2DE">
      <w:pPr>
        <w:spacing w:before="166" w:line="226" w:lineRule="auto"/>
        <w:ind w:left="119"/>
        <w:rPr>
          <w:rFonts w:hint="eastAsia" w:eastAsia="宋体"/>
          <w:lang w:eastAsia="zh-CN"/>
        </w:rPr>
      </w:pPr>
      <w:r>
        <w:rPr>
          <w:rFonts w:ascii="宋体" w:hAnsi="宋体" w:eastAsia="宋体" w:cs="宋体"/>
          <w:b/>
          <w:bCs/>
          <w:spacing w:val="7"/>
          <w:sz w:val="20"/>
          <w:szCs w:val="20"/>
          <w:lang w:eastAsia="zh-CN"/>
        </w:rPr>
        <w:t>注意：</w:t>
      </w:r>
      <w:r>
        <w:rPr>
          <w:rFonts w:hint="eastAsia" w:ascii="宋体" w:hAnsi="宋体" w:eastAsia="宋体" w:cs="宋体"/>
          <w:b/>
          <w:bCs/>
          <w:spacing w:val="7"/>
          <w:sz w:val="20"/>
          <w:szCs w:val="20"/>
          <w:lang w:eastAsia="zh-CN"/>
        </w:rPr>
        <w:t>本项目佣金费率参照《中华人民共和国拍卖法》相关规定执行，最高不超过成交价款的5%；若报价超出此上限范围，该报价将被视为无效。本项目佣金费用由买受人承担。</w:t>
      </w:r>
    </w:p>
    <w:p w14:paraId="31EE09CF">
      <w:pPr>
        <w:pStyle w:val="2"/>
        <w:spacing w:line="246" w:lineRule="auto"/>
        <w:rPr>
          <w:lang w:eastAsia="zh-CN"/>
        </w:rPr>
      </w:pPr>
    </w:p>
    <w:p w14:paraId="06173646">
      <w:pPr>
        <w:pStyle w:val="2"/>
        <w:spacing w:line="247" w:lineRule="auto"/>
        <w:rPr>
          <w:lang w:eastAsia="zh-CN"/>
        </w:rPr>
      </w:pPr>
    </w:p>
    <w:p w14:paraId="5E5536D4">
      <w:pPr>
        <w:spacing w:before="79" w:line="219" w:lineRule="auto"/>
        <w:ind w:left="122"/>
        <w:rPr>
          <w:rFonts w:ascii="宋体" w:hAnsi="宋体" w:eastAsia="宋体" w:cs="宋体"/>
          <w:spacing w:val="2"/>
          <w:sz w:val="24"/>
          <w:szCs w:val="24"/>
          <w:lang w:eastAsia="zh-CN"/>
        </w:rPr>
      </w:pPr>
    </w:p>
    <w:p w14:paraId="443346DB">
      <w:pPr>
        <w:spacing w:before="79" w:line="219" w:lineRule="auto"/>
        <w:ind w:left="122"/>
        <w:rPr>
          <w:rFonts w:ascii="宋体" w:hAnsi="宋体" w:eastAsia="宋体" w:cs="宋体"/>
          <w:spacing w:val="2"/>
          <w:sz w:val="24"/>
          <w:szCs w:val="24"/>
          <w:lang w:eastAsia="zh-CN"/>
        </w:rPr>
      </w:pPr>
    </w:p>
    <w:p w14:paraId="7FE1AE2A">
      <w:pPr>
        <w:spacing w:before="79" w:line="219" w:lineRule="auto"/>
        <w:ind w:left="122"/>
        <w:rPr>
          <w:rFonts w:ascii="宋体" w:hAnsi="宋体" w:eastAsia="宋体" w:cs="宋体"/>
          <w:spacing w:val="2"/>
          <w:sz w:val="24"/>
          <w:szCs w:val="24"/>
          <w:lang w:eastAsia="zh-CN"/>
        </w:rPr>
      </w:pPr>
    </w:p>
    <w:p w14:paraId="6B7B6E8C">
      <w:pPr>
        <w:spacing w:before="79" w:line="219" w:lineRule="auto"/>
        <w:ind w:left="122"/>
        <w:rPr>
          <w:rFonts w:ascii="宋体" w:hAnsi="宋体" w:eastAsia="宋体" w:cs="宋体"/>
          <w:spacing w:val="2"/>
          <w:sz w:val="24"/>
          <w:szCs w:val="24"/>
          <w:lang w:eastAsia="zh-CN"/>
        </w:rPr>
      </w:pPr>
    </w:p>
    <w:p w14:paraId="4E8D04A3">
      <w:pPr>
        <w:spacing w:before="79" w:line="219" w:lineRule="auto"/>
        <w:ind w:left="122"/>
        <w:rPr>
          <w:rFonts w:ascii="宋体" w:hAnsi="宋体" w:eastAsia="宋体" w:cs="宋体"/>
          <w:spacing w:val="2"/>
          <w:sz w:val="24"/>
          <w:szCs w:val="24"/>
          <w:lang w:eastAsia="zh-CN"/>
        </w:rPr>
      </w:pPr>
    </w:p>
    <w:p w14:paraId="0BE7F949">
      <w:pPr>
        <w:spacing w:before="79" w:line="219" w:lineRule="auto"/>
        <w:ind w:left="122"/>
        <w:rPr>
          <w:rFonts w:ascii="宋体" w:hAnsi="宋体" w:eastAsia="宋体" w:cs="宋体"/>
          <w:spacing w:val="2"/>
          <w:sz w:val="24"/>
          <w:szCs w:val="24"/>
          <w:lang w:eastAsia="zh-CN"/>
        </w:rPr>
      </w:pPr>
    </w:p>
    <w:p w14:paraId="0128495C">
      <w:pPr>
        <w:spacing w:before="79" w:line="219" w:lineRule="auto"/>
        <w:ind w:left="122"/>
        <w:rPr>
          <w:rFonts w:ascii="宋体" w:hAnsi="宋体" w:eastAsia="宋体" w:cs="宋体"/>
          <w:spacing w:val="2"/>
          <w:sz w:val="24"/>
          <w:szCs w:val="24"/>
          <w:lang w:eastAsia="zh-CN"/>
        </w:rPr>
      </w:pPr>
    </w:p>
    <w:p w14:paraId="0DBCA2B2">
      <w:pPr>
        <w:spacing w:before="79" w:line="219" w:lineRule="auto"/>
        <w:ind w:left="122"/>
        <w:rPr>
          <w:rFonts w:ascii="宋体" w:hAnsi="宋体" w:eastAsia="宋体" w:cs="宋体"/>
          <w:spacing w:val="2"/>
          <w:sz w:val="24"/>
          <w:szCs w:val="24"/>
          <w:lang w:eastAsia="zh-CN"/>
        </w:rPr>
      </w:pPr>
    </w:p>
    <w:p w14:paraId="52251666">
      <w:pPr>
        <w:spacing w:before="79" w:line="219" w:lineRule="auto"/>
        <w:ind w:left="122"/>
        <w:rPr>
          <w:rFonts w:ascii="宋体" w:hAnsi="宋体" w:eastAsia="宋体" w:cs="宋体"/>
          <w:spacing w:val="2"/>
          <w:sz w:val="24"/>
          <w:szCs w:val="24"/>
          <w:lang w:eastAsia="zh-CN"/>
        </w:rPr>
      </w:pPr>
    </w:p>
    <w:p w14:paraId="5F66F77B">
      <w:pPr>
        <w:spacing w:before="79" w:line="219" w:lineRule="auto"/>
        <w:ind w:left="122"/>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2"/>
        <w:spacing w:line="325" w:lineRule="auto"/>
        <w:rPr>
          <w:lang w:eastAsia="zh-CN"/>
        </w:rPr>
      </w:pPr>
    </w:p>
    <w:p w14:paraId="0DF79E5D">
      <w:pPr>
        <w:pStyle w:val="2"/>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eastAsia="zh-CN"/>
        </w:rPr>
        <w:t>中山市东升医院拍卖代理服务项目（</w:t>
      </w:r>
      <w:r>
        <w:rPr>
          <w:rFonts w:hint="eastAsia" w:ascii="宋体" w:hAnsi="宋体" w:eastAsia="宋体" w:cs="宋体"/>
          <w:spacing w:val="-1"/>
          <w:sz w:val="24"/>
          <w:szCs w:val="24"/>
          <w:u w:val="single"/>
          <w:lang w:val="en-US" w:eastAsia="zh-CN"/>
        </w:rPr>
        <w:t>二次）</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w:t>
      </w:r>
      <w:r>
        <w:rPr>
          <w:rFonts w:hint="eastAsia" w:ascii="宋体" w:hAnsi="宋体" w:eastAsia="宋体" w:cs="宋体"/>
          <w:spacing w:val="-3"/>
          <w:sz w:val="24"/>
          <w:szCs w:val="24"/>
          <w:lang w:eastAsia="zh-CN"/>
        </w:rPr>
        <w:t>服务</w:t>
      </w:r>
      <w:r>
        <w:rPr>
          <w:rFonts w:ascii="宋体" w:hAnsi="宋体" w:eastAsia="宋体" w:cs="宋体"/>
          <w:spacing w:val="-3"/>
          <w:sz w:val="24"/>
          <w:szCs w:val="24"/>
          <w:lang w:eastAsia="zh-CN"/>
        </w:rPr>
        <w:t>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2"/>
        <w:spacing w:line="281" w:lineRule="auto"/>
        <w:rPr>
          <w:lang w:eastAsia="zh-CN"/>
        </w:rPr>
      </w:pPr>
    </w:p>
    <w:p w14:paraId="531F2256">
      <w:pPr>
        <w:pStyle w:val="2"/>
        <w:spacing w:line="281" w:lineRule="auto"/>
        <w:rPr>
          <w:lang w:eastAsia="zh-CN"/>
        </w:rPr>
      </w:pPr>
    </w:p>
    <w:p w14:paraId="1757552E">
      <w:pPr>
        <w:pStyle w:val="2"/>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4858F39C">
      <w:pPr>
        <w:spacing w:before="41" w:line="228" w:lineRule="auto"/>
        <w:rPr>
          <w:rFonts w:ascii="宋体" w:hAnsi="宋体" w:eastAsia="宋体" w:cs="宋体"/>
          <w:sz w:val="20"/>
          <w:szCs w:val="20"/>
          <w:lang w:eastAsia="zh-CN"/>
        </w:r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具备独立承担民事责任的能力：应为在中华人民共和国境内注册的法人、其他组织或自然人，并于投标（响应）时提交有效的营业执照（拍卖行业）副本复印件及拍卖经营批准证书。；</w:t>
      </w:r>
    </w:p>
    <w:p w14:paraId="7742BFE6">
      <w:pPr>
        <w:spacing w:line="22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2"/>
        <w:spacing w:line="264" w:lineRule="auto"/>
        <w:rPr>
          <w:lang w:eastAsia="zh-CN"/>
        </w:rPr>
      </w:pPr>
    </w:p>
    <w:p w14:paraId="7669B1F2">
      <w:pPr>
        <w:pStyle w:val="2"/>
        <w:spacing w:line="264" w:lineRule="auto"/>
        <w:rPr>
          <w:lang w:eastAsia="zh-CN"/>
        </w:rPr>
      </w:pPr>
    </w:p>
    <w:p w14:paraId="35AD54B7">
      <w:pPr>
        <w:pStyle w:val="2"/>
        <w:spacing w:line="265" w:lineRule="auto"/>
        <w:rPr>
          <w:lang w:eastAsia="zh-CN"/>
        </w:rPr>
      </w:pPr>
    </w:p>
    <w:p w14:paraId="2B647D9C">
      <w:pPr>
        <w:pStyle w:val="2"/>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2"/>
        <w:spacing w:line="296" w:lineRule="auto"/>
        <w:rPr>
          <w:lang w:eastAsia="zh-CN"/>
        </w:rPr>
      </w:pPr>
    </w:p>
    <w:p w14:paraId="6CE3F126">
      <w:pPr>
        <w:pStyle w:val="2"/>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2"/>
        <w:spacing w:line="296" w:lineRule="auto"/>
        <w:rPr>
          <w:lang w:eastAsia="zh-CN"/>
        </w:rPr>
      </w:pPr>
    </w:p>
    <w:p w14:paraId="161E9A72">
      <w:pPr>
        <w:pStyle w:val="2"/>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2"/>
        <w:spacing w:line="267" w:lineRule="auto"/>
        <w:rPr>
          <w:lang w:eastAsia="zh-CN"/>
        </w:rPr>
      </w:pPr>
    </w:p>
    <w:p w14:paraId="74CD3E9F">
      <w:pPr>
        <w:pStyle w:val="2"/>
        <w:spacing w:line="267" w:lineRule="auto"/>
        <w:rPr>
          <w:lang w:eastAsia="zh-CN"/>
        </w:rPr>
      </w:pPr>
    </w:p>
    <w:p w14:paraId="663913BF">
      <w:pPr>
        <w:pStyle w:val="2"/>
        <w:spacing w:line="267" w:lineRule="auto"/>
        <w:rPr>
          <w:lang w:eastAsia="zh-CN"/>
        </w:rPr>
      </w:pPr>
    </w:p>
    <w:p w14:paraId="37346176">
      <w:pPr>
        <w:pStyle w:val="2"/>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2"/>
        <w:spacing w:line="273" w:lineRule="auto"/>
      </w:pPr>
    </w:p>
    <w:p w14:paraId="59ACC4F7">
      <w:pPr>
        <w:pStyle w:val="2"/>
        <w:spacing w:line="273" w:lineRule="auto"/>
      </w:pPr>
    </w:p>
    <w:p w14:paraId="72D9DF12">
      <w:pPr>
        <w:pStyle w:val="2"/>
        <w:spacing w:line="273" w:lineRule="auto"/>
      </w:pPr>
    </w:p>
    <w:p w14:paraId="32571043">
      <w:pPr>
        <w:pStyle w:val="2"/>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2"/>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2"/>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eastAsia="zh-CN"/>
        </w:rPr>
        <w:t>中山市东升医院拍卖代理服务项目（</w:t>
      </w:r>
      <w:r>
        <w:rPr>
          <w:rFonts w:hint="eastAsia" w:ascii="宋体" w:hAnsi="宋体" w:eastAsia="宋体" w:cs="宋体"/>
          <w:spacing w:val="-1"/>
          <w:sz w:val="24"/>
          <w:szCs w:val="24"/>
          <w:u w:val="single"/>
          <w:lang w:val="en-US" w:eastAsia="zh-CN"/>
        </w:rPr>
        <w:t>二次）</w:t>
      </w:r>
      <w:bookmarkStart w:id="0" w:name="_GoBack"/>
      <w:bookmarkEnd w:id="0"/>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2"/>
          <w:sz w:val="24"/>
          <w:szCs w:val="24"/>
          <w:lang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2"/>
          <w:sz w:val="24"/>
          <w:szCs w:val="24"/>
          <w:lang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2"/>
          <w:sz w:val="24"/>
          <w:szCs w:val="24"/>
          <w:lang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2"/>
          <w:sz w:val="24"/>
          <w:szCs w:val="24"/>
          <w:lang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2"/>
        <w:spacing w:line="283" w:lineRule="auto"/>
        <w:rPr>
          <w:lang w:eastAsia="zh-CN"/>
        </w:rPr>
      </w:pPr>
    </w:p>
    <w:p w14:paraId="6F145D85">
      <w:pPr>
        <w:pStyle w:val="2"/>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2"/>
        <w:spacing w:line="277" w:lineRule="auto"/>
        <w:rPr>
          <w:lang w:eastAsia="zh-CN"/>
        </w:rPr>
      </w:pPr>
    </w:p>
    <w:p w14:paraId="130A4A24">
      <w:pPr>
        <w:pStyle w:val="2"/>
        <w:spacing w:line="277" w:lineRule="auto"/>
        <w:rPr>
          <w:lang w:eastAsia="zh-CN"/>
        </w:rPr>
      </w:pPr>
    </w:p>
    <w:p w14:paraId="379E201F">
      <w:pPr>
        <w:pStyle w:val="2"/>
        <w:spacing w:line="277" w:lineRule="auto"/>
        <w:rPr>
          <w:lang w:eastAsia="zh-CN"/>
        </w:rPr>
      </w:pPr>
    </w:p>
    <w:p w14:paraId="4C47DA1B">
      <w:pPr>
        <w:pStyle w:val="2"/>
        <w:spacing w:line="278" w:lineRule="auto"/>
        <w:rPr>
          <w:lang w:eastAsia="zh-CN"/>
        </w:rPr>
      </w:pPr>
    </w:p>
    <w:p w14:paraId="4CD07A94">
      <w:pPr>
        <w:pStyle w:val="2"/>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line="378" w:lineRule="auto"/>
        <w:rPr>
          <w:rFonts w:ascii="宋体" w:hAnsi="宋体" w:eastAsia="宋体" w:cs="宋体"/>
          <w:b/>
          <w:bCs/>
          <w:spacing w:val="6"/>
          <w:sz w:val="20"/>
          <w:szCs w:val="20"/>
          <w:lang w:eastAsia="zh-CN"/>
        </w:rPr>
      </w:pPr>
      <w:r>
        <w:rPr>
          <w:rFonts w:ascii="宋体" w:hAnsi="宋体" w:eastAsia="宋体" w:cs="宋体"/>
          <w:b/>
          <w:bCs/>
          <w:spacing w:val="6"/>
          <w:sz w:val="20"/>
          <w:szCs w:val="20"/>
          <w:lang w:eastAsia="zh-CN"/>
        </w:rPr>
        <w:t>七、</w:t>
      </w:r>
      <w:r>
        <w:rPr>
          <w:rFonts w:hint="eastAsia" w:ascii="宋体" w:hAnsi="宋体" w:eastAsia="宋体" w:cs="宋体"/>
          <w:b/>
          <w:bCs/>
          <w:spacing w:val="6"/>
          <w:sz w:val="20"/>
          <w:szCs w:val="20"/>
          <w:lang w:eastAsia="zh-CN"/>
        </w:rPr>
        <w:t>提供202</w:t>
      </w:r>
      <w:r>
        <w:rPr>
          <w:rFonts w:hint="eastAsia" w:ascii="宋体" w:hAnsi="宋体" w:eastAsia="宋体" w:cs="宋体"/>
          <w:b/>
          <w:bCs/>
          <w:spacing w:val="6"/>
          <w:sz w:val="20"/>
          <w:szCs w:val="20"/>
          <w:lang w:val="en-US" w:eastAsia="zh-CN"/>
        </w:rPr>
        <w:t>5年度财务状况报告或基本开户行出具的资信证明。</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w:t>
      </w:r>
      <w:r>
        <w:rPr>
          <w:rFonts w:hint="eastAsia" w:ascii="宋体" w:hAnsi="宋体" w:eastAsia="宋体" w:cs="宋体"/>
          <w:b/>
          <w:bCs/>
          <w:spacing w:val="8"/>
          <w:sz w:val="20"/>
          <w:szCs w:val="20"/>
          <w:lang w:eastAsia="zh-CN"/>
        </w:rPr>
        <w:t>投标截止日前6个月内任意1个月</w:t>
      </w:r>
      <w:r>
        <w:rPr>
          <w:rFonts w:hint="eastAsia" w:ascii="宋体" w:hAnsi="宋体" w:eastAsia="宋体" w:cs="宋体"/>
          <w:b/>
          <w:bCs/>
          <w:spacing w:val="8"/>
          <w:sz w:val="20"/>
          <w:szCs w:val="20"/>
          <w:lang w:val="en-US" w:eastAsia="zh-CN"/>
        </w:rPr>
        <w:t>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378"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w:t>
      </w:r>
      <w:r>
        <w:rPr>
          <w:rFonts w:hint="eastAsia" w:ascii="宋体" w:hAnsi="宋体" w:eastAsia="宋体" w:cs="宋体"/>
          <w:b/>
          <w:bCs/>
          <w:spacing w:val="3"/>
          <w:sz w:val="20"/>
          <w:szCs w:val="20"/>
          <w:lang w:eastAsia="zh-CN"/>
        </w:rPr>
        <w:t>投标截止日前6个月内任意1个月</w:t>
      </w:r>
      <w:r>
        <w:rPr>
          <w:rFonts w:ascii="宋体" w:hAnsi="宋体" w:eastAsia="宋体" w:cs="宋体"/>
          <w:b/>
          <w:bCs/>
          <w:spacing w:val="3"/>
          <w:sz w:val="20"/>
          <w:szCs w:val="20"/>
          <w:lang w:eastAsia="zh-CN"/>
        </w:rPr>
        <w:t>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spacing w:before="44" w:line="373" w:lineRule="auto"/>
        <w:ind w:left="22" w:right="18" w:firstLine="1"/>
        <w:jc w:val="both"/>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spacing w:line="373"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654573B8">
      <w:pPr>
        <w:spacing w:before="137" w:line="433" w:lineRule="auto"/>
        <w:ind w:left="24" w:right="16" w:hanging="1"/>
        <w:rPr>
          <w:rFonts w:hint="eastAsia" w:ascii="宋体" w:hAnsi="宋体" w:eastAsia="宋体" w:cs="宋体"/>
          <w:b/>
          <w:bCs/>
          <w:spacing w:val="9"/>
          <w:sz w:val="20"/>
          <w:szCs w:val="20"/>
          <w:lang w:eastAsia="zh-CN"/>
        </w:rPr>
      </w:pPr>
      <w:r>
        <w:rPr>
          <w:rFonts w:ascii="宋体" w:hAnsi="宋体" w:eastAsia="宋体" w:cs="宋体"/>
          <w:b/>
          <w:bCs/>
          <w:spacing w:val="9"/>
          <w:sz w:val="20"/>
          <w:szCs w:val="20"/>
          <w:lang w:eastAsia="zh-CN"/>
        </w:rPr>
        <w:t>十一、</w:t>
      </w:r>
      <w:r>
        <w:rPr>
          <w:rFonts w:hint="eastAsia" w:ascii="宋体" w:hAnsi="宋体" w:eastAsia="宋体" w:cs="宋体"/>
          <w:b/>
          <w:bCs/>
          <w:spacing w:val="9"/>
          <w:sz w:val="20"/>
          <w:szCs w:val="20"/>
          <w:lang w:eastAsia="zh-CN"/>
        </w:rPr>
        <w:t>具备企业资质认证。</w:t>
      </w:r>
    </w:p>
    <w:p w14:paraId="52FCC882">
      <w:pPr>
        <w:spacing w:line="433"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647DC97B">
      <w:pPr>
        <w:spacing w:before="137" w:line="227" w:lineRule="auto"/>
        <w:rPr>
          <w:rFonts w:ascii="宋体" w:hAnsi="宋体" w:eastAsia="宋体" w:cs="宋体"/>
          <w:sz w:val="20"/>
          <w:szCs w:val="20"/>
          <w:lang w:eastAsia="zh-CN"/>
        </w:rPr>
      </w:pPr>
      <w:r>
        <w:rPr>
          <w:rFonts w:ascii="宋体" w:hAnsi="宋体" w:eastAsia="宋体" w:cs="宋体"/>
          <w:b/>
          <w:bCs/>
          <w:spacing w:val="6"/>
          <w:sz w:val="20"/>
          <w:szCs w:val="20"/>
          <w:lang w:eastAsia="zh-CN"/>
        </w:rPr>
        <w:t>十二、拟投入</w:t>
      </w:r>
      <w:r>
        <w:rPr>
          <w:rFonts w:hint="eastAsia" w:ascii="宋体" w:hAnsi="宋体" w:eastAsia="宋体" w:cs="宋体"/>
          <w:b/>
          <w:bCs/>
          <w:spacing w:val="6"/>
          <w:sz w:val="20"/>
          <w:szCs w:val="20"/>
          <w:lang w:eastAsia="zh-CN"/>
        </w:rPr>
        <w:t>项目的主要人员</w:t>
      </w:r>
      <w:r>
        <w:rPr>
          <w:rFonts w:ascii="宋体" w:hAnsi="宋体" w:eastAsia="宋体" w:cs="宋体"/>
          <w:b/>
          <w:bCs/>
          <w:spacing w:val="6"/>
          <w:sz w:val="20"/>
          <w:szCs w:val="20"/>
          <w:lang w:eastAsia="zh-CN"/>
        </w:rPr>
        <w:t>：</w:t>
      </w:r>
    </w:p>
    <w:p w14:paraId="0DB61A02">
      <w:pPr>
        <w:spacing w:before="13"/>
        <w:rPr>
          <w:lang w:eastAsia="zh-CN"/>
        </w:rPr>
      </w:pPr>
    </w:p>
    <w:tbl>
      <w:tblPr>
        <w:tblStyle w:val="6"/>
        <w:tblW w:w="8648"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9" w:hRule="atLeast"/>
        </w:trPr>
        <w:tc>
          <w:tcPr>
            <w:tcW w:w="568" w:type="dxa"/>
            <w:tcBorders>
              <w:top w:val="single" w:color="000000" w:sz="10" w:space="0"/>
              <w:left w:val="single" w:color="000000" w:sz="10" w:space="0"/>
            </w:tcBorders>
            <w:shd w:val="clear" w:color="auto" w:fill="FFFFFF" w:themeFill="background1"/>
            <w:vAlign w:val="center"/>
          </w:tcPr>
          <w:p w14:paraId="18B00B55">
            <w:pPr>
              <w:spacing w:before="205" w:line="229" w:lineRule="auto"/>
              <w:jc w:val="center"/>
              <w:rPr>
                <w:rFonts w:ascii="宋体" w:hAnsi="宋体" w:eastAsia="宋体" w:cs="宋体"/>
                <w:b/>
                <w:bCs/>
                <w:sz w:val="20"/>
                <w:szCs w:val="20"/>
              </w:rPr>
            </w:pPr>
            <w:r>
              <w:rPr>
                <w:rFonts w:ascii="宋体" w:hAnsi="宋体" w:eastAsia="宋体" w:cs="宋体"/>
                <w:b/>
                <w:bCs/>
                <w:spacing w:val="5"/>
                <w:sz w:val="20"/>
                <w:szCs w:val="20"/>
              </w:rPr>
              <w:t>序号</w:t>
            </w:r>
          </w:p>
        </w:tc>
        <w:tc>
          <w:tcPr>
            <w:tcW w:w="993" w:type="dxa"/>
            <w:tcBorders>
              <w:top w:val="single" w:color="000000" w:sz="10" w:space="0"/>
            </w:tcBorders>
            <w:shd w:val="clear" w:color="auto" w:fill="FFFFFF" w:themeFill="background1"/>
            <w:vAlign w:val="center"/>
          </w:tcPr>
          <w:p w14:paraId="3558036A">
            <w:pPr>
              <w:spacing w:before="205" w:line="228" w:lineRule="auto"/>
              <w:jc w:val="center"/>
              <w:rPr>
                <w:rFonts w:ascii="宋体" w:hAnsi="宋体" w:eastAsia="宋体" w:cs="宋体"/>
                <w:b/>
                <w:bCs/>
                <w:sz w:val="20"/>
                <w:szCs w:val="20"/>
              </w:rPr>
            </w:pPr>
            <w:r>
              <w:rPr>
                <w:rFonts w:ascii="宋体" w:hAnsi="宋体" w:eastAsia="宋体" w:cs="宋体"/>
                <w:b/>
                <w:bCs/>
                <w:spacing w:val="4"/>
                <w:sz w:val="20"/>
                <w:szCs w:val="20"/>
              </w:rPr>
              <w:t>姓名</w:t>
            </w:r>
          </w:p>
        </w:tc>
        <w:tc>
          <w:tcPr>
            <w:tcW w:w="992" w:type="dxa"/>
            <w:tcBorders>
              <w:top w:val="single" w:color="000000" w:sz="10" w:space="0"/>
            </w:tcBorders>
            <w:shd w:val="clear" w:color="auto" w:fill="FFFFFF" w:themeFill="background1"/>
            <w:vAlign w:val="center"/>
          </w:tcPr>
          <w:p w14:paraId="2A9E5148">
            <w:pPr>
              <w:spacing w:before="206" w:line="228" w:lineRule="auto"/>
              <w:jc w:val="center"/>
              <w:rPr>
                <w:rFonts w:ascii="宋体" w:hAnsi="宋体" w:eastAsia="宋体" w:cs="宋体"/>
                <w:b/>
                <w:bCs/>
                <w:sz w:val="20"/>
                <w:szCs w:val="20"/>
              </w:rPr>
            </w:pPr>
            <w:r>
              <w:rPr>
                <w:rFonts w:ascii="宋体" w:hAnsi="宋体" w:eastAsia="宋体" w:cs="宋体"/>
                <w:b/>
                <w:bCs/>
                <w:spacing w:val="3"/>
                <w:sz w:val="20"/>
                <w:szCs w:val="20"/>
              </w:rPr>
              <w:t>性别</w:t>
            </w:r>
          </w:p>
        </w:tc>
        <w:tc>
          <w:tcPr>
            <w:tcW w:w="850" w:type="dxa"/>
            <w:tcBorders>
              <w:top w:val="single" w:color="000000" w:sz="10" w:space="0"/>
            </w:tcBorders>
            <w:shd w:val="clear" w:color="auto" w:fill="FFFFFF" w:themeFill="background1"/>
            <w:vAlign w:val="center"/>
          </w:tcPr>
          <w:p w14:paraId="65A77A6F">
            <w:pPr>
              <w:spacing w:before="205" w:line="228" w:lineRule="auto"/>
              <w:jc w:val="center"/>
              <w:rPr>
                <w:rFonts w:ascii="宋体" w:hAnsi="宋体" w:eastAsia="宋体" w:cs="宋体"/>
                <w:b/>
                <w:bCs/>
                <w:sz w:val="20"/>
                <w:szCs w:val="20"/>
              </w:rPr>
            </w:pPr>
            <w:r>
              <w:rPr>
                <w:rFonts w:ascii="宋体" w:hAnsi="宋体" w:eastAsia="宋体" w:cs="宋体"/>
                <w:b/>
                <w:bCs/>
                <w:spacing w:val="4"/>
                <w:sz w:val="20"/>
                <w:szCs w:val="20"/>
              </w:rPr>
              <w:t>年龄</w:t>
            </w:r>
          </w:p>
        </w:tc>
        <w:tc>
          <w:tcPr>
            <w:tcW w:w="1134" w:type="dxa"/>
            <w:tcBorders>
              <w:top w:val="single" w:color="000000" w:sz="10" w:space="0"/>
            </w:tcBorders>
            <w:shd w:val="clear" w:color="auto" w:fill="FFFFFF" w:themeFill="background1"/>
            <w:vAlign w:val="center"/>
          </w:tcPr>
          <w:p w14:paraId="3DF69216">
            <w:pPr>
              <w:spacing w:before="205" w:line="230" w:lineRule="auto"/>
              <w:jc w:val="center"/>
              <w:rPr>
                <w:rFonts w:ascii="宋体" w:hAnsi="宋体" w:eastAsia="宋体" w:cs="宋体"/>
                <w:b/>
                <w:bCs/>
                <w:sz w:val="20"/>
                <w:szCs w:val="20"/>
              </w:rPr>
            </w:pPr>
            <w:r>
              <w:rPr>
                <w:rFonts w:ascii="宋体" w:hAnsi="宋体" w:eastAsia="宋体" w:cs="宋体"/>
                <w:b/>
                <w:bCs/>
                <w:spacing w:val="4"/>
                <w:sz w:val="20"/>
                <w:szCs w:val="20"/>
              </w:rPr>
              <w:t>职称</w:t>
            </w:r>
          </w:p>
        </w:tc>
        <w:tc>
          <w:tcPr>
            <w:tcW w:w="993" w:type="dxa"/>
            <w:tcBorders>
              <w:top w:val="single" w:color="000000" w:sz="10" w:space="0"/>
            </w:tcBorders>
            <w:shd w:val="clear" w:color="auto" w:fill="FFFFFF" w:themeFill="background1"/>
            <w:vAlign w:val="center"/>
          </w:tcPr>
          <w:p w14:paraId="3D4251C8">
            <w:pPr>
              <w:spacing w:before="206" w:line="228" w:lineRule="auto"/>
              <w:jc w:val="center"/>
              <w:rPr>
                <w:rFonts w:ascii="宋体" w:hAnsi="宋体" w:eastAsia="宋体" w:cs="宋体"/>
                <w:b/>
                <w:bCs/>
                <w:sz w:val="20"/>
                <w:szCs w:val="20"/>
              </w:rPr>
            </w:pPr>
            <w:r>
              <w:rPr>
                <w:rFonts w:ascii="宋体" w:hAnsi="宋体" w:eastAsia="宋体" w:cs="宋体"/>
                <w:b/>
                <w:bCs/>
                <w:spacing w:val="4"/>
                <w:sz w:val="20"/>
                <w:szCs w:val="20"/>
              </w:rPr>
              <w:t>专业</w:t>
            </w:r>
          </w:p>
        </w:tc>
        <w:tc>
          <w:tcPr>
            <w:tcW w:w="1275" w:type="dxa"/>
            <w:tcBorders>
              <w:top w:val="single" w:color="000000" w:sz="10" w:space="0"/>
            </w:tcBorders>
            <w:shd w:val="clear" w:color="auto" w:fill="FFFFFF" w:themeFill="background1"/>
            <w:vAlign w:val="center"/>
          </w:tcPr>
          <w:p w14:paraId="236C85D6">
            <w:pPr>
              <w:spacing w:before="205" w:line="228" w:lineRule="auto"/>
              <w:jc w:val="center"/>
              <w:rPr>
                <w:rFonts w:ascii="宋体" w:hAnsi="宋体" w:eastAsia="宋体" w:cs="宋体"/>
                <w:b/>
                <w:bCs/>
                <w:sz w:val="20"/>
                <w:szCs w:val="20"/>
              </w:rPr>
            </w:pPr>
            <w:r>
              <w:rPr>
                <w:rFonts w:ascii="宋体" w:hAnsi="宋体" w:eastAsia="宋体" w:cs="宋体"/>
                <w:b/>
                <w:bCs/>
                <w:spacing w:val="6"/>
                <w:sz w:val="20"/>
                <w:szCs w:val="20"/>
              </w:rPr>
              <w:t>经验年限</w:t>
            </w:r>
          </w:p>
        </w:tc>
        <w:tc>
          <w:tcPr>
            <w:tcW w:w="1843" w:type="dxa"/>
            <w:tcBorders>
              <w:top w:val="single" w:color="000000" w:sz="10" w:space="0"/>
              <w:right w:val="single" w:color="000000" w:sz="10" w:space="0"/>
            </w:tcBorders>
            <w:shd w:val="clear" w:color="auto" w:fill="FFFFFF" w:themeFill="background1"/>
            <w:vAlign w:val="center"/>
          </w:tcPr>
          <w:p w14:paraId="73D0902D">
            <w:pPr>
              <w:spacing w:before="69" w:line="248" w:lineRule="auto"/>
              <w:ind w:left="176" w:right="151"/>
              <w:jc w:val="center"/>
              <w:rPr>
                <w:rFonts w:ascii="宋体" w:hAnsi="宋体" w:eastAsia="宋体" w:cs="宋体"/>
                <w:b/>
                <w:bCs/>
                <w:sz w:val="20"/>
                <w:szCs w:val="20"/>
                <w:lang w:eastAsia="zh-CN"/>
              </w:rPr>
            </w:pPr>
            <w:r>
              <w:rPr>
                <w:rFonts w:ascii="宋体" w:hAnsi="宋体" w:eastAsia="宋体" w:cs="宋体"/>
                <w:b/>
                <w:bCs/>
                <w:spacing w:val="8"/>
                <w:sz w:val="20"/>
                <w:szCs w:val="20"/>
                <w:lang w:eastAsia="zh-CN"/>
              </w:rPr>
              <w:t>拟担任职务或承担工</w:t>
            </w:r>
            <w:r>
              <w:rPr>
                <w:rFonts w:ascii="宋体" w:hAnsi="宋体" w:eastAsia="宋体" w:cs="宋体"/>
                <w:b/>
                <w:bCs/>
                <w:spacing w:val="6"/>
                <w:sz w:val="20"/>
                <w:szCs w:val="20"/>
                <w:lang w:eastAsia="zh-CN"/>
              </w:rPr>
              <w:t>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568" w:type="dxa"/>
            <w:tcBorders>
              <w:left w:val="single" w:color="000000" w:sz="10" w:space="0"/>
            </w:tcBorders>
            <w:vAlign w:val="center"/>
          </w:tcPr>
          <w:p w14:paraId="5AAC653F">
            <w:pPr>
              <w:spacing w:before="65" w:line="270" w:lineRule="exact"/>
              <w:jc w:val="center"/>
              <w:rPr>
                <w:rFonts w:ascii="宋体" w:hAnsi="宋体" w:eastAsia="宋体" w:cs="宋体"/>
                <w:sz w:val="20"/>
                <w:szCs w:val="20"/>
              </w:rPr>
            </w:pPr>
            <w:r>
              <w:rPr>
                <w:rFonts w:ascii="宋体" w:hAnsi="宋体" w:eastAsia="宋体" w:cs="宋体"/>
                <w:position w:val="1"/>
                <w:sz w:val="20"/>
                <w:szCs w:val="20"/>
              </w:rPr>
              <w:t>1</w:t>
            </w:r>
          </w:p>
        </w:tc>
        <w:tc>
          <w:tcPr>
            <w:tcW w:w="993" w:type="dxa"/>
            <w:vAlign w:val="center"/>
          </w:tcPr>
          <w:p w14:paraId="4DC70521">
            <w:pPr>
              <w:pStyle w:val="7"/>
              <w:jc w:val="center"/>
            </w:pPr>
          </w:p>
        </w:tc>
        <w:tc>
          <w:tcPr>
            <w:tcW w:w="992" w:type="dxa"/>
            <w:vAlign w:val="center"/>
          </w:tcPr>
          <w:p w14:paraId="6D45F58A">
            <w:pPr>
              <w:pStyle w:val="7"/>
              <w:jc w:val="center"/>
            </w:pPr>
          </w:p>
        </w:tc>
        <w:tc>
          <w:tcPr>
            <w:tcW w:w="850" w:type="dxa"/>
            <w:vAlign w:val="center"/>
          </w:tcPr>
          <w:p w14:paraId="240BD05E">
            <w:pPr>
              <w:pStyle w:val="7"/>
              <w:jc w:val="center"/>
            </w:pPr>
          </w:p>
        </w:tc>
        <w:tc>
          <w:tcPr>
            <w:tcW w:w="1134" w:type="dxa"/>
            <w:vAlign w:val="center"/>
          </w:tcPr>
          <w:p w14:paraId="1340D212">
            <w:pPr>
              <w:pStyle w:val="7"/>
              <w:jc w:val="center"/>
            </w:pPr>
          </w:p>
        </w:tc>
        <w:tc>
          <w:tcPr>
            <w:tcW w:w="993" w:type="dxa"/>
            <w:vAlign w:val="center"/>
          </w:tcPr>
          <w:p w14:paraId="0E970A95">
            <w:pPr>
              <w:pStyle w:val="7"/>
              <w:jc w:val="center"/>
            </w:pPr>
          </w:p>
        </w:tc>
        <w:tc>
          <w:tcPr>
            <w:tcW w:w="1275" w:type="dxa"/>
            <w:vAlign w:val="center"/>
          </w:tcPr>
          <w:p w14:paraId="6EF3B018">
            <w:pPr>
              <w:pStyle w:val="7"/>
              <w:jc w:val="center"/>
            </w:pPr>
          </w:p>
        </w:tc>
        <w:tc>
          <w:tcPr>
            <w:tcW w:w="1843" w:type="dxa"/>
            <w:tcBorders>
              <w:right w:val="single" w:color="000000" w:sz="10" w:space="0"/>
            </w:tcBorders>
            <w:vAlign w:val="center"/>
          </w:tcPr>
          <w:p w14:paraId="05049427">
            <w:pPr>
              <w:spacing w:before="65" w:line="228" w:lineRule="auto"/>
              <w:jc w:val="center"/>
              <w:rPr>
                <w:rFonts w:ascii="宋体" w:hAnsi="宋体" w:eastAsia="宋体" w:cs="宋体"/>
                <w:b/>
                <w:bCs/>
                <w:sz w:val="20"/>
                <w:szCs w:val="20"/>
              </w:rPr>
            </w:pPr>
            <w:r>
              <w:rPr>
                <w:rFonts w:hint="eastAsia" w:ascii="宋体" w:hAnsi="宋体" w:eastAsia="宋体" w:cs="宋体"/>
                <w:b/>
                <w:bCs/>
                <w:spacing w:val="8"/>
                <w:sz w:val="20"/>
                <w:szCs w:val="20"/>
                <w:lang w:eastAsia="zh-CN"/>
              </w:rPr>
              <w:t>项目负责人</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568" w:type="dxa"/>
            <w:tcBorders>
              <w:left w:val="single" w:color="000000" w:sz="10" w:space="0"/>
            </w:tcBorders>
            <w:vAlign w:val="center"/>
          </w:tcPr>
          <w:p w14:paraId="64B1DD84">
            <w:pPr>
              <w:spacing w:before="65" w:line="270" w:lineRule="exact"/>
              <w:jc w:val="center"/>
              <w:rPr>
                <w:rFonts w:ascii="宋体" w:hAnsi="宋体" w:eastAsia="宋体" w:cs="宋体"/>
                <w:sz w:val="20"/>
                <w:szCs w:val="20"/>
              </w:rPr>
            </w:pPr>
            <w:r>
              <w:rPr>
                <w:rFonts w:ascii="宋体" w:hAnsi="宋体" w:eastAsia="宋体" w:cs="宋体"/>
                <w:position w:val="1"/>
                <w:sz w:val="20"/>
                <w:szCs w:val="20"/>
              </w:rPr>
              <w:t>2</w:t>
            </w:r>
          </w:p>
        </w:tc>
        <w:tc>
          <w:tcPr>
            <w:tcW w:w="993" w:type="dxa"/>
            <w:vAlign w:val="center"/>
          </w:tcPr>
          <w:p w14:paraId="54BC48C4">
            <w:pPr>
              <w:pStyle w:val="7"/>
              <w:jc w:val="center"/>
              <w:rPr>
                <w:rFonts w:hint="eastAsia" w:eastAsia="宋体"/>
                <w:sz w:val="20"/>
                <w:szCs w:val="20"/>
                <w:lang w:eastAsia="zh-CN"/>
              </w:rPr>
            </w:pPr>
          </w:p>
        </w:tc>
        <w:tc>
          <w:tcPr>
            <w:tcW w:w="992" w:type="dxa"/>
            <w:vAlign w:val="center"/>
          </w:tcPr>
          <w:p w14:paraId="4E2F130F">
            <w:pPr>
              <w:pStyle w:val="7"/>
              <w:jc w:val="center"/>
              <w:rPr>
                <w:sz w:val="20"/>
                <w:szCs w:val="20"/>
              </w:rPr>
            </w:pPr>
          </w:p>
        </w:tc>
        <w:tc>
          <w:tcPr>
            <w:tcW w:w="850" w:type="dxa"/>
            <w:vAlign w:val="center"/>
          </w:tcPr>
          <w:p w14:paraId="4EB5834A">
            <w:pPr>
              <w:pStyle w:val="7"/>
              <w:jc w:val="center"/>
              <w:rPr>
                <w:sz w:val="20"/>
                <w:szCs w:val="20"/>
              </w:rPr>
            </w:pPr>
          </w:p>
        </w:tc>
        <w:tc>
          <w:tcPr>
            <w:tcW w:w="1134" w:type="dxa"/>
            <w:vAlign w:val="center"/>
          </w:tcPr>
          <w:p w14:paraId="7D7F222B">
            <w:pPr>
              <w:pStyle w:val="7"/>
              <w:jc w:val="center"/>
              <w:rPr>
                <w:sz w:val="20"/>
                <w:szCs w:val="20"/>
              </w:rPr>
            </w:pPr>
          </w:p>
        </w:tc>
        <w:tc>
          <w:tcPr>
            <w:tcW w:w="993" w:type="dxa"/>
            <w:vAlign w:val="center"/>
          </w:tcPr>
          <w:p w14:paraId="3A301724">
            <w:pPr>
              <w:pStyle w:val="7"/>
              <w:jc w:val="center"/>
              <w:rPr>
                <w:sz w:val="20"/>
                <w:szCs w:val="20"/>
              </w:rPr>
            </w:pPr>
          </w:p>
        </w:tc>
        <w:tc>
          <w:tcPr>
            <w:tcW w:w="1275" w:type="dxa"/>
            <w:vAlign w:val="center"/>
          </w:tcPr>
          <w:p w14:paraId="4584A004">
            <w:pPr>
              <w:pStyle w:val="7"/>
              <w:jc w:val="center"/>
              <w:rPr>
                <w:sz w:val="20"/>
                <w:szCs w:val="20"/>
              </w:rPr>
            </w:pPr>
          </w:p>
        </w:tc>
        <w:tc>
          <w:tcPr>
            <w:tcW w:w="1843" w:type="dxa"/>
            <w:tcBorders>
              <w:right w:val="single" w:color="000000" w:sz="10" w:space="0"/>
            </w:tcBorders>
            <w:vAlign w:val="center"/>
          </w:tcPr>
          <w:p w14:paraId="0B6DFD92">
            <w:pPr>
              <w:jc w:val="center"/>
              <w:rPr>
                <w:rFonts w:ascii="宋体" w:hAnsi="宋体" w:eastAsia="宋体" w:cs="宋体"/>
                <w:b/>
                <w:bCs/>
                <w:sz w:val="20"/>
                <w:szCs w:val="20"/>
                <w:lang w:eastAsia="zh-CN"/>
              </w:rPr>
            </w:pPr>
            <w:r>
              <w:rPr>
                <w:rFonts w:hint="eastAsia" w:ascii="宋体" w:hAnsi="宋体" w:eastAsia="宋体" w:cs="宋体"/>
                <w:b/>
                <w:bCs/>
                <w:sz w:val="20"/>
                <w:szCs w:val="20"/>
                <w:lang w:eastAsia="zh-CN"/>
              </w:rPr>
              <w:t>拟投入人员</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568" w:type="dxa"/>
            <w:tcBorders>
              <w:left w:val="single" w:color="000000" w:sz="10" w:space="0"/>
              <w:bottom w:val="single" w:color="000000" w:sz="10" w:space="0"/>
            </w:tcBorders>
            <w:vAlign w:val="center"/>
          </w:tcPr>
          <w:p w14:paraId="202D3443">
            <w:pPr>
              <w:spacing w:before="65" w:line="269" w:lineRule="exact"/>
              <w:jc w:val="center"/>
              <w:rPr>
                <w:rFonts w:ascii="宋体" w:hAnsi="宋体" w:eastAsia="宋体" w:cs="宋体"/>
                <w:sz w:val="20"/>
                <w:szCs w:val="20"/>
              </w:rPr>
            </w:pPr>
            <w:r>
              <w:rPr>
                <w:rFonts w:hint="eastAsia" w:eastAsia="宋体"/>
                <w:sz w:val="20"/>
                <w:szCs w:val="20"/>
                <w:lang w:val="en-US" w:eastAsia="zh-CN"/>
              </w:rPr>
              <w:t>...</w:t>
            </w:r>
          </w:p>
        </w:tc>
        <w:tc>
          <w:tcPr>
            <w:tcW w:w="993" w:type="dxa"/>
            <w:tcBorders>
              <w:bottom w:val="single" w:color="000000" w:sz="10" w:space="0"/>
            </w:tcBorders>
            <w:vAlign w:val="center"/>
          </w:tcPr>
          <w:p w14:paraId="65435ABF">
            <w:pPr>
              <w:pStyle w:val="7"/>
              <w:jc w:val="center"/>
              <w:rPr>
                <w:rFonts w:hint="default" w:eastAsia="宋体"/>
                <w:sz w:val="20"/>
                <w:szCs w:val="20"/>
                <w:lang w:val="en-US" w:eastAsia="zh-CN"/>
              </w:rPr>
            </w:pPr>
          </w:p>
        </w:tc>
        <w:tc>
          <w:tcPr>
            <w:tcW w:w="992" w:type="dxa"/>
            <w:tcBorders>
              <w:bottom w:val="single" w:color="000000" w:sz="10" w:space="0"/>
            </w:tcBorders>
            <w:vAlign w:val="center"/>
          </w:tcPr>
          <w:p w14:paraId="7BCFE8BB">
            <w:pPr>
              <w:pStyle w:val="7"/>
              <w:jc w:val="center"/>
              <w:rPr>
                <w:sz w:val="20"/>
                <w:szCs w:val="20"/>
              </w:rPr>
            </w:pPr>
          </w:p>
        </w:tc>
        <w:tc>
          <w:tcPr>
            <w:tcW w:w="850" w:type="dxa"/>
            <w:tcBorders>
              <w:bottom w:val="single" w:color="000000" w:sz="10" w:space="0"/>
            </w:tcBorders>
            <w:vAlign w:val="center"/>
          </w:tcPr>
          <w:p w14:paraId="4EB10A2E">
            <w:pPr>
              <w:pStyle w:val="7"/>
              <w:jc w:val="center"/>
              <w:rPr>
                <w:sz w:val="20"/>
                <w:szCs w:val="20"/>
              </w:rPr>
            </w:pPr>
          </w:p>
        </w:tc>
        <w:tc>
          <w:tcPr>
            <w:tcW w:w="1134" w:type="dxa"/>
            <w:tcBorders>
              <w:bottom w:val="single" w:color="000000" w:sz="10" w:space="0"/>
            </w:tcBorders>
            <w:vAlign w:val="center"/>
          </w:tcPr>
          <w:p w14:paraId="206C8091">
            <w:pPr>
              <w:pStyle w:val="7"/>
              <w:jc w:val="center"/>
              <w:rPr>
                <w:sz w:val="20"/>
                <w:szCs w:val="20"/>
              </w:rPr>
            </w:pPr>
          </w:p>
        </w:tc>
        <w:tc>
          <w:tcPr>
            <w:tcW w:w="993" w:type="dxa"/>
            <w:tcBorders>
              <w:bottom w:val="single" w:color="000000" w:sz="10" w:space="0"/>
            </w:tcBorders>
            <w:vAlign w:val="center"/>
          </w:tcPr>
          <w:p w14:paraId="5EB59745">
            <w:pPr>
              <w:pStyle w:val="7"/>
              <w:jc w:val="center"/>
              <w:rPr>
                <w:sz w:val="20"/>
                <w:szCs w:val="20"/>
              </w:rPr>
            </w:pPr>
          </w:p>
        </w:tc>
        <w:tc>
          <w:tcPr>
            <w:tcW w:w="1275" w:type="dxa"/>
            <w:tcBorders>
              <w:bottom w:val="single" w:color="000000" w:sz="10" w:space="0"/>
            </w:tcBorders>
            <w:vAlign w:val="center"/>
          </w:tcPr>
          <w:p w14:paraId="71892D5E">
            <w:pPr>
              <w:pStyle w:val="7"/>
              <w:jc w:val="center"/>
              <w:rPr>
                <w:sz w:val="20"/>
                <w:szCs w:val="20"/>
              </w:rPr>
            </w:pPr>
          </w:p>
        </w:tc>
        <w:tc>
          <w:tcPr>
            <w:tcW w:w="1843" w:type="dxa"/>
            <w:tcBorders>
              <w:bottom w:val="single" w:color="000000" w:sz="10" w:space="0"/>
              <w:right w:val="single" w:color="000000" w:sz="10" w:space="0"/>
            </w:tcBorders>
            <w:vAlign w:val="center"/>
          </w:tcPr>
          <w:p w14:paraId="44E16C58">
            <w:pPr>
              <w:spacing w:before="284" w:line="228" w:lineRule="auto"/>
              <w:jc w:val="center"/>
              <w:rPr>
                <w:rFonts w:ascii="宋体" w:hAnsi="宋体" w:eastAsia="宋体" w:cs="宋体"/>
                <w:sz w:val="20"/>
                <w:szCs w:val="20"/>
              </w:rPr>
            </w:pPr>
          </w:p>
        </w:tc>
      </w:tr>
    </w:tbl>
    <w:p w14:paraId="7CA01027">
      <w:pPr>
        <w:keepNext w:val="0"/>
        <w:keepLines w:val="0"/>
        <w:pageBreakBefore w:val="0"/>
        <w:widowControl/>
        <w:kinsoku w:val="0"/>
        <w:wordWrap/>
        <w:overflowPunct/>
        <w:topLinePunct w:val="0"/>
        <w:autoSpaceDE w:val="0"/>
        <w:autoSpaceDN w:val="0"/>
        <w:bidi w:val="0"/>
        <w:adjustRightInd w:val="0"/>
        <w:snapToGrid w:val="0"/>
        <w:spacing w:before="0" w:beforeLines="100" w:line="240" w:lineRule="auto"/>
        <w:ind w:right="0"/>
        <w:textAlignment w:val="baseline"/>
        <w:rPr>
          <w:rFonts w:ascii="宋体" w:hAnsi="宋体" w:eastAsia="宋体" w:cs="宋体"/>
          <w:b/>
          <w:bCs/>
          <w:spacing w:val="8"/>
          <w:sz w:val="20"/>
          <w:szCs w:val="20"/>
          <w:lang w:eastAsia="zh-CN"/>
        </w:rPr>
      </w:pPr>
      <w:r>
        <w:rPr>
          <w:rFonts w:ascii="宋体" w:hAnsi="宋体" w:eastAsia="宋体" w:cs="宋体"/>
          <w:b/>
          <w:bCs/>
          <w:spacing w:val="8"/>
          <w:sz w:val="20"/>
          <w:szCs w:val="20"/>
          <w:lang w:eastAsia="zh-CN"/>
        </w:rPr>
        <w:t>【提供以上人员的相关证书；为证明拟派人</w:t>
      </w:r>
      <w:r>
        <w:rPr>
          <w:rFonts w:hint="eastAsia" w:ascii="宋体" w:hAnsi="宋体" w:eastAsia="宋体" w:cs="宋体"/>
          <w:b/>
          <w:bCs/>
          <w:spacing w:val="8"/>
          <w:sz w:val="20"/>
          <w:szCs w:val="20"/>
          <w:lang w:val="en-US" w:eastAsia="zh-CN"/>
        </w:rPr>
        <w:t>员</w:t>
      </w:r>
      <w:r>
        <w:rPr>
          <w:rFonts w:ascii="宋体" w:hAnsi="宋体" w:eastAsia="宋体" w:cs="宋体"/>
          <w:b/>
          <w:bCs/>
          <w:spacing w:val="8"/>
          <w:sz w:val="20"/>
          <w:szCs w:val="20"/>
          <w:lang w:eastAsia="zh-CN"/>
        </w:rPr>
        <w:t>为</w:t>
      </w:r>
      <w:r>
        <w:rPr>
          <w:rFonts w:hint="eastAsia" w:ascii="宋体" w:hAnsi="宋体" w:eastAsia="宋体" w:cs="宋体"/>
          <w:b/>
          <w:bCs/>
          <w:spacing w:val="8"/>
          <w:sz w:val="20"/>
          <w:szCs w:val="20"/>
          <w:lang w:eastAsia="zh-CN"/>
        </w:rPr>
        <w:t>供应商</w:t>
      </w:r>
      <w:r>
        <w:rPr>
          <w:rFonts w:ascii="宋体" w:hAnsi="宋体" w:eastAsia="宋体" w:cs="宋体"/>
          <w:b/>
          <w:bCs/>
          <w:spacing w:val="8"/>
          <w:sz w:val="20"/>
          <w:szCs w:val="20"/>
          <w:lang w:eastAsia="zh-CN"/>
        </w:rPr>
        <w:t>员工，</w:t>
      </w:r>
      <w:r>
        <w:rPr>
          <w:rFonts w:hint="eastAsia" w:ascii="宋体" w:hAnsi="宋体" w:eastAsia="宋体" w:cs="宋体"/>
          <w:b/>
          <w:bCs/>
          <w:spacing w:val="8"/>
          <w:sz w:val="20"/>
          <w:szCs w:val="20"/>
          <w:lang w:eastAsia="zh-CN"/>
        </w:rPr>
        <w:t>拟投入主要人员的社保证明，应为供应商为其缴纳的近半年内任意连续三个月的社保证明复印件，若供应商成立时间不足1个月的应提供《社保声明函》（格式自拟）代替社保证明（成立时间以营业执照注册时间为准）。退休人员可提供退休证及返聘合同，并加盖供应商公章</w:t>
      </w:r>
      <w:r>
        <w:rPr>
          <w:rFonts w:ascii="宋体" w:hAnsi="宋体" w:eastAsia="宋体" w:cs="宋体"/>
          <w:b/>
          <w:bCs/>
          <w:spacing w:val="8"/>
          <w:sz w:val="20"/>
          <w:szCs w:val="20"/>
          <w:lang w:eastAsia="zh-CN"/>
        </w:rPr>
        <w:t>】</w:t>
      </w:r>
    </w:p>
    <w:p w14:paraId="1C4DF990">
      <w:pPr>
        <w:keepNext w:val="0"/>
        <w:keepLines w:val="0"/>
        <w:pageBreakBefore w:val="0"/>
        <w:widowControl/>
        <w:kinsoku w:val="0"/>
        <w:wordWrap/>
        <w:overflowPunct/>
        <w:topLinePunct w:val="0"/>
        <w:autoSpaceDE w:val="0"/>
        <w:autoSpaceDN w:val="0"/>
        <w:bidi w:val="0"/>
        <w:adjustRightInd w:val="0"/>
        <w:snapToGrid w:val="0"/>
        <w:spacing w:before="136" w:line="312" w:lineRule="auto"/>
        <w:ind w:right="16"/>
        <w:jc w:val="both"/>
        <w:textAlignment w:val="baseline"/>
        <w:rPr>
          <w:rFonts w:ascii="宋体" w:hAnsi="宋体" w:eastAsia="宋体" w:cs="宋体"/>
          <w:sz w:val="20"/>
          <w:szCs w:val="20"/>
        </w:rPr>
        <w:sectPr>
          <w:pgSz w:w="11900" w:h="16840"/>
          <w:pgMar w:top="907" w:right="1701" w:bottom="907" w:left="1701" w:header="0" w:footer="0" w:gutter="0"/>
          <w:cols w:space="720" w:num="1"/>
        </w:sectPr>
      </w:pPr>
    </w:p>
    <w:p w14:paraId="12316B45">
      <w:pPr>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十三、近三年同类规模业绩相关证明文件，需提供项目委托协议关键页、成交确认书、拍卖公告网页截图复印件，并加盖公章。</w:t>
      </w:r>
    </w:p>
    <w:p w14:paraId="1D14C0F7">
      <w:pPr>
        <w:rPr>
          <w:rFonts w:ascii="宋体" w:hAnsi="宋体" w:eastAsia="宋体" w:cs="宋体"/>
          <w:b/>
          <w:bCs/>
          <w:spacing w:val="7"/>
          <w:sz w:val="20"/>
          <w:szCs w:val="20"/>
          <w:lang w:eastAsia="zh-CN"/>
        </w:rPr>
      </w:pPr>
    </w:p>
    <w:p w14:paraId="2CD238D2">
      <w:pPr>
        <w:rPr>
          <w:rFonts w:ascii="宋体" w:hAnsi="宋体" w:eastAsia="宋体" w:cs="宋体"/>
          <w:b/>
          <w:bCs/>
          <w:spacing w:val="7"/>
          <w:sz w:val="20"/>
          <w:szCs w:val="20"/>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after="0" w:afterLines="50"/>
        <w:jc w:val="center"/>
        <w:textAlignment w:val="baseline"/>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业绩一览表</w:t>
      </w:r>
    </w:p>
    <w:tbl>
      <w:tblPr>
        <w:tblStyle w:val="6"/>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vAlign w:val="center"/>
          </w:tcPr>
          <w:p w14:paraId="5DB97775">
            <w:pPr>
              <w:jc w:val="cente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序号</w:t>
            </w:r>
          </w:p>
        </w:tc>
        <w:tc>
          <w:tcPr>
            <w:tcW w:w="1854" w:type="dxa"/>
            <w:tcBorders>
              <w:top w:val="single" w:color="000000" w:sz="2" w:space="0"/>
            </w:tcBorders>
            <w:shd w:val="clear" w:color="auto" w:fill="E0E0E0"/>
            <w:vAlign w:val="center"/>
          </w:tcPr>
          <w:p w14:paraId="36A33F95">
            <w:pPr>
              <w:jc w:val="cente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项目名称</w:t>
            </w:r>
          </w:p>
        </w:tc>
        <w:tc>
          <w:tcPr>
            <w:tcW w:w="1986" w:type="dxa"/>
            <w:tcBorders>
              <w:top w:val="single" w:color="000000" w:sz="2" w:space="0"/>
            </w:tcBorders>
            <w:shd w:val="clear" w:color="auto" w:fill="E0E0E0"/>
            <w:vAlign w:val="center"/>
          </w:tcPr>
          <w:p w14:paraId="0DF3CBF5">
            <w:pPr>
              <w:jc w:val="cente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项目地址</w:t>
            </w:r>
          </w:p>
        </w:tc>
        <w:tc>
          <w:tcPr>
            <w:tcW w:w="1722" w:type="dxa"/>
            <w:tcBorders>
              <w:top w:val="single" w:color="000000" w:sz="2" w:space="0"/>
            </w:tcBorders>
            <w:shd w:val="clear" w:color="auto" w:fill="E0E0E0"/>
            <w:vAlign w:val="center"/>
          </w:tcPr>
          <w:p w14:paraId="15EC4D6E">
            <w:pPr>
              <w:jc w:val="cente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合同内容</w:t>
            </w:r>
          </w:p>
        </w:tc>
        <w:tc>
          <w:tcPr>
            <w:tcW w:w="1191" w:type="dxa"/>
            <w:tcBorders>
              <w:top w:val="single" w:color="000000" w:sz="2" w:space="0"/>
            </w:tcBorders>
            <w:shd w:val="clear" w:color="auto" w:fill="E0E0E0"/>
            <w:vAlign w:val="center"/>
          </w:tcPr>
          <w:p w14:paraId="302CE52B">
            <w:pPr>
              <w:jc w:val="cente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合同总价</w:t>
            </w:r>
          </w:p>
        </w:tc>
        <w:tc>
          <w:tcPr>
            <w:tcW w:w="1471" w:type="dxa"/>
            <w:tcBorders>
              <w:top w:val="single" w:color="000000" w:sz="2" w:space="0"/>
              <w:right w:val="single" w:color="000000" w:sz="2" w:space="0"/>
            </w:tcBorders>
            <w:shd w:val="clear" w:color="auto" w:fill="E0E0E0"/>
            <w:vAlign w:val="center"/>
          </w:tcPr>
          <w:p w14:paraId="0D1B9475">
            <w:pPr>
              <w:jc w:val="cente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rPr>
                <w:rFonts w:ascii="宋体" w:hAnsi="宋体" w:eastAsia="宋体" w:cs="宋体"/>
                <w:b/>
                <w:bCs/>
                <w:spacing w:val="7"/>
                <w:sz w:val="20"/>
                <w:szCs w:val="20"/>
                <w:lang w:eastAsia="zh-CN"/>
              </w:rPr>
            </w:pPr>
          </w:p>
        </w:tc>
        <w:tc>
          <w:tcPr>
            <w:tcW w:w="1854" w:type="dxa"/>
          </w:tcPr>
          <w:p w14:paraId="43601105">
            <w:pPr>
              <w:rPr>
                <w:rFonts w:ascii="宋体" w:hAnsi="宋体" w:eastAsia="宋体" w:cs="宋体"/>
                <w:b/>
                <w:bCs/>
                <w:spacing w:val="7"/>
                <w:sz w:val="20"/>
                <w:szCs w:val="20"/>
                <w:lang w:eastAsia="zh-CN"/>
              </w:rPr>
            </w:pPr>
          </w:p>
        </w:tc>
        <w:tc>
          <w:tcPr>
            <w:tcW w:w="1986" w:type="dxa"/>
          </w:tcPr>
          <w:p w14:paraId="6311272B">
            <w:pPr>
              <w:rPr>
                <w:rFonts w:ascii="宋体" w:hAnsi="宋体" w:eastAsia="宋体" w:cs="宋体"/>
                <w:b/>
                <w:bCs/>
                <w:spacing w:val="7"/>
                <w:sz w:val="20"/>
                <w:szCs w:val="20"/>
                <w:lang w:eastAsia="zh-CN"/>
              </w:rPr>
            </w:pPr>
          </w:p>
        </w:tc>
        <w:tc>
          <w:tcPr>
            <w:tcW w:w="1722" w:type="dxa"/>
          </w:tcPr>
          <w:p w14:paraId="3768DC7F">
            <w:pPr>
              <w:rPr>
                <w:rFonts w:ascii="宋体" w:hAnsi="宋体" w:eastAsia="宋体" w:cs="宋体"/>
                <w:b/>
                <w:bCs/>
                <w:spacing w:val="7"/>
                <w:sz w:val="20"/>
                <w:szCs w:val="20"/>
                <w:lang w:eastAsia="zh-CN"/>
              </w:rPr>
            </w:pPr>
          </w:p>
        </w:tc>
        <w:tc>
          <w:tcPr>
            <w:tcW w:w="1191" w:type="dxa"/>
          </w:tcPr>
          <w:p w14:paraId="2305DC57">
            <w:pPr>
              <w:rPr>
                <w:rFonts w:ascii="宋体" w:hAnsi="宋体" w:eastAsia="宋体" w:cs="宋体"/>
                <w:b/>
                <w:bCs/>
                <w:spacing w:val="7"/>
                <w:sz w:val="20"/>
                <w:szCs w:val="20"/>
                <w:lang w:eastAsia="zh-CN"/>
              </w:rPr>
            </w:pPr>
          </w:p>
        </w:tc>
        <w:tc>
          <w:tcPr>
            <w:tcW w:w="1471" w:type="dxa"/>
            <w:tcBorders>
              <w:right w:val="single" w:color="000000" w:sz="2" w:space="0"/>
            </w:tcBorders>
          </w:tcPr>
          <w:p w14:paraId="1DC4DC5D">
            <w:pPr>
              <w:rPr>
                <w:rFonts w:ascii="宋体" w:hAnsi="宋体" w:eastAsia="宋体" w:cs="宋体"/>
                <w:b/>
                <w:bCs/>
                <w:spacing w:val="7"/>
                <w:sz w:val="20"/>
                <w:szCs w:val="20"/>
                <w:lang w:eastAsia="zh-CN"/>
              </w:rPr>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rPr>
                <w:rFonts w:ascii="宋体" w:hAnsi="宋体" w:eastAsia="宋体" w:cs="宋体"/>
                <w:b/>
                <w:bCs/>
                <w:spacing w:val="7"/>
                <w:sz w:val="20"/>
                <w:szCs w:val="20"/>
                <w:lang w:eastAsia="zh-CN"/>
              </w:rPr>
            </w:pPr>
          </w:p>
        </w:tc>
        <w:tc>
          <w:tcPr>
            <w:tcW w:w="1854" w:type="dxa"/>
          </w:tcPr>
          <w:p w14:paraId="26C3F9DC">
            <w:pPr>
              <w:rPr>
                <w:rFonts w:ascii="宋体" w:hAnsi="宋体" w:eastAsia="宋体" w:cs="宋体"/>
                <w:b/>
                <w:bCs/>
                <w:spacing w:val="7"/>
                <w:sz w:val="20"/>
                <w:szCs w:val="20"/>
                <w:lang w:eastAsia="zh-CN"/>
              </w:rPr>
            </w:pPr>
          </w:p>
        </w:tc>
        <w:tc>
          <w:tcPr>
            <w:tcW w:w="1986" w:type="dxa"/>
          </w:tcPr>
          <w:p w14:paraId="0C8FC5A6">
            <w:pPr>
              <w:rPr>
                <w:rFonts w:ascii="宋体" w:hAnsi="宋体" w:eastAsia="宋体" w:cs="宋体"/>
                <w:b/>
                <w:bCs/>
                <w:spacing w:val="7"/>
                <w:sz w:val="20"/>
                <w:szCs w:val="20"/>
                <w:lang w:eastAsia="zh-CN"/>
              </w:rPr>
            </w:pPr>
          </w:p>
        </w:tc>
        <w:tc>
          <w:tcPr>
            <w:tcW w:w="1722" w:type="dxa"/>
          </w:tcPr>
          <w:p w14:paraId="036176B2">
            <w:pPr>
              <w:rPr>
                <w:rFonts w:ascii="宋体" w:hAnsi="宋体" w:eastAsia="宋体" w:cs="宋体"/>
                <w:b/>
                <w:bCs/>
                <w:spacing w:val="7"/>
                <w:sz w:val="20"/>
                <w:szCs w:val="20"/>
                <w:lang w:eastAsia="zh-CN"/>
              </w:rPr>
            </w:pPr>
          </w:p>
        </w:tc>
        <w:tc>
          <w:tcPr>
            <w:tcW w:w="1191" w:type="dxa"/>
          </w:tcPr>
          <w:p w14:paraId="69BDA775">
            <w:pPr>
              <w:rPr>
                <w:rFonts w:ascii="宋体" w:hAnsi="宋体" w:eastAsia="宋体" w:cs="宋体"/>
                <w:b/>
                <w:bCs/>
                <w:spacing w:val="7"/>
                <w:sz w:val="20"/>
                <w:szCs w:val="20"/>
                <w:lang w:eastAsia="zh-CN"/>
              </w:rPr>
            </w:pPr>
          </w:p>
        </w:tc>
        <w:tc>
          <w:tcPr>
            <w:tcW w:w="1471" w:type="dxa"/>
            <w:tcBorders>
              <w:right w:val="single" w:color="000000" w:sz="2" w:space="0"/>
            </w:tcBorders>
          </w:tcPr>
          <w:p w14:paraId="74EE419A">
            <w:pPr>
              <w:rPr>
                <w:rFonts w:ascii="宋体" w:hAnsi="宋体" w:eastAsia="宋体" w:cs="宋体"/>
                <w:b/>
                <w:bCs/>
                <w:spacing w:val="7"/>
                <w:sz w:val="20"/>
                <w:szCs w:val="20"/>
                <w:lang w:eastAsia="zh-CN"/>
              </w:rPr>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rPr>
                <w:rFonts w:ascii="宋体" w:hAnsi="宋体" w:eastAsia="宋体" w:cs="宋体"/>
                <w:b/>
                <w:bCs/>
                <w:spacing w:val="7"/>
                <w:sz w:val="20"/>
                <w:szCs w:val="20"/>
                <w:lang w:eastAsia="zh-CN"/>
              </w:rPr>
            </w:pPr>
          </w:p>
        </w:tc>
        <w:tc>
          <w:tcPr>
            <w:tcW w:w="1854" w:type="dxa"/>
            <w:tcBorders>
              <w:bottom w:val="single" w:color="000000" w:sz="2" w:space="0"/>
            </w:tcBorders>
          </w:tcPr>
          <w:p w14:paraId="40B04108">
            <w:pPr>
              <w:rPr>
                <w:rFonts w:ascii="宋体" w:hAnsi="宋体" w:eastAsia="宋体" w:cs="宋体"/>
                <w:b/>
                <w:bCs/>
                <w:spacing w:val="7"/>
                <w:sz w:val="20"/>
                <w:szCs w:val="20"/>
                <w:lang w:eastAsia="zh-CN"/>
              </w:rPr>
            </w:pPr>
          </w:p>
        </w:tc>
        <w:tc>
          <w:tcPr>
            <w:tcW w:w="1986" w:type="dxa"/>
            <w:tcBorders>
              <w:bottom w:val="single" w:color="000000" w:sz="2" w:space="0"/>
            </w:tcBorders>
          </w:tcPr>
          <w:p w14:paraId="4C40CFD8">
            <w:pPr>
              <w:rPr>
                <w:rFonts w:ascii="宋体" w:hAnsi="宋体" w:eastAsia="宋体" w:cs="宋体"/>
                <w:b/>
                <w:bCs/>
                <w:spacing w:val="7"/>
                <w:sz w:val="20"/>
                <w:szCs w:val="20"/>
                <w:lang w:eastAsia="zh-CN"/>
              </w:rPr>
            </w:pPr>
          </w:p>
        </w:tc>
        <w:tc>
          <w:tcPr>
            <w:tcW w:w="1722" w:type="dxa"/>
            <w:tcBorders>
              <w:bottom w:val="single" w:color="000000" w:sz="2" w:space="0"/>
            </w:tcBorders>
          </w:tcPr>
          <w:p w14:paraId="4F595AE5">
            <w:pPr>
              <w:rPr>
                <w:rFonts w:ascii="宋体" w:hAnsi="宋体" w:eastAsia="宋体" w:cs="宋体"/>
                <w:b/>
                <w:bCs/>
                <w:spacing w:val="7"/>
                <w:sz w:val="20"/>
                <w:szCs w:val="20"/>
                <w:lang w:eastAsia="zh-CN"/>
              </w:rPr>
            </w:pPr>
          </w:p>
        </w:tc>
        <w:tc>
          <w:tcPr>
            <w:tcW w:w="1191" w:type="dxa"/>
            <w:tcBorders>
              <w:bottom w:val="single" w:color="000000" w:sz="2" w:space="0"/>
            </w:tcBorders>
          </w:tcPr>
          <w:p w14:paraId="7692FA63">
            <w:pPr>
              <w:rPr>
                <w:rFonts w:ascii="宋体" w:hAnsi="宋体" w:eastAsia="宋体" w:cs="宋体"/>
                <w:b/>
                <w:bCs/>
                <w:spacing w:val="7"/>
                <w:sz w:val="20"/>
                <w:szCs w:val="20"/>
                <w:lang w:eastAsia="zh-CN"/>
              </w:rPr>
            </w:pPr>
          </w:p>
        </w:tc>
        <w:tc>
          <w:tcPr>
            <w:tcW w:w="1471" w:type="dxa"/>
            <w:tcBorders>
              <w:bottom w:val="single" w:color="000000" w:sz="2" w:space="0"/>
              <w:right w:val="single" w:color="000000" w:sz="2" w:space="0"/>
            </w:tcBorders>
          </w:tcPr>
          <w:p w14:paraId="48AC055B">
            <w:pPr>
              <w:rPr>
                <w:rFonts w:ascii="宋体" w:hAnsi="宋体" w:eastAsia="宋体" w:cs="宋体"/>
                <w:b/>
                <w:bCs/>
                <w:spacing w:val="7"/>
                <w:sz w:val="20"/>
                <w:szCs w:val="20"/>
                <w:lang w:eastAsia="zh-CN"/>
              </w:rPr>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textAlignment w:val="baseline"/>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必须如实填写此表格。（此表可延长）</w:t>
      </w:r>
    </w:p>
    <w:p w14:paraId="724C4D81">
      <w:pPr>
        <w:rPr>
          <w:rFonts w:ascii="宋体" w:hAnsi="宋体" w:eastAsia="宋体" w:cs="宋体"/>
          <w:b/>
          <w:bCs/>
          <w:spacing w:val="7"/>
          <w:sz w:val="20"/>
          <w:szCs w:val="20"/>
          <w:lang w:eastAsia="zh-CN"/>
        </w:rPr>
      </w:pPr>
    </w:p>
    <w:p w14:paraId="0D453BE2">
      <w:pPr>
        <w:rPr>
          <w:rFonts w:ascii="宋体" w:hAnsi="宋体" w:eastAsia="宋体" w:cs="宋体"/>
          <w:b/>
          <w:bCs/>
          <w:spacing w:val="7"/>
          <w:sz w:val="20"/>
          <w:szCs w:val="20"/>
          <w:lang w:eastAsia="zh-CN"/>
        </w:rPr>
      </w:pPr>
    </w:p>
    <w:p w14:paraId="7263ABBE">
      <w:pPr>
        <w:rPr>
          <w:rFonts w:ascii="宋体" w:hAnsi="宋体" w:eastAsia="宋体" w:cs="宋体"/>
          <w:b/>
          <w:bCs/>
          <w:spacing w:val="7"/>
          <w:sz w:val="20"/>
          <w:szCs w:val="20"/>
          <w:lang w:eastAsia="zh-CN"/>
        </w:rPr>
      </w:pPr>
    </w:p>
    <w:p w14:paraId="1E0368E6">
      <w:pPr>
        <w:rPr>
          <w:rFonts w:ascii="宋体" w:hAnsi="宋体" w:eastAsia="宋体" w:cs="宋体"/>
          <w:b/>
          <w:bCs/>
          <w:spacing w:val="7"/>
          <w:sz w:val="20"/>
          <w:szCs w:val="20"/>
          <w:lang w:eastAsia="zh-CN"/>
        </w:rPr>
      </w:pPr>
    </w:p>
    <w:p w14:paraId="4F1157A5">
      <w:pPr>
        <w:rPr>
          <w:rFonts w:ascii="宋体" w:hAnsi="宋体" w:eastAsia="宋体" w:cs="宋体"/>
          <w:b/>
          <w:bCs/>
          <w:spacing w:val="7"/>
          <w:sz w:val="20"/>
          <w:szCs w:val="20"/>
          <w:lang w:eastAsia="zh-CN"/>
        </w:rPr>
      </w:pPr>
    </w:p>
    <w:p w14:paraId="66CFC844">
      <w:pPr>
        <w:rPr>
          <w:rFonts w:ascii="宋体" w:hAnsi="宋体" w:eastAsia="宋体" w:cs="宋体"/>
          <w:b/>
          <w:bCs/>
          <w:spacing w:val="7"/>
          <w:sz w:val="20"/>
          <w:szCs w:val="20"/>
          <w:lang w:eastAsia="zh-CN"/>
        </w:rPr>
      </w:pPr>
    </w:p>
    <w:p w14:paraId="480F5979">
      <w:pPr>
        <w:rPr>
          <w:rFonts w:ascii="宋体" w:hAnsi="宋体" w:eastAsia="宋体" w:cs="宋体"/>
          <w:b/>
          <w:bCs/>
          <w:spacing w:val="7"/>
          <w:sz w:val="20"/>
          <w:szCs w:val="20"/>
          <w:lang w:eastAsia="zh-CN"/>
        </w:rPr>
      </w:pPr>
    </w:p>
    <w:p w14:paraId="799DCC83">
      <w:pPr>
        <w:rPr>
          <w:rFonts w:ascii="宋体" w:hAnsi="宋体" w:eastAsia="宋体" w:cs="宋体"/>
          <w:b/>
          <w:bCs/>
          <w:spacing w:val="7"/>
          <w:sz w:val="20"/>
          <w:szCs w:val="20"/>
          <w:lang w:eastAsia="zh-CN"/>
        </w:rPr>
      </w:pPr>
    </w:p>
    <w:p w14:paraId="35A09637">
      <w:pPr>
        <w:rPr>
          <w:rFonts w:ascii="宋体" w:hAnsi="宋体" w:eastAsia="宋体" w:cs="宋体"/>
          <w:b/>
          <w:bCs/>
          <w:spacing w:val="7"/>
          <w:sz w:val="20"/>
          <w:szCs w:val="20"/>
          <w:lang w:eastAsia="zh-CN"/>
        </w:rPr>
      </w:pPr>
    </w:p>
    <w:p w14:paraId="3FCD7951">
      <w:pPr>
        <w:rPr>
          <w:rFonts w:ascii="宋体" w:hAnsi="宋体" w:eastAsia="宋体" w:cs="宋体"/>
          <w:b/>
          <w:bCs/>
          <w:spacing w:val="7"/>
          <w:sz w:val="20"/>
          <w:szCs w:val="20"/>
          <w:lang w:eastAsia="zh-CN"/>
        </w:rPr>
      </w:pPr>
    </w:p>
    <w:p w14:paraId="05D76151">
      <w:pPr>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 xml:space="preserve">名称（盖章）：                          </w:t>
      </w:r>
    </w:p>
    <w:p w14:paraId="5B5A1280">
      <w:pPr>
        <w:rPr>
          <w:rFonts w:ascii="宋体" w:hAnsi="宋体" w:eastAsia="宋体" w:cs="宋体"/>
          <w:b/>
          <w:bCs/>
          <w:spacing w:val="7"/>
          <w:sz w:val="20"/>
          <w:szCs w:val="20"/>
          <w:lang w:eastAsia="zh-CN"/>
        </w:rPr>
      </w:pPr>
    </w:p>
    <w:p w14:paraId="73AB7F11">
      <w:pPr>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 xml:space="preserve">法定代表人（或法定代表人授权代表）签字：                    </w:t>
      </w:r>
    </w:p>
    <w:p w14:paraId="3DBA88F9">
      <w:pPr>
        <w:rPr>
          <w:rFonts w:ascii="宋体" w:hAnsi="宋体" w:eastAsia="宋体" w:cs="宋体"/>
          <w:b/>
          <w:bCs/>
          <w:spacing w:val="7"/>
          <w:sz w:val="20"/>
          <w:szCs w:val="20"/>
          <w:lang w:eastAsia="zh-CN"/>
        </w:rPr>
      </w:pPr>
    </w:p>
    <w:p w14:paraId="505ED41D">
      <w:pP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日期：   年   月   日</w:t>
      </w:r>
    </w:p>
    <w:p w14:paraId="7B370B04">
      <w:pPr>
        <w:rPr>
          <w:rFonts w:ascii="宋体" w:hAnsi="宋体" w:eastAsia="宋体" w:cs="宋体"/>
          <w:b/>
          <w:bCs/>
          <w:spacing w:val="7"/>
          <w:sz w:val="20"/>
          <w:szCs w:val="20"/>
          <w:lang w:eastAsia="zh-CN"/>
        </w:rPr>
        <w:sectPr>
          <w:pgSz w:w="11900" w:h="16840"/>
          <w:pgMar w:top="907" w:right="1701" w:bottom="907" w:left="1701" w:header="0" w:footer="0" w:gutter="0"/>
          <w:cols w:space="720" w:num="1"/>
        </w:sectPr>
      </w:pPr>
    </w:p>
    <w:p w14:paraId="1AD104C4">
      <w:pPr>
        <w:jc w:val="left"/>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四</w:t>
      </w:r>
      <w:r>
        <w:rPr>
          <w:rFonts w:ascii="宋体" w:hAnsi="宋体" w:eastAsia="宋体" w:cs="宋体"/>
          <w:b/>
          <w:bCs/>
          <w:spacing w:val="7"/>
          <w:sz w:val="20"/>
          <w:szCs w:val="20"/>
          <w:lang w:eastAsia="zh-CN"/>
        </w:rPr>
        <w:t>、采购需求偏离表</w:t>
      </w:r>
    </w:p>
    <w:p w14:paraId="386C1CA0">
      <w:pPr>
        <w:jc w:val="center"/>
        <w:rPr>
          <w:rFonts w:ascii="宋体" w:hAnsi="宋体" w:eastAsia="宋体" w:cs="宋体"/>
          <w:b/>
          <w:bCs/>
          <w:spacing w:val="7"/>
          <w:sz w:val="20"/>
          <w:szCs w:val="20"/>
          <w:lang w:eastAsia="zh-CN"/>
        </w:rPr>
      </w:pPr>
    </w:p>
    <w:p w14:paraId="62353373">
      <w:pPr>
        <w:keepNext w:val="0"/>
        <w:keepLines w:val="0"/>
        <w:pageBreakBefore w:val="0"/>
        <w:widowControl/>
        <w:kinsoku w:val="0"/>
        <w:wordWrap/>
        <w:overflowPunct/>
        <w:topLinePunct w:val="0"/>
        <w:autoSpaceDE w:val="0"/>
        <w:autoSpaceDN w:val="0"/>
        <w:bidi w:val="0"/>
        <w:adjustRightInd w:val="0"/>
        <w:snapToGrid w:val="0"/>
        <w:spacing w:after="157" w:afterLines="50" w:line="240" w:lineRule="auto"/>
        <w:jc w:val="center"/>
        <w:textAlignment w:val="baseline"/>
        <w:rPr>
          <w:rFonts w:ascii="宋体" w:hAnsi="宋体" w:eastAsia="宋体" w:cs="宋体"/>
          <w:b w:val="0"/>
          <w:bCs w:val="0"/>
          <w:spacing w:val="7"/>
          <w:sz w:val="20"/>
          <w:szCs w:val="20"/>
          <w:lang w:eastAsia="zh-CN"/>
        </w:rPr>
      </w:pPr>
      <w:r>
        <w:rPr>
          <w:rFonts w:ascii="宋体" w:hAnsi="宋体" w:eastAsia="宋体" w:cs="宋体"/>
          <w:b/>
          <w:bCs/>
          <w:spacing w:val="7"/>
          <w:sz w:val="28"/>
          <w:szCs w:val="28"/>
          <w:lang w:eastAsia="zh-CN"/>
        </w:rPr>
        <w:t>偏离表</w:t>
      </w:r>
    </w:p>
    <w:p w14:paraId="65E86C6A">
      <w:pPr>
        <w:keepNext w:val="0"/>
        <w:keepLines w:val="0"/>
        <w:pageBreakBefore w:val="0"/>
        <w:widowControl/>
        <w:kinsoku w:val="0"/>
        <w:wordWrap/>
        <w:overflowPunct/>
        <w:topLinePunct w:val="0"/>
        <w:autoSpaceDE w:val="0"/>
        <w:autoSpaceDN w:val="0"/>
        <w:bidi w:val="0"/>
        <w:adjustRightInd w:val="0"/>
        <w:snapToGrid w:val="0"/>
        <w:spacing w:before="157" w:beforeLines="50" w:line="240" w:lineRule="exact"/>
        <w:textAlignment w:val="baseline"/>
        <w:rPr>
          <w:rFonts w:ascii="宋体" w:hAnsi="宋体" w:eastAsia="宋体" w:cs="宋体"/>
          <w:b w:val="0"/>
          <w:bCs w:val="0"/>
          <w:spacing w:val="7"/>
          <w:sz w:val="20"/>
          <w:szCs w:val="20"/>
          <w:lang w:eastAsia="zh-CN"/>
        </w:rPr>
      </w:pPr>
      <w:r>
        <w:rPr>
          <w:rFonts w:ascii="宋体" w:hAnsi="宋体" w:eastAsia="宋体" w:cs="宋体"/>
          <w:b w:val="0"/>
          <w:bCs w:val="0"/>
          <w:spacing w:val="7"/>
          <w:sz w:val="20"/>
          <w:szCs w:val="20"/>
          <w:lang w:eastAsia="zh-CN"/>
        </w:rPr>
        <w:t>填写要求：</w:t>
      </w:r>
    </w:p>
    <w:p w14:paraId="562D69C9">
      <w:pPr>
        <w:keepNext w:val="0"/>
        <w:keepLines w:val="0"/>
        <w:pageBreakBefore w:val="0"/>
        <w:widowControl/>
        <w:kinsoku w:val="0"/>
        <w:wordWrap/>
        <w:overflowPunct/>
        <w:topLinePunct w:val="0"/>
        <w:autoSpaceDE w:val="0"/>
        <w:autoSpaceDN w:val="0"/>
        <w:bidi w:val="0"/>
        <w:adjustRightInd w:val="0"/>
        <w:snapToGrid w:val="0"/>
        <w:spacing w:before="157" w:beforeLines="50" w:line="240" w:lineRule="exact"/>
        <w:textAlignment w:val="baseline"/>
        <w:rPr>
          <w:rFonts w:ascii="宋体" w:hAnsi="宋体" w:eastAsia="宋体" w:cs="宋体"/>
          <w:b w:val="0"/>
          <w:bCs w:val="0"/>
          <w:spacing w:val="7"/>
          <w:sz w:val="20"/>
          <w:szCs w:val="20"/>
          <w:lang w:eastAsia="zh-CN"/>
        </w:rPr>
      </w:pPr>
      <w:r>
        <w:rPr>
          <w:rFonts w:ascii="宋体" w:hAnsi="宋体" w:eastAsia="宋体" w:cs="宋体"/>
          <w:b w:val="0"/>
          <w:bCs w:val="0"/>
          <w:spacing w:val="7"/>
          <w:sz w:val="20"/>
          <w:szCs w:val="20"/>
          <w:lang w:eastAsia="zh-CN"/>
        </w:rPr>
        <w:t>1 、请按采购需求的要求逐条响应，正负偏离参数请备注说明。</w:t>
      </w:r>
    </w:p>
    <w:p w14:paraId="2C99D150">
      <w:pPr>
        <w:keepNext w:val="0"/>
        <w:keepLines w:val="0"/>
        <w:pageBreakBefore w:val="0"/>
        <w:widowControl/>
        <w:kinsoku w:val="0"/>
        <w:wordWrap/>
        <w:overflowPunct/>
        <w:topLinePunct w:val="0"/>
        <w:autoSpaceDE w:val="0"/>
        <w:autoSpaceDN w:val="0"/>
        <w:bidi w:val="0"/>
        <w:adjustRightInd w:val="0"/>
        <w:snapToGrid w:val="0"/>
        <w:spacing w:before="157" w:beforeLines="50" w:line="240" w:lineRule="exact"/>
        <w:textAlignment w:val="baseline"/>
        <w:rPr>
          <w:rFonts w:ascii="宋体" w:hAnsi="宋体" w:eastAsia="宋体" w:cs="宋体"/>
          <w:b w:val="0"/>
          <w:bCs w:val="0"/>
          <w:spacing w:val="7"/>
          <w:sz w:val="20"/>
          <w:szCs w:val="20"/>
          <w:lang w:eastAsia="zh-CN"/>
        </w:rPr>
      </w:pPr>
      <w:r>
        <w:rPr>
          <w:rFonts w:ascii="宋体" w:hAnsi="宋体" w:eastAsia="宋体" w:cs="宋体"/>
          <w:b w:val="0"/>
          <w:bCs w:val="0"/>
          <w:spacing w:val="7"/>
          <w:sz w:val="20"/>
          <w:szCs w:val="20"/>
          <w:lang w:eastAsia="zh-CN"/>
        </w:rPr>
        <w:t>2 、其中带★的参数是必须完全响应的参数。</w:t>
      </w:r>
    </w:p>
    <w:p w14:paraId="32B81AA3">
      <w:pPr>
        <w:keepNext w:val="0"/>
        <w:keepLines w:val="0"/>
        <w:pageBreakBefore w:val="0"/>
        <w:widowControl/>
        <w:kinsoku w:val="0"/>
        <w:wordWrap/>
        <w:overflowPunct/>
        <w:topLinePunct w:val="0"/>
        <w:autoSpaceDE w:val="0"/>
        <w:autoSpaceDN w:val="0"/>
        <w:bidi w:val="0"/>
        <w:adjustRightInd w:val="0"/>
        <w:snapToGrid w:val="0"/>
        <w:spacing w:before="157" w:beforeLines="50" w:line="240" w:lineRule="exact"/>
        <w:textAlignment w:val="baseline"/>
        <w:rPr>
          <w:rFonts w:ascii="宋体" w:hAnsi="宋体" w:eastAsia="宋体" w:cs="宋体"/>
          <w:b w:val="0"/>
          <w:bCs w:val="0"/>
          <w:spacing w:val="7"/>
          <w:sz w:val="20"/>
          <w:szCs w:val="20"/>
          <w:lang w:eastAsia="zh-CN"/>
        </w:rPr>
      </w:pPr>
      <w:r>
        <w:rPr>
          <w:rFonts w:ascii="宋体" w:hAnsi="宋体" w:eastAsia="宋体" w:cs="宋体"/>
          <w:b w:val="0"/>
          <w:bCs w:val="0"/>
          <w:spacing w:val="7"/>
          <w:sz w:val="20"/>
          <w:szCs w:val="20"/>
          <w:lang w:eastAsia="zh-CN"/>
        </w:rPr>
        <w:t>3 、所投</w:t>
      </w:r>
      <w:r>
        <w:rPr>
          <w:rFonts w:hint="eastAsia" w:ascii="宋体" w:hAnsi="宋体" w:eastAsia="宋体" w:cs="宋体"/>
          <w:b w:val="0"/>
          <w:bCs w:val="0"/>
          <w:spacing w:val="7"/>
          <w:sz w:val="20"/>
          <w:szCs w:val="20"/>
          <w:lang w:eastAsia="zh-CN"/>
        </w:rPr>
        <w:t>服务</w:t>
      </w:r>
      <w:r>
        <w:rPr>
          <w:rFonts w:ascii="宋体" w:hAnsi="宋体" w:eastAsia="宋体" w:cs="宋体"/>
          <w:b w:val="0"/>
          <w:bCs w:val="0"/>
          <w:spacing w:val="7"/>
          <w:sz w:val="20"/>
          <w:szCs w:val="20"/>
          <w:lang w:eastAsia="zh-CN"/>
        </w:rPr>
        <w:t>的参数满足率≥90%方视为满足需求的合格</w:t>
      </w:r>
      <w:r>
        <w:rPr>
          <w:rFonts w:hint="eastAsia" w:ascii="宋体" w:hAnsi="宋体" w:eastAsia="宋体" w:cs="宋体"/>
          <w:b w:val="0"/>
          <w:bCs w:val="0"/>
          <w:spacing w:val="7"/>
          <w:sz w:val="20"/>
          <w:szCs w:val="20"/>
          <w:lang w:eastAsia="zh-CN"/>
        </w:rPr>
        <w:t>服务</w:t>
      </w:r>
      <w:r>
        <w:rPr>
          <w:rFonts w:ascii="宋体" w:hAnsi="宋体" w:eastAsia="宋体" w:cs="宋体"/>
          <w:b w:val="0"/>
          <w:bCs w:val="0"/>
          <w:spacing w:val="7"/>
          <w:sz w:val="20"/>
          <w:szCs w:val="20"/>
          <w:lang w:eastAsia="zh-CN"/>
        </w:rPr>
        <w:t>。</w:t>
      </w:r>
    </w:p>
    <w:p w14:paraId="1BEB5AA2">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20"/>
          <w:szCs w:val="20"/>
          <w:lang w:eastAsia="zh-CN"/>
        </w:rPr>
      </w:pPr>
    </w:p>
    <w:tbl>
      <w:tblPr>
        <w:tblStyle w:val="6"/>
        <w:tblW w:w="9699" w:type="dxa"/>
        <w:tblInd w:w="-4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674"/>
        <w:gridCol w:w="6445"/>
        <w:gridCol w:w="1440"/>
        <w:gridCol w:w="1140"/>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724" w:hRule="atLeast"/>
        </w:trPr>
        <w:tc>
          <w:tcPr>
            <w:tcW w:w="674" w:type="dxa"/>
            <w:vAlign w:val="center"/>
          </w:tcPr>
          <w:p w14:paraId="5BDB5DDC">
            <w:pPr>
              <w:keepNext w:val="0"/>
              <w:keepLines w:val="0"/>
              <w:pageBreakBefore w:val="0"/>
              <w:widowControl/>
              <w:kinsoku w:val="0"/>
              <w:wordWrap/>
              <w:overflowPunct/>
              <w:topLinePunct w:val="0"/>
              <w:autoSpaceDE w:val="0"/>
              <w:autoSpaceDN w:val="0"/>
              <w:bidi w:val="0"/>
              <w:adjustRightInd w:val="0"/>
              <w:snapToGrid w:val="0"/>
              <w:spacing w:line="220" w:lineRule="exact"/>
              <w:jc w:val="center"/>
              <w:textAlignment w:val="baseline"/>
              <w:rPr>
                <w:rFonts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序号</w:t>
            </w:r>
          </w:p>
        </w:tc>
        <w:tc>
          <w:tcPr>
            <w:tcW w:w="6445" w:type="dxa"/>
            <w:vAlign w:val="center"/>
          </w:tcPr>
          <w:p w14:paraId="3674397B">
            <w:pPr>
              <w:keepNext w:val="0"/>
              <w:keepLines w:val="0"/>
              <w:pageBreakBefore w:val="0"/>
              <w:widowControl/>
              <w:kinsoku w:val="0"/>
              <w:wordWrap/>
              <w:overflowPunct/>
              <w:topLinePunct w:val="0"/>
              <w:autoSpaceDE w:val="0"/>
              <w:autoSpaceDN w:val="0"/>
              <w:bidi w:val="0"/>
              <w:adjustRightInd w:val="0"/>
              <w:snapToGrid w:val="0"/>
              <w:spacing w:line="220" w:lineRule="exact"/>
              <w:jc w:val="center"/>
              <w:textAlignment w:val="baseline"/>
              <w:rPr>
                <w:rFonts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采购需求的要求</w:t>
            </w:r>
          </w:p>
        </w:tc>
        <w:tc>
          <w:tcPr>
            <w:tcW w:w="1440" w:type="dxa"/>
            <w:vAlign w:val="center"/>
          </w:tcPr>
          <w:p w14:paraId="0CA0F39F">
            <w:pPr>
              <w:keepNext w:val="0"/>
              <w:keepLines w:val="0"/>
              <w:pageBreakBefore w:val="0"/>
              <w:widowControl/>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完全响应</w:t>
            </w:r>
          </w:p>
          <w:p w14:paraId="7215C25B">
            <w:pPr>
              <w:keepNext w:val="0"/>
              <w:keepLines w:val="0"/>
              <w:pageBreakBefore w:val="0"/>
              <w:widowControl/>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或</w:t>
            </w:r>
          </w:p>
          <w:p w14:paraId="53D5C9DE">
            <w:pPr>
              <w:keepNext w:val="0"/>
              <w:keepLines w:val="0"/>
              <w:pageBreakBefore w:val="0"/>
              <w:widowControl/>
              <w:kinsoku w:val="0"/>
              <w:wordWrap/>
              <w:overflowPunct/>
              <w:topLinePunct w:val="0"/>
              <w:autoSpaceDE w:val="0"/>
              <w:autoSpaceDN w:val="0"/>
              <w:bidi w:val="0"/>
              <w:adjustRightInd w:val="0"/>
              <w:snapToGrid w:val="0"/>
              <w:spacing w:line="220" w:lineRule="exact"/>
              <w:jc w:val="center"/>
              <w:textAlignment w:val="baseline"/>
              <w:rPr>
                <w:rFonts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正/负偏离</w:t>
            </w:r>
          </w:p>
        </w:tc>
        <w:tc>
          <w:tcPr>
            <w:tcW w:w="1140" w:type="dxa"/>
            <w:vAlign w:val="center"/>
          </w:tcPr>
          <w:p w14:paraId="393D5586">
            <w:pPr>
              <w:keepNext w:val="0"/>
              <w:keepLines w:val="0"/>
              <w:pageBreakBefore w:val="0"/>
              <w:widowControl/>
              <w:kinsoku w:val="0"/>
              <w:wordWrap/>
              <w:overflowPunct/>
              <w:topLinePunct w:val="0"/>
              <w:autoSpaceDE w:val="0"/>
              <w:autoSpaceDN w:val="0"/>
              <w:bidi w:val="0"/>
              <w:adjustRightInd w:val="0"/>
              <w:snapToGrid w:val="0"/>
              <w:spacing w:line="220" w:lineRule="exact"/>
              <w:jc w:val="center"/>
              <w:textAlignment w:val="baseline"/>
              <w:rPr>
                <w:rFonts w:hint="eastAsia"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偏离</w:t>
            </w:r>
          </w:p>
          <w:p w14:paraId="189B2D09">
            <w:pPr>
              <w:keepNext w:val="0"/>
              <w:keepLines w:val="0"/>
              <w:pageBreakBefore w:val="0"/>
              <w:widowControl/>
              <w:kinsoku w:val="0"/>
              <w:wordWrap/>
              <w:overflowPunct/>
              <w:topLinePunct w:val="0"/>
              <w:autoSpaceDE w:val="0"/>
              <w:autoSpaceDN w:val="0"/>
              <w:bidi w:val="0"/>
              <w:adjustRightInd w:val="0"/>
              <w:snapToGrid w:val="0"/>
              <w:spacing w:line="220" w:lineRule="exact"/>
              <w:jc w:val="center"/>
              <w:textAlignment w:val="baseline"/>
              <w:rPr>
                <w:rFonts w:ascii="宋体" w:hAnsi="宋体" w:eastAsia="宋体" w:cs="宋体"/>
                <w:b/>
                <w:bCs/>
                <w:spacing w:val="7"/>
                <w:sz w:val="18"/>
                <w:szCs w:val="18"/>
                <w:lang w:eastAsia="zh-CN"/>
              </w:rPr>
            </w:pPr>
            <w:r>
              <w:rPr>
                <w:rFonts w:hint="eastAsia" w:ascii="宋体" w:hAnsi="宋体" w:eastAsia="宋体" w:cs="宋体"/>
                <w:b/>
                <w:bCs/>
                <w:spacing w:val="7"/>
                <w:sz w:val="18"/>
                <w:szCs w:val="18"/>
                <w:lang w:eastAsia="zh-CN"/>
              </w:rPr>
              <w:t>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674" w:type="dxa"/>
            <w:vAlign w:val="center"/>
          </w:tcPr>
          <w:p w14:paraId="65A6A3D8">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1</w:t>
            </w:r>
          </w:p>
        </w:tc>
        <w:tc>
          <w:tcPr>
            <w:tcW w:w="6445" w:type="dxa"/>
          </w:tcPr>
          <w:p w14:paraId="168F03E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val="en-US" w:eastAsia="zh-CN"/>
              </w:rPr>
            </w:pPr>
            <w:r>
              <w:rPr>
                <w:rFonts w:hint="eastAsia" w:ascii="宋体" w:hAnsi="宋体" w:eastAsia="宋体" w:cs="宋体"/>
                <w:b w:val="0"/>
                <w:bCs w:val="0"/>
                <w:spacing w:val="7"/>
                <w:sz w:val="18"/>
                <w:szCs w:val="18"/>
                <w:lang w:val="en-US" w:eastAsia="zh-CN"/>
              </w:rPr>
              <w:t>一、项目概况</w:t>
            </w:r>
          </w:p>
          <w:p w14:paraId="026EF82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val="en-US" w:eastAsia="zh-CN"/>
              </w:rPr>
            </w:pPr>
            <w:r>
              <w:rPr>
                <w:rFonts w:hint="eastAsia" w:ascii="宋体" w:hAnsi="宋体" w:eastAsia="宋体" w:cs="宋体"/>
                <w:b w:val="0"/>
                <w:bCs w:val="0"/>
                <w:spacing w:val="7"/>
                <w:sz w:val="18"/>
                <w:szCs w:val="18"/>
                <w:lang w:val="en-US" w:eastAsia="zh-CN"/>
              </w:rPr>
              <w:t>1.项目名称：</w:t>
            </w:r>
            <w:r>
              <w:rPr>
                <w:rFonts w:hint="eastAsia" w:ascii="宋体" w:hAnsi="宋体" w:eastAsia="宋体" w:cs="宋体"/>
                <w:b w:val="0"/>
                <w:bCs w:val="0"/>
                <w:spacing w:val="7"/>
                <w:sz w:val="18"/>
                <w:szCs w:val="18"/>
                <w:lang w:eastAsia="zh-CN"/>
              </w:rPr>
              <w:t>中山市东升医院拍卖代理服务项目</w:t>
            </w:r>
          </w:p>
          <w:p w14:paraId="707CF79D">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ascii="宋体" w:hAnsi="宋体" w:eastAsia="宋体" w:cs="宋体"/>
                <w:b w:val="0"/>
                <w:bCs w:val="0"/>
                <w:spacing w:val="7"/>
                <w:sz w:val="18"/>
                <w:szCs w:val="18"/>
                <w:lang w:val="en-US" w:eastAsia="zh-CN"/>
              </w:rPr>
            </w:pPr>
            <w:r>
              <w:rPr>
                <w:rFonts w:hint="eastAsia" w:ascii="宋体" w:hAnsi="宋体" w:eastAsia="宋体" w:cs="宋体"/>
                <w:b w:val="0"/>
                <w:bCs w:val="0"/>
                <w:spacing w:val="7"/>
                <w:sz w:val="18"/>
                <w:szCs w:val="18"/>
                <w:lang w:val="en-US" w:eastAsia="zh-CN"/>
              </w:rPr>
              <w:t>2.项目编号：FW-CW-CW-2026039</w:t>
            </w:r>
          </w:p>
          <w:p w14:paraId="6E8A4BDA">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val="en-US" w:eastAsia="zh-CN"/>
              </w:rPr>
              <w:t>3.项目内容：委托拍卖机构为中山市东升医院坦背院区固定资产提供拍卖代理服务。</w:t>
            </w:r>
          </w:p>
          <w:p w14:paraId="4964CEA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val="en-US" w:eastAsia="zh-CN"/>
              </w:rPr>
              <w:t>4.服务期限：自协议签订之日起，直至固定资产拍卖全流程完成为止。</w:t>
            </w:r>
          </w:p>
          <w:p w14:paraId="0A19FCD4">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val="en-US" w:eastAsia="zh-CN"/>
              </w:rPr>
              <w:t>5.服务范围：成交供应商须依据《中华人民共和国拍卖法》，为中山市东升医院坦背院区固定资产拍卖全流程提供服务，具体包括但不限于项目策划、文件编制、信息发布、材料审核、拍卖组织、签约、移交及档案管理等。</w:t>
            </w:r>
          </w:p>
          <w:p w14:paraId="53DB9E0C">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val="en-US" w:eastAsia="zh-CN"/>
              </w:rPr>
              <w:t>6.佣金费率标准：参照《中华人民共和国拍卖法》相关规定，佣金费率不超过成交价的5%，该佣金费用由买受人承担。</w:t>
            </w:r>
          </w:p>
        </w:tc>
        <w:tc>
          <w:tcPr>
            <w:tcW w:w="1440" w:type="dxa"/>
          </w:tcPr>
          <w:p w14:paraId="5B3B314A">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c>
          <w:tcPr>
            <w:tcW w:w="1140" w:type="dxa"/>
          </w:tcPr>
          <w:p w14:paraId="28582A36">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674" w:type="dxa"/>
            <w:vAlign w:val="center"/>
          </w:tcPr>
          <w:p w14:paraId="2D18E0F6">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2</w:t>
            </w:r>
          </w:p>
        </w:tc>
        <w:tc>
          <w:tcPr>
            <w:tcW w:w="6445" w:type="dxa"/>
          </w:tcPr>
          <w:p w14:paraId="718F246B">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二、投标人资格条件</w:t>
            </w:r>
          </w:p>
          <w:p w14:paraId="11878175">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1.具备独立承担民事责任的能力：应为在中华人民共和国境内注册的法人、其他组织或自然人，并于投标（响应）时提交有效的营业执照（拍卖行业）副本复印件及拍卖经营批准证书。</w:t>
            </w:r>
          </w:p>
          <w:p w14:paraId="2EA6D1F2">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2.具有依法缴纳税收和社会保障资金的良好记录：需提供投标截止日前6个月内任意1个月依法缴纳税收和社会保障资金的相关材料；若依法免税或无需缴纳社会保障资金，应提供相应证明材料。</w:t>
            </w:r>
          </w:p>
          <w:p w14:paraId="6557C4BC">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3.拥有良好的商业信誉及健全的财务会计制度：供应商须具备良好的商业信誉和健全的财务会计制度（提供202</w:t>
            </w:r>
            <w:r>
              <w:rPr>
                <w:rFonts w:hint="eastAsia" w:ascii="宋体" w:hAnsi="宋体" w:eastAsia="宋体" w:cs="宋体"/>
                <w:b w:val="0"/>
                <w:bCs w:val="0"/>
                <w:spacing w:val="7"/>
                <w:sz w:val="18"/>
                <w:szCs w:val="18"/>
                <w:lang w:val="en-US" w:eastAsia="zh-CN"/>
              </w:rPr>
              <w:t>5年度财务状况报告或基本开户行出具的资信证明）。</w:t>
            </w:r>
          </w:p>
          <w:p w14:paraId="1B434096">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val="en-US" w:eastAsia="zh-CN"/>
              </w:rPr>
              <w:t>4.近2年内，在经营活动中无重大违法记录：重大违法记录是指供应商因违法经营受到刑事处罚，或被责令停产停业、吊销许可证或执照、处以较大数额罚款等行政处罚（较大数额罚款标准依照财库[2022]3号文规定执行）。（需提供加盖公章的承诺函，格式自拟)</w:t>
            </w:r>
          </w:p>
        </w:tc>
        <w:tc>
          <w:tcPr>
            <w:tcW w:w="1440" w:type="dxa"/>
          </w:tcPr>
          <w:p w14:paraId="11B334CA">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c>
          <w:tcPr>
            <w:tcW w:w="1140" w:type="dxa"/>
          </w:tcPr>
          <w:p w14:paraId="0566467E">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674" w:type="dxa"/>
            <w:vAlign w:val="center"/>
          </w:tcPr>
          <w:p w14:paraId="7A7E1C2D">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3</w:t>
            </w:r>
          </w:p>
        </w:tc>
        <w:tc>
          <w:tcPr>
            <w:tcW w:w="6445" w:type="dxa"/>
          </w:tcPr>
          <w:p w14:paraId="637FEDC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三、服务时间与费用说明</w:t>
            </w:r>
          </w:p>
          <w:p w14:paraId="7BB632E4">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1.服务时间：自协议签订之日起，至</w:t>
            </w:r>
            <w:r>
              <w:rPr>
                <w:rFonts w:hint="eastAsia" w:ascii="宋体" w:hAnsi="宋体" w:eastAsia="宋体" w:cs="宋体"/>
                <w:b w:val="0"/>
                <w:bCs w:val="0"/>
                <w:spacing w:val="7"/>
                <w:sz w:val="18"/>
                <w:szCs w:val="18"/>
                <w:lang w:val="en-US" w:eastAsia="zh-CN"/>
              </w:rPr>
              <w:t>固定资产拍卖全流程完成为止。</w:t>
            </w:r>
          </w:p>
          <w:p w14:paraId="28F191E4">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2.费用说明：若拍卖项目成交，拍卖机构可向买受人收取不超过拍卖成交价5%的佣金；若项目流拍次数在三次以内（含三次），拍卖机构不得收取任何服务费用；若流拍超过三次，拍卖机构可向委托人据实收取拍卖信息发布的成本费用。</w:t>
            </w:r>
          </w:p>
        </w:tc>
        <w:tc>
          <w:tcPr>
            <w:tcW w:w="1440" w:type="dxa"/>
          </w:tcPr>
          <w:p w14:paraId="6483D143">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c>
          <w:tcPr>
            <w:tcW w:w="1140" w:type="dxa"/>
          </w:tcPr>
          <w:p w14:paraId="774B4E9C">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74" w:type="dxa"/>
            <w:vAlign w:val="center"/>
          </w:tcPr>
          <w:p w14:paraId="66BBC161">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eastAsia="zh-CN"/>
              </w:rPr>
              <w:t>4</w:t>
            </w:r>
          </w:p>
        </w:tc>
        <w:tc>
          <w:tcPr>
            <w:tcW w:w="6445" w:type="dxa"/>
          </w:tcPr>
          <w:p w14:paraId="747F124F">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ascii="宋体" w:hAnsi="宋体" w:eastAsia="宋体" w:cs="宋体"/>
                <w:b w:val="0"/>
                <w:bCs w:val="0"/>
                <w:spacing w:val="7"/>
                <w:sz w:val="18"/>
                <w:szCs w:val="18"/>
                <w:lang w:val="en-US" w:eastAsia="zh-CN"/>
              </w:rPr>
            </w:pPr>
            <w:r>
              <w:rPr>
                <w:rFonts w:hint="default" w:ascii="宋体" w:hAnsi="宋体" w:eastAsia="宋体" w:cs="宋体"/>
                <w:b w:val="0"/>
                <w:bCs w:val="0"/>
                <w:spacing w:val="7"/>
                <w:sz w:val="18"/>
                <w:szCs w:val="18"/>
                <w:lang w:val="en-US" w:eastAsia="zh-CN"/>
              </w:rPr>
              <w:t>四、响应速度</w:t>
            </w:r>
          </w:p>
          <w:p w14:paraId="5604154D">
            <w:pPr>
              <w:keepNext w:val="0"/>
              <w:keepLines w:val="0"/>
              <w:pageBreakBefore w:val="0"/>
              <w:widowControl/>
              <w:kinsoku w:val="0"/>
              <w:wordWrap/>
              <w:overflowPunct/>
              <w:topLinePunct w:val="0"/>
              <w:autoSpaceDE w:val="0"/>
              <w:autoSpaceDN w:val="0"/>
              <w:bidi w:val="0"/>
              <w:adjustRightInd w:val="0"/>
              <w:snapToGrid w:val="0"/>
              <w:spacing w:line="240" w:lineRule="exact"/>
              <w:ind w:firstLine="388" w:firstLineChars="200"/>
              <w:textAlignment w:val="baseline"/>
              <w:rPr>
                <w:rFonts w:hint="default" w:ascii="宋体" w:hAnsi="宋体" w:eastAsia="宋体" w:cs="宋体"/>
                <w:b w:val="0"/>
                <w:bCs w:val="0"/>
                <w:spacing w:val="7"/>
                <w:sz w:val="18"/>
                <w:szCs w:val="18"/>
                <w:lang w:val="en-US" w:eastAsia="zh-CN"/>
              </w:rPr>
            </w:pPr>
            <w:r>
              <w:rPr>
                <w:rFonts w:hint="default" w:ascii="宋体" w:hAnsi="宋体" w:eastAsia="宋体" w:cs="宋体"/>
                <w:b w:val="0"/>
                <w:bCs w:val="0"/>
                <w:spacing w:val="7"/>
                <w:sz w:val="18"/>
                <w:szCs w:val="18"/>
                <w:lang w:val="en-US" w:eastAsia="zh-CN"/>
              </w:rPr>
              <w:t>在接到项目委托并收到项目资料后的5个工作日内，完成拍卖公告等文件的编制工作；在收到项目质疑投诉后的3个工作日内，完成解决方案的提供及质疑投诉的答复。（需提供加盖公章的响应承诺函，格式自拟）</w:t>
            </w:r>
          </w:p>
        </w:tc>
        <w:tc>
          <w:tcPr>
            <w:tcW w:w="1440" w:type="dxa"/>
          </w:tcPr>
          <w:p w14:paraId="193D8761">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c>
          <w:tcPr>
            <w:tcW w:w="1140" w:type="dxa"/>
          </w:tcPr>
          <w:p w14:paraId="091A4CD4">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r>
      <w:tr w14:paraId="33EBF1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674" w:type="dxa"/>
            <w:vAlign w:val="center"/>
          </w:tcPr>
          <w:p w14:paraId="42C7904E">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hint="default" w:ascii="宋体" w:hAnsi="宋体" w:eastAsia="宋体" w:cs="宋体"/>
                <w:b w:val="0"/>
                <w:bCs w:val="0"/>
                <w:spacing w:val="7"/>
                <w:sz w:val="18"/>
                <w:szCs w:val="18"/>
                <w:lang w:val="en-US" w:eastAsia="zh-CN"/>
              </w:rPr>
            </w:pPr>
            <w:r>
              <w:rPr>
                <w:rFonts w:hint="eastAsia" w:ascii="宋体" w:hAnsi="宋体" w:eastAsia="宋体" w:cs="宋体"/>
                <w:b w:val="0"/>
                <w:bCs w:val="0"/>
                <w:spacing w:val="7"/>
                <w:sz w:val="18"/>
                <w:szCs w:val="18"/>
                <w:lang w:val="en-US" w:eastAsia="zh-CN"/>
              </w:rPr>
              <w:t>5</w:t>
            </w:r>
          </w:p>
        </w:tc>
        <w:tc>
          <w:tcPr>
            <w:tcW w:w="6445" w:type="dxa"/>
          </w:tcPr>
          <w:p w14:paraId="6AF9C68A">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ascii="宋体" w:hAnsi="宋体" w:eastAsia="宋体" w:cs="宋体"/>
                <w:b w:val="0"/>
                <w:bCs w:val="0"/>
                <w:spacing w:val="7"/>
                <w:sz w:val="18"/>
                <w:szCs w:val="18"/>
                <w:lang w:val="en-US" w:eastAsia="zh-CN"/>
              </w:rPr>
            </w:pPr>
            <w:r>
              <w:rPr>
                <w:rFonts w:hint="default" w:ascii="宋体" w:hAnsi="宋体" w:eastAsia="宋体" w:cs="宋体"/>
                <w:b w:val="0"/>
                <w:bCs w:val="0"/>
                <w:spacing w:val="7"/>
                <w:sz w:val="18"/>
                <w:szCs w:val="18"/>
                <w:lang w:val="en-US" w:eastAsia="zh-CN"/>
              </w:rPr>
              <w:t>五、报价方式</w:t>
            </w:r>
          </w:p>
          <w:p w14:paraId="1DFAD799">
            <w:pPr>
              <w:keepNext w:val="0"/>
              <w:keepLines w:val="0"/>
              <w:pageBreakBefore w:val="0"/>
              <w:widowControl/>
              <w:kinsoku w:val="0"/>
              <w:wordWrap/>
              <w:overflowPunct/>
              <w:topLinePunct w:val="0"/>
              <w:autoSpaceDE w:val="0"/>
              <w:autoSpaceDN w:val="0"/>
              <w:bidi w:val="0"/>
              <w:adjustRightInd w:val="0"/>
              <w:snapToGrid w:val="0"/>
              <w:spacing w:line="240" w:lineRule="exact"/>
              <w:ind w:firstLine="388" w:firstLineChars="200"/>
              <w:textAlignment w:val="baseline"/>
              <w:rPr>
                <w:rFonts w:hint="default" w:ascii="宋体" w:hAnsi="宋体" w:eastAsia="宋体" w:cs="宋体"/>
                <w:b w:val="0"/>
                <w:bCs w:val="0"/>
                <w:spacing w:val="7"/>
                <w:sz w:val="18"/>
                <w:szCs w:val="18"/>
                <w:lang w:val="en-US" w:eastAsia="zh-CN"/>
              </w:rPr>
            </w:pPr>
            <w:r>
              <w:rPr>
                <w:rFonts w:hint="default" w:ascii="宋体" w:hAnsi="宋体" w:eastAsia="宋体" w:cs="宋体"/>
                <w:b w:val="0"/>
                <w:bCs w:val="0"/>
                <w:spacing w:val="7"/>
                <w:sz w:val="18"/>
                <w:szCs w:val="18"/>
                <w:lang w:val="en-US" w:eastAsia="zh-CN"/>
              </w:rPr>
              <w:t>本项目佣金费率参照《中华人民共和国拍卖法》相关规定执行，最高不超过成交价款的5%；若报价超出此上限范围，该报价将被视为无效。本项目佣金费用由买受人承担。</w:t>
            </w:r>
          </w:p>
        </w:tc>
        <w:tc>
          <w:tcPr>
            <w:tcW w:w="1440" w:type="dxa"/>
          </w:tcPr>
          <w:p w14:paraId="2B3C829C">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c>
          <w:tcPr>
            <w:tcW w:w="1140" w:type="dxa"/>
          </w:tcPr>
          <w:p w14:paraId="25338072">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31" w:hRule="atLeast"/>
        </w:trPr>
        <w:tc>
          <w:tcPr>
            <w:tcW w:w="674" w:type="dxa"/>
            <w:vAlign w:val="center"/>
          </w:tcPr>
          <w:p w14:paraId="7F4016B6">
            <w:pPr>
              <w:keepNext w:val="0"/>
              <w:keepLines w:val="0"/>
              <w:pageBreakBefore w:val="0"/>
              <w:widowControl/>
              <w:kinsoku w:val="0"/>
              <w:wordWrap/>
              <w:overflowPunct/>
              <w:topLinePunct w:val="0"/>
              <w:autoSpaceDE w:val="0"/>
              <w:autoSpaceDN w:val="0"/>
              <w:bidi w:val="0"/>
              <w:adjustRightInd w:val="0"/>
              <w:snapToGrid w:val="0"/>
              <w:spacing w:line="240" w:lineRule="exact"/>
              <w:jc w:val="center"/>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val="en-US" w:eastAsia="zh-CN"/>
              </w:rPr>
              <w:t>6</w:t>
            </w:r>
          </w:p>
        </w:tc>
        <w:tc>
          <w:tcPr>
            <w:tcW w:w="6445" w:type="dxa"/>
          </w:tcPr>
          <w:p w14:paraId="60881928">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b w:val="0"/>
                <w:bCs w:val="0"/>
                <w:spacing w:val="7"/>
                <w:sz w:val="18"/>
                <w:szCs w:val="18"/>
                <w:lang w:val="en-US" w:eastAsia="zh-CN"/>
              </w:rPr>
            </w:pPr>
            <w:r>
              <w:rPr>
                <w:rFonts w:hint="eastAsia" w:ascii="宋体" w:hAnsi="宋体" w:eastAsia="宋体" w:cs="宋体"/>
                <w:b w:val="0"/>
                <w:bCs w:val="0"/>
                <w:spacing w:val="7"/>
                <w:sz w:val="18"/>
                <w:szCs w:val="18"/>
                <w:lang w:val="en-US" w:eastAsia="zh-CN"/>
              </w:rPr>
              <w:t>六、评审方式</w:t>
            </w:r>
          </w:p>
          <w:p w14:paraId="24D46C07">
            <w:pPr>
              <w:keepNext w:val="0"/>
              <w:keepLines w:val="0"/>
              <w:pageBreakBefore w:val="0"/>
              <w:widowControl/>
              <w:kinsoku w:val="0"/>
              <w:wordWrap/>
              <w:overflowPunct/>
              <w:topLinePunct w:val="0"/>
              <w:autoSpaceDE w:val="0"/>
              <w:autoSpaceDN w:val="0"/>
              <w:bidi w:val="0"/>
              <w:adjustRightInd w:val="0"/>
              <w:snapToGrid w:val="0"/>
              <w:spacing w:line="240" w:lineRule="exact"/>
              <w:ind w:firstLine="388" w:firstLineChars="200"/>
              <w:textAlignment w:val="baseline"/>
              <w:rPr>
                <w:rFonts w:ascii="宋体" w:hAnsi="宋体" w:eastAsia="宋体" w:cs="宋体"/>
                <w:b w:val="0"/>
                <w:bCs w:val="0"/>
                <w:spacing w:val="7"/>
                <w:sz w:val="18"/>
                <w:szCs w:val="18"/>
                <w:lang w:eastAsia="zh-CN"/>
              </w:rPr>
            </w:pPr>
            <w:r>
              <w:rPr>
                <w:rFonts w:hint="eastAsia" w:ascii="宋体" w:hAnsi="宋体" w:eastAsia="宋体" w:cs="宋体"/>
                <w:b w:val="0"/>
                <w:bCs w:val="0"/>
                <w:spacing w:val="7"/>
                <w:sz w:val="18"/>
                <w:szCs w:val="18"/>
                <w:lang w:val="en-US" w:eastAsia="zh-CN"/>
              </w:rPr>
              <w:t>本项目的评审采用综合评分法，（评分标准详见附件：中山市东升医院拍卖代理服务项目评分表）。先进行资格符合性评审，再进行商务、技术及价格的详细评审(商务技术评分：90分，价格评分：10分)，如果出现总分相同情形，以平台响应报名时间更早者为优先。</w:t>
            </w:r>
          </w:p>
        </w:tc>
        <w:tc>
          <w:tcPr>
            <w:tcW w:w="1440" w:type="dxa"/>
          </w:tcPr>
          <w:p w14:paraId="400EB205">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c>
          <w:tcPr>
            <w:tcW w:w="1140" w:type="dxa"/>
          </w:tcPr>
          <w:p w14:paraId="4379F7B4">
            <w:pPr>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ascii="宋体" w:hAnsi="宋体" w:eastAsia="宋体" w:cs="宋体"/>
                <w:b w:val="0"/>
                <w:bCs w:val="0"/>
                <w:spacing w:val="7"/>
                <w:sz w:val="18"/>
                <w:szCs w:val="18"/>
                <w:lang w:eastAsia="zh-CN"/>
              </w:rPr>
            </w:pPr>
          </w:p>
        </w:tc>
      </w:tr>
    </w:tbl>
    <w:p w14:paraId="5EFF081B">
      <w:pPr>
        <w:rPr>
          <w:rFonts w:ascii="宋体" w:hAnsi="宋体" w:eastAsia="宋体" w:cs="宋体"/>
          <w:b/>
          <w:bCs/>
          <w:spacing w:val="7"/>
          <w:sz w:val="20"/>
          <w:szCs w:val="20"/>
          <w:lang w:eastAsia="zh-CN"/>
        </w:rPr>
      </w:pPr>
    </w:p>
    <w:p w14:paraId="3447D6D1">
      <w:pPr>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br w:type="page"/>
      </w:r>
    </w:p>
    <w:p w14:paraId="37C98485">
      <w:pPr>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五</w:t>
      </w:r>
      <w:r>
        <w:rPr>
          <w:rFonts w:ascii="宋体" w:hAnsi="宋体" w:eastAsia="宋体" w:cs="宋体"/>
          <w:b/>
          <w:bCs/>
          <w:spacing w:val="7"/>
          <w:sz w:val="20"/>
          <w:szCs w:val="20"/>
          <w:lang w:eastAsia="zh-CN"/>
        </w:rPr>
        <w:t>、项目整体实施方案（格式自拟）</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3979436C">
      <w:pPr>
        <w:spacing w:before="60"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六、服务承诺函（格式自拟），包括但不限于承诺：①近2年内，在经营活动中无重大违法记录：重大违法记录是指供应商因违法经营受到刑事处罚，或被责令停产停业、吊销许可证或执照、处以较大数额罚款等行政处罚（较大数额罚款标准依照财库[2022]3号文规定执行）。②在接到项目委托并收到项目资料后的5个工作日内，完成拍卖公告等文件的编制工作；在收到项目质疑投诉后的3个工作日内，完成解决方案的提供及质疑投诉的答复。</w:t>
      </w:r>
    </w:p>
    <w:p w14:paraId="435ADD8F">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1B55C4C2">
      <w:pPr>
        <w:spacing w:before="60"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七</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供应商</w:t>
      </w:r>
      <w:r>
        <w:rPr>
          <w:rFonts w:ascii="宋体" w:hAnsi="宋体" w:eastAsia="宋体" w:cs="宋体"/>
          <w:b/>
          <w:bCs/>
          <w:spacing w:val="7"/>
          <w:sz w:val="20"/>
          <w:szCs w:val="20"/>
          <w:lang w:eastAsia="zh-CN"/>
        </w:rPr>
        <w:t>认为需要提供的其他材料（如无、可删）</w:t>
      </w:r>
    </w:p>
    <w:p w14:paraId="4AE5DF87">
      <w:pPr>
        <w:rPr>
          <w:lang w:eastAsia="zh-CN"/>
        </w:rPr>
      </w:pPr>
    </w:p>
    <w:sectPr>
      <w:pgSz w:w="11900" w:h="16840"/>
      <w:pgMar w:top="850" w:right="1417" w:bottom="850" w:left="1474"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B6237D"/>
    <w:rsid w:val="00DF1B45"/>
    <w:rsid w:val="01E26336"/>
    <w:rsid w:val="05D250F6"/>
    <w:rsid w:val="07DE22A7"/>
    <w:rsid w:val="0A382368"/>
    <w:rsid w:val="0CAF263C"/>
    <w:rsid w:val="0E9C78E3"/>
    <w:rsid w:val="132000EC"/>
    <w:rsid w:val="13666B31"/>
    <w:rsid w:val="162B211D"/>
    <w:rsid w:val="16DD5993"/>
    <w:rsid w:val="179235EA"/>
    <w:rsid w:val="1EA21FDF"/>
    <w:rsid w:val="23487B36"/>
    <w:rsid w:val="2695736E"/>
    <w:rsid w:val="26B446CD"/>
    <w:rsid w:val="2A2F24AE"/>
    <w:rsid w:val="3F26686A"/>
    <w:rsid w:val="40C03509"/>
    <w:rsid w:val="417C3CF6"/>
    <w:rsid w:val="41D32FC3"/>
    <w:rsid w:val="4FC151B1"/>
    <w:rsid w:val="50573AD2"/>
    <w:rsid w:val="51566B4C"/>
    <w:rsid w:val="556A1102"/>
    <w:rsid w:val="58514D81"/>
    <w:rsid w:val="5AFC3F78"/>
    <w:rsid w:val="5E5E5F4E"/>
    <w:rsid w:val="62B81C54"/>
    <w:rsid w:val="642E04F7"/>
    <w:rsid w:val="6A7937A6"/>
    <w:rsid w:val="6C8F21FC"/>
    <w:rsid w:val="6D724552"/>
    <w:rsid w:val="6DE63CE5"/>
    <w:rsid w:val="6ECE2EB0"/>
    <w:rsid w:val="6EFF1B2A"/>
    <w:rsid w:val="73252077"/>
    <w:rsid w:val="74730CF0"/>
    <w:rsid w:val="75074AF2"/>
    <w:rsid w:val="7CBF78C7"/>
    <w:rsid w:val="7DC434F9"/>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style>
  <w:style w:type="paragraph" w:styleId="3">
    <w:name w:val="Normal (Web)"/>
    <w:basedOn w:val="1"/>
    <w:qFormat/>
    <w:uiPriority w:val="0"/>
    <w:pPr>
      <w:spacing w:before="100" w:beforeAutospacing="1" w:after="100" w:afterAutospacing="1"/>
    </w:pPr>
    <w:rPr>
      <w:rFonts w:cs="Times New Roman"/>
      <w:sz w:val="24"/>
      <w:lang w:eastAsia="zh-CN"/>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style>
  <w:style w:type="paragraph" w:customStyle="1" w:styleId="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19</Pages>
  <Words>4322</Words>
  <Characters>4479</Characters>
  <Lines>55</Lines>
  <Paragraphs>15</Paragraphs>
  <TotalTime>1</TotalTime>
  <ScaleCrop>false</ScaleCrop>
  <LinksUpToDate>false</LinksUpToDate>
  <CharactersWithSpaces>4851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2026-06-30T07:07:50Z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31999C2716284DC483EBD56CEEAE96FA_11</vt:lpwstr>
  </property>
  <property fmtid="{D5CDD505-2E9C-101B-9397-08002B2CF9AE}" pid="4" name="KSOTemplateDocerSaveRecord">
    <vt:lpwstr>eyJoZGlkIjoiZjMxODI1ZDk1NTM3ZThjZDIyMDM0N2Q4Njc3ODMwMjMiLCJ1c2VySWQiOiIyNjI5MDY5MzEifQ==</vt:lpwstr>
  </property>
</Properties>
</file>