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中山市东升医院1号楼配镜中心场地招租项目（二次）</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1"/>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上浮率报价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6997B95">
            <w:pPr>
              <w:ind w:left="142" w:right="108"/>
              <w:jc w:val="center"/>
              <w:rPr>
                <w:rFonts w:hint="default" w:ascii="宋体" w:hAnsi="宋体" w:eastAsia="宋体" w:cs="宋体"/>
                <w:sz w:val="24"/>
                <w:szCs w:val="24"/>
                <w:lang w:val="en-US" w:eastAsia="zh-CN"/>
              </w:rPr>
            </w:pPr>
            <w:r>
              <w:rPr>
                <w:rFonts w:hint="eastAsia" w:ascii="宋体" w:hAnsi="宋体" w:eastAsia="宋体" w:cs="宋体"/>
                <w:b/>
                <w:bCs/>
                <w:spacing w:val="2"/>
                <w:sz w:val="24"/>
                <w:szCs w:val="24"/>
                <w:lang w:val="en-US" w:eastAsia="zh-CN"/>
              </w:rPr>
              <w:t>中山市东升医院1号楼配镜中心场地招租项目（二次）</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p>
        </w:tc>
        <w:tc>
          <w:tcPr>
            <w:tcW w:w="2455" w:type="dxa"/>
            <w:vAlign w:val="center"/>
          </w:tcPr>
          <w:p w14:paraId="417A2084">
            <w:pPr>
              <w:jc w:val="center"/>
              <w:rPr>
                <w:rFonts w:hint="default" w:eastAsia="宋体"/>
                <w:lang w:val="en-US" w:eastAsia="zh-CN"/>
              </w:rPr>
            </w:pPr>
          </w:p>
        </w:tc>
      </w:tr>
    </w:tbl>
    <w:p w14:paraId="06BFCCF9">
      <w:pPr>
        <w:pStyle w:val="3"/>
        <w:spacing w:line="371" w:lineRule="auto"/>
      </w:pPr>
    </w:p>
    <w:p w14:paraId="1CE97BEE">
      <w:pPr>
        <w:pStyle w:val="3"/>
        <w:spacing w:line="371" w:lineRule="auto"/>
      </w:pPr>
    </w:p>
    <w:p w14:paraId="7491E2FB">
      <w:pPr>
        <w:pStyle w:val="10"/>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01F27745">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1. 本项目采用院内公开招租、线上竞价方式开展，响应服务商无需现场参与，全程在线完成报价。报价为在项目底价基础上报出响应上浮率，项目底价为8000元/月。低于项目底价的报价视为无效报价。</w:t>
      </w:r>
    </w:p>
    <w:p w14:paraId="679859D1">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2. 计算公式：合同成交单价=（1+中标上浮率）* 底价（计算结果可保留小数点后两位），报价上浮率必须大于0%（不含本数），否则视为无效报价。</w:t>
      </w:r>
    </w:p>
    <w:p w14:paraId="1E403FE6">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3. 最终有效报价次数：1次。响应服务商可在报价截止时间前多轮实时更新报价信息，以截止时间的报价为最终报价。报价截止时间：2026年8月21日17:00分。</w:t>
      </w:r>
    </w:p>
    <w:p w14:paraId="10FEFB65">
      <w:pPr>
        <w:pStyle w:val="3"/>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ascii="宋体" w:hAnsi="宋体" w:eastAsia="宋体" w:cs="宋体"/>
          <w:spacing w:val="2"/>
          <w:sz w:val="24"/>
          <w:szCs w:val="24"/>
          <w:lang w:eastAsia="zh-CN"/>
        </w:rPr>
      </w:pPr>
      <w:r>
        <w:rPr>
          <w:rFonts w:hint="eastAsia" w:ascii="宋体" w:hAnsi="宋体" w:eastAsia="宋体" w:cs="宋体"/>
          <w:b/>
          <w:bCs/>
          <w:spacing w:val="7"/>
          <w:sz w:val="20"/>
          <w:szCs w:val="20"/>
          <w:lang w:val="en-US" w:eastAsia="zh-CN"/>
        </w:rPr>
        <w:t>4. 本项目评审工作依次开展资格性审查与符合性审查，未通过任意一项审查的供应商不得进入后续竞价环节。通过资格性审查与符合性审查的供应商，遵循价格优先原则，按报价由高至低排序（若两家及以上服务商报价相同，则以在平台完成响应报名时间更早者排序优先），报价最高者确定为第一中标候选人，次高者确定为第二中标候选人，其余以此类推。若第一中标候选人放弃中标资格，则按照上述排序依次递补，将第二中标候选人确定为中标人，其余情况以此类推。</w:t>
      </w:r>
    </w:p>
    <w:p w14:paraId="573023C5">
      <w:pPr>
        <w:pStyle w:val="10"/>
        <w:rPr>
          <w:rFonts w:ascii="宋体" w:hAnsi="宋体" w:eastAsia="宋体" w:cs="宋体"/>
          <w:spacing w:val="2"/>
          <w:sz w:val="24"/>
          <w:szCs w:val="24"/>
          <w:lang w:eastAsia="zh-CN"/>
        </w:rPr>
      </w:pPr>
    </w:p>
    <w:p w14:paraId="400D596C">
      <w:pPr>
        <w:pStyle w:val="10"/>
        <w:rPr>
          <w:rFonts w:ascii="宋体" w:hAnsi="宋体" w:eastAsia="宋体" w:cs="宋体"/>
          <w:spacing w:val="2"/>
          <w:sz w:val="24"/>
          <w:szCs w:val="24"/>
          <w:lang w:eastAsia="zh-CN"/>
        </w:rPr>
      </w:pPr>
    </w:p>
    <w:p w14:paraId="4E28C739">
      <w:pPr>
        <w:pStyle w:val="10"/>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48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中山市东升医院1号楼配镜中心场地招租项目（二次）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包括但不限于：软性、硬性角膜接触镜、框架镜的零售等，加盖公章</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中山市东升医院1号楼配镜中心场地招租项目（二次）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hint="default" w:ascii="宋体" w:hAnsi="宋体" w:eastAsia="宋体" w:cs="宋体"/>
          <w:sz w:val="20"/>
          <w:szCs w:val="20"/>
          <w:lang w:val="en-US"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r>
        <w:rPr>
          <w:rFonts w:hint="eastAsia" w:ascii="宋体" w:hAnsi="宋体" w:eastAsia="宋体" w:cs="宋体"/>
          <w:b/>
          <w:bCs/>
          <w:spacing w:val="-1"/>
          <w:sz w:val="20"/>
          <w:szCs w:val="20"/>
          <w:lang w:eastAsia="zh-CN"/>
        </w:rPr>
        <w:t>（</w:t>
      </w:r>
      <w:r>
        <w:rPr>
          <w:rFonts w:hint="eastAsia" w:ascii="宋体" w:hAnsi="宋体" w:eastAsia="宋体" w:cs="宋体"/>
          <w:b/>
          <w:bCs/>
          <w:spacing w:val="-1"/>
          <w:sz w:val="20"/>
          <w:szCs w:val="20"/>
          <w:lang w:val="en-US" w:eastAsia="zh-CN"/>
        </w:rPr>
        <w:t>加盖公章）。</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 12 个月内任何时间的纳税证明资料复印件</w:t>
      </w:r>
      <w:r>
        <w:rPr>
          <w:rFonts w:hint="eastAsia"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，如依法免税的，应提供相应文件证明</w:t>
      </w:r>
      <w:r>
        <w:rPr>
          <w:rFonts w:hint="eastAsia" w:ascii="宋体" w:hAnsi="宋体" w:eastAsia="宋体" w:cs="宋体"/>
          <w:b/>
          <w:bCs/>
          <w:spacing w:val="8"/>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 12 个月内任何时间的缴交社保证明资料复印件</w:t>
      </w:r>
      <w:r>
        <w:rPr>
          <w:rFonts w:hint="eastAsia" w:ascii="宋体" w:hAnsi="宋体" w:eastAsia="宋体" w:cs="宋体"/>
          <w:b/>
          <w:bCs/>
          <w:spacing w:val="3"/>
          <w:sz w:val="20"/>
          <w:szCs w:val="20"/>
          <w:lang w:eastAsia="zh-CN"/>
        </w:rPr>
        <w:t>（</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，如依法不需要缴纳社会保障资金的，应提供相应文件证明</w:t>
      </w:r>
      <w:r>
        <w:rPr>
          <w:rFonts w:hint="eastAsia" w:ascii="宋体" w:hAnsi="宋体" w:eastAsia="宋体" w:cs="宋体"/>
          <w:b/>
          <w:bCs/>
          <w:spacing w:val="3"/>
          <w:sz w:val="20"/>
          <w:szCs w:val="20"/>
          <w:lang w:eastAsia="zh-CN"/>
        </w:rPr>
        <w:t>。</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line="2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bookmarkStart w:id="0" w:name="_GoBack"/>
      <w:bookmarkEnd w:id="0"/>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十一、相关资质证明文件（加盖公章），包括但不限于：有效的销售二类医疗器械资质等相关资料等。</w:t>
      </w:r>
    </w:p>
    <w:p w14:paraId="16909AC6">
      <w:pPr>
        <w:rPr>
          <w:rFonts w:hint="default"/>
          <w:lang w:val="en-US" w:eastAsia="zh-CN"/>
        </w:rPr>
      </w:pPr>
      <w:r>
        <w:rPr>
          <w:rFonts w:hint="default"/>
          <w:lang w:val="en-US" w:eastAsia="zh-CN"/>
        </w:rPr>
        <w:br w:type="page"/>
      </w: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1"/>
        <w:tblW w:w="9506" w:type="dxa"/>
        <w:tblInd w:w="-3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720"/>
        <w:gridCol w:w="5250"/>
        <w:gridCol w:w="1316"/>
        <w:gridCol w:w="1065"/>
        <w:gridCol w:w="1155"/>
      </w:tblGrid>
      <w:tr w14:paraId="181078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62" w:hRule="atLeast"/>
        </w:trPr>
        <w:tc>
          <w:tcPr>
            <w:tcW w:w="720" w:type="dxa"/>
            <w:vAlign w:val="center"/>
          </w:tcPr>
          <w:p w14:paraId="5BDB5DDC">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5"/>
              </w:rPr>
              <w:t>序号</w:t>
            </w:r>
          </w:p>
        </w:tc>
        <w:tc>
          <w:tcPr>
            <w:tcW w:w="5250" w:type="dxa"/>
            <w:vAlign w:val="center"/>
          </w:tcPr>
          <w:p w14:paraId="3674397B">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8"/>
              </w:rPr>
              <w:t>采购需求的要求</w:t>
            </w:r>
          </w:p>
        </w:tc>
        <w:tc>
          <w:tcPr>
            <w:tcW w:w="1316" w:type="dxa"/>
            <w:vAlign w:val="center"/>
          </w:tcPr>
          <w:p w14:paraId="53D5C9DE">
            <w:pPr>
              <w:keepNext w:val="0"/>
              <w:keepLines w:val="0"/>
              <w:pageBreakBefore w:val="0"/>
              <w:widowControl w:val="0"/>
              <w:kinsoku w:val="0"/>
              <w:wordWrap/>
              <w:overflowPunct/>
              <w:topLinePunct w:val="0"/>
              <w:autoSpaceDE w:val="0"/>
              <w:autoSpaceDN w:val="0"/>
              <w:bidi w:val="0"/>
              <w:adjustRightInd w:val="0"/>
              <w:snapToGrid w:val="0"/>
              <w:spacing w:line="240" w:lineRule="exact"/>
              <w:ind w:right="241"/>
              <w:jc w:val="center"/>
              <w:textAlignment w:val="baseline"/>
              <w:rPr>
                <w:rFonts w:hint="eastAsia" w:ascii="宋体" w:hAnsi="宋体" w:eastAsia="宋体" w:cs="宋体"/>
                <w:b/>
                <w:bCs/>
                <w:lang w:val="en-US" w:eastAsia="zh-CN"/>
              </w:rPr>
            </w:pPr>
            <w:r>
              <w:rPr>
                <w:rFonts w:hint="eastAsia" w:ascii="宋体" w:hAnsi="宋体" w:eastAsia="宋体" w:cs="宋体"/>
                <w:b/>
                <w:bCs/>
                <w:lang w:val="en-US" w:eastAsia="zh-CN"/>
              </w:rPr>
              <w:t>完全响应</w:t>
            </w:r>
          </w:p>
          <w:p w14:paraId="11648733">
            <w:pPr>
              <w:keepNext w:val="0"/>
              <w:keepLines w:val="0"/>
              <w:pageBreakBefore w:val="0"/>
              <w:widowControl w:val="0"/>
              <w:kinsoku w:val="0"/>
              <w:wordWrap/>
              <w:overflowPunct/>
              <w:topLinePunct w:val="0"/>
              <w:autoSpaceDE w:val="0"/>
              <w:autoSpaceDN w:val="0"/>
              <w:bidi w:val="0"/>
              <w:adjustRightInd w:val="0"/>
              <w:snapToGrid w:val="0"/>
              <w:spacing w:line="240" w:lineRule="exact"/>
              <w:ind w:right="241"/>
              <w:jc w:val="center"/>
              <w:textAlignment w:val="baseline"/>
              <w:rPr>
                <w:rFonts w:hint="eastAsia" w:ascii="宋体" w:hAnsi="宋体" w:eastAsia="宋体" w:cs="宋体"/>
                <w:b/>
                <w:bCs/>
                <w:lang w:val="en-US" w:eastAsia="zh-CN"/>
              </w:rPr>
            </w:pPr>
            <w:r>
              <w:rPr>
                <w:rFonts w:hint="eastAsia" w:ascii="宋体" w:hAnsi="宋体" w:eastAsia="宋体" w:cs="宋体"/>
                <w:b/>
                <w:bCs/>
                <w:lang w:val="en-US" w:eastAsia="zh-CN"/>
              </w:rPr>
              <w:t>或</w:t>
            </w:r>
          </w:p>
          <w:p w14:paraId="069EC207">
            <w:pPr>
              <w:keepNext w:val="0"/>
              <w:keepLines w:val="0"/>
              <w:pageBreakBefore w:val="0"/>
              <w:widowControl w:val="0"/>
              <w:kinsoku w:val="0"/>
              <w:wordWrap/>
              <w:overflowPunct/>
              <w:topLinePunct w:val="0"/>
              <w:autoSpaceDE w:val="0"/>
              <w:autoSpaceDN w:val="0"/>
              <w:bidi w:val="0"/>
              <w:adjustRightInd w:val="0"/>
              <w:snapToGrid w:val="0"/>
              <w:spacing w:line="240" w:lineRule="exact"/>
              <w:ind w:right="241"/>
              <w:jc w:val="center"/>
              <w:textAlignment w:val="baseline"/>
              <w:rPr>
                <w:rFonts w:hint="default" w:ascii="宋体" w:hAnsi="宋体" w:eastAsia="宋体" w:cs="宋体"/>
                <w:b/>
                <w:bCs/>
                <w:lang w:val="en-US" w:eastAsia="zh-CN"/>
              </w:rPr>
            </w:pPr>
            <w:r>
              <w:rPr>
                <w:rFonts w:hint="eastAsia" w:ascii="宋体" w:hAnsi="宋体" w:eastAsia="宋体" w:cs="宋体"/>
                <w:b/>
                <w:bCs/>
                <w:lang w:val="en-US" w:eastAsia="zh-CN"/>
              </w:rPr>
              <w:t>正/负偏离</w:t>
            </w:r>
          </w:p>
        </w:tc>
        <w:tc>
          <w:tcPr>
            <w:tcW w:w="1065" w:type="dxa"/>
            <w:vAlign w:val="center"/>
          </w:tcPr>
          <w:p w14:paraId="5EF5EA10">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rPr>
            </w:pPr>
            <w:r>
              <w:rPr>
                <w:rFonts w:hint="eastAsia" w:ascii="宋体" w:hAnsi="宋体" w:eastAsia="宋体" w:cs="宋体"/>
                <w:b/>
                <w:bCs/>
                <w:spacing w:val="7"/>
              </w:rPr>
              <w:t>偏离</w:t>
            </w:r>
          </w:p>
          <w:p w14:paraId="189B2D09">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bCs/>
              </w:rPr>
            </w:pPr>
            <w:r>
              <w:rPr>
                <w:rFonts w:hint="eastAsia" w:ascii="宋体" w:hAnsi="宋体" w:eastAsia="宋体" w:cs="宋体"/>
                <w:b/>
                <w:bCs/>
                <w:spacing w:val="7"/>
              </w:rPr>
              <w:t>情况</w:t>
            </w:r>
          </w:p>
        </w:tc>
        <w:tc>
          <w:tcPr>
            <w:tcW w:w="1155" w:type="dxa"/>
            <w:vAlign w:val="center"/>
          </w:tcPr>
          <w:p w14:paraId="6536E5BF">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6A8F2851">
            <w:pPr>
              <w:keepNext w:val="0"/>
              <w:keepLines w:val="0"/>
              <w:pageBreakBefore w:val="0"/>
              <w:widowControl w:val="0"/>
              <w:kinsoku w:val="0"/>
              <w:wordWrap/>
              <w:overflowPunct/>
              <w:topLinePunct w:val="0"/>
              <w:autoSpaceDE w:val="0"/>
              <w:autoSpaceDN w:val="0"/>
              <w:bidi w:val="0"/>
              <w:adjustRightInd w:val="0"/>
              <w:snapToGrid w:val="0"/>
              <w:spacing w:line="240" w:lineRule="exact"/>
              <w:jc w:val="center"/>
              <w:textAlignment w:val="baseline"/>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6839F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20" w:type="dxa"/>
            <w:vAlign w:val="center"/>
          </w:tcPr>
          <w:p w14:paraId="65A6A3D8">
            <w:pPr>
              <w:spacing w:before="65" w:line="270" w:lineRule="exact"/>
              <w:jc w:val="center"/>
              <w:rPr>
                <w:rFonts w:ascii="宋体" w:hAnsi="宋体" w:eastAsia="宋体" w:cs="宋体"/>
                <w:sz w:val="18"/>
                <w:szCs w:val="18"/>
              </w:rPr>
            </w:pPr>
            <w:r>
              <w:rPr>
                <w:rFonts w:hint="eastAsia" w:ascii="宋体" w:hAnsi="宋体" w:eastAsia="宋体" w:cs="宋体"/>
                <w:position w:val="1"/>
                <w:sz w:val="18"/>
                <w:szCs w:val="18"/>
              </w:rPr>
              <w:t>1</w:t>
            </w:r>
          </w:p>
        </w:tc>
        <w:tc>
          <w:tcPr>
            <w:tcW w:w="5250" w:type="dxa"/>
          </w:tcPr>
          <w:p w14:paraId="632199BD">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一、项目概况：</w:t>
            </w:r>
          </w:p>
          <w:p w14:paraId="5D2E7370">
            <w:pPr>
              <w:pStyle w:val="6"/>
              <w:widowControl w:val="0"/>
              <w:kinsoku/>
              <w:autoSpaceDN/>
              <w:adjustRightInd/>
              <w:snapToGrid/>
              <w:spacing w:before="0" w:beforeAutospacing="0" w:after="0" w:afterAutospacing="0" w:line="240" w:lineRule="exact"/>
              <w:rPr>
                <w:rFonts w:hint="default" w:ascii="宋体" w:hAnsi="宋体" w:eastAsia="宋体" w:cs="宋体"/>
                <w:sz w:val="18"/>
                <w:szCs w:val="18"/>
                <w:lang w:val="en-US"/>
              </w:rPr>
            </w:pPr>
            <w:r>
              <w:rPr>
                <w:rFonts w:hint="eastAsia" w:ascii="宋体" w:hAnsi="宋体" w:eastAsia="宋体" w:cs="宋体"/>
                <w:sz w:val="18"/>
                <w:szCs w:val="18"/>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项目名称：</w:t>
            </w:r>
            <w:r>
              <w:rPr>
                <w:rFonts w:hint="eastAsia" w:ascii="宋体" w:hAnsi="宋体" w:eastAsia="宋体" w:cs="宋体"/>
                <w:sz w:val="18"/>
                <w:szCs w:val="18"/>
                <w:lang w:eastAsia="zh-CN"/>
              </w:rPr>
              <w:t>中山市东升医院1号楼配镜中心场地招租项目（</w:t>
            </w:r>
            <w:r>
              <w:rPr>
                <w:rFonts w:hint="eastAsia" w:ascii="宋体" w:hAnsi="宋体" w:eastAsia="宋体" w:cs="宋体"/>
                <w:sz w:val="18"/>
                <w:szCs w:val="18"/>
                <w:lang w:val="en-US" w:eastAsia="zh-CN"/>
              </w:rPr>
              <w:t>二次）</w:t>
            </w:r>
          </w:p>
          <w:p w14:paraId="03A48C9F">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项目编号：FW-CW-WGK-2026052</w:t>
            </w:r>
          </w:p>
          <w:p w14:paraId="58F24193">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项目地点：中山市东升医院</w:t>
            </w:r>
            <w:r>
              <w:rPr>
                <w:rFonts w:hint="eastAsia" w:ascii="宋体" w:hAnsi="宋体" w:eastAsia="宋体" w:cs="宋体"/>
                <w:sz w:val="18"/>
                <w:szCs w:val="18"/>
                <w:lang w:val="en-US" w:eastAsia="zh-CN"/>
              </w:rPr>
              <w:t>1号楼三楼大厅</w:t>
            </w:r>
          </w:p>
          <w:p w14:paraId="490F326A">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项目底价：</w:t>
            </w:r>
            <w:r>
              <w:rPr>
                <w:rFonts w:hint="eastAsia" w:ascii="宋体" w:hAnsi="宋体" w:eastAsia="宋体" w:cs="宋体"/>
                <w:sz w:val="18"/>
                <w:szCs w:val="18"/>
                <w:lang w:val="en-US" w:eastAsia="zh-CN"/>
              </w:rPr>
              <w:t>8000元/月</w:t>
            </w:r>
          </w:p>
          <w:p w14:paraId="6A1391CB">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服务期限：自签订合同起三年</w:t>
            </w:r>
          </w:p>
          <w:p w14:paraId="6A6CFDF8">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6. 项目内容：医院提供约25平方米的独立场地区域，以及30平方米与门诊、检查室共用的区域，成交服务商负责自行投入设备、承担装修、配置人员并开展运营，按期向医院缴纳场地租金。</w:t>
            </w:r>
          </w:p>
          <w:p w14:paraId="068C4C07">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7. 本公告中凡标注“★”的内容条款，均为重要响应要求、技术指标要求及服务要求，服务商须对上述条款逐一作出回应，且须完全满足相关要求，不得出现任何负偏离，若存在负偏离，该报价将被视为无效报价。</w:t>
            </w:r>
          </w:p>
          <w:p w14:paraId="4E4D3C3C">
            <w:pPr>
              <w:pStyle w:val="6"/>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8. 服务商参与报价即视为完全响应用户需求书的参数要求，并承诺中选后可按用户需求书要求执行（须提供承诺书，格式自拟）。</w:t>
            </w:r>
          </w:p>
          <w:p w14:paraId="05578F4E">
            <w:pPr>
              <w:pStyle w:val="6"/>
              <w:widowControl w:val="0"/>
              <w:kinsoku/>
              <w:autoSpaceDN/>
              <w:adjustRightInd/>
              <w:snapToGrid/>
              <w:spacing w:before="0" w:beforeAutospacing="0" w:after="0" w:afterAutospacing="0" w:line="240" w:lineRule="exact"/>
              <w:rPr>
                <w:rFonts w:ascii="宋体" w:hAnsi="宋体" w:eastAsia="宋体" w:cs="宋体"/>
                <w:sz w:val="18"/>
                <w:szCs w:val="18"/>
              </w:rPr>
            </w:pPr>
            <w:r>
              <w:rPr>
                <w:rFonts w:hint="eastAsia" w:ascii="宋体" w:hAnsi="宋体" w:eastAsia="宋体" w:cs="宋体"/>
                <w:sz w:val="18"/>
                <w:szCs w:val="18"/>
                <w:lang w:val="en-US" w:eastAsia="zh-CN"/>
              </w:rPr>
              <w:t>9. 本项目不接受联合体投标。成交服务商不得以任何方式转包或分包本项目，否则将视为违约。</w:t>
            </w:r>
          </w:p>
        </w:tc>
        <w:tc>
          <w:tcPr>
            <w:tcW w:w="1316" w:type="dxa"/>
          </w:tcPr>
          <w:p w14:paraId="5B3B314A">
            <w:pPr>
              <w:pStyle w:val="12"/>
              <w:rPr>
                <w:rFonts w:ascii="宋体" w:hAnsi="宋体" w:eastAsia="宋体" w:cs="宋体"/>
                <w:sz w:val="18"/>
                <w:szCs w:val="18"/>
                <w:lang w:eastAsia="zh-CN"/>
              </w:rPr>
            </w:pPr>
          </w:p>
        </w:tc>
        <w:tc>
          <w:tcPr>
            <w:tcW w:w="1065" w:type="dxa"/>
          </w:tcPr>
          <w:p w14:paraId="28582A36">
            <w:pPr>
              <w:pStyle w:val="12"/>
              <w:rPr>
                <w:rFonts w:ascii="宋体" w:hAnsi="宋体" w:eastAsia="宋体" w:cs="宋体"/>
                <w:sz w:val="18"/>
                <w:szCs w:val="18"/>
                <w:lang w:eastAsia="zh-CN"/>
              </w:rPr>
            </w:pPr>
          </w:p>
        </w:tc>
        <w:tc>
          <w:tcPr>
            <w:tcW w:w="1155" w:type="dxa"/>
          </w:tcPr>
          <w:p w14:paraId="5A01DDD4">
            <w:pPr>
              <w:pStyle w:val="12"/>
              <w:rPr>
                <w:rFonts w:ascii="宋体" w:hAnsi="宋体" w:eastAsia="宋体" w:cs="宋体"/>
                <w:sz w:val="18"/>
                <w:szCs w:val="18"/>
                <w:lang w:eastAsia="zh-CN"/>
              </w:rPr>
            </w:pPr>
          </w:p>
        </w:tc>
      </w:tr>
      <w:tr w14:paraId="11A94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720" w:type="dxa"/>
            <w:vAlign w:val="center"/>
          </w:tcPr>
          <w:p w14:paraId="2D18E0F6">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2</w:t>
            </w:r>
          </w:p>
        </w:tc>
        <w:tc>
          <w:tcPr>
            <w:tcW w:w="5250" w:type="dxa"/>
          </w:tcPr>
          <w:p w14:paraId="125FBD81">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二、服务商资格：</w:t>
            </w:r>
          </w:p>
          <w:p w14:paraId="434AB719">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响应服务商须为在中华人民共和国境内注册，能够独立承担民事责任的企业法人、其他组织或自然人。若为分支机构参与响应，应提供总公司与分公司的营业执照复印件，以及总公司出具给分支机构的授权书。</w:t>
            </w:r>
          </w:p>
          <w:p w14:paraId="4A44C55F">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2. ★响应服务商须持有有效的营业执照，且其经营范围包含相关业务；同时，须根据本项目的具体特性，提供有效的</w:t>
            </w:r>
            <w:r>
              <w:rPr>
                <w:rFonts w:hint="eastAsia" w:ascii="宋体" w:hAnsi="宋体" w:eastAsia="宋体" w:cs="宋体"/>
                <w:sz w:val="18"/>
                <w:szCs w:val="18"/>
                <w:lang w:val="en-US" w:eastAsia="zh-CN"/>
              </w:rPr>
              <w:t>销售二类医疗器械资质</w:t>
            </w:r>
            <w:r>
              <w:rPr>
                <w:rFonts w:hint="eastAsia" w:ascii="宋体" w:hAnsi="宋体" w:eastAsia="宋体" w:cs="宋体"/>
                <w:sz w:val="18"/>
                <w:szCs w:val="18"/>
                <w:lang w:eastAsia="zh-CN"/>
              </w:rPr>
              <w:t>等相关资料。</w:t>
            </w:r>
          </w:p>
          <w:p w14:paraId="425E7FA4">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3</w:t>
            </w:r>
            <w:r>
              <w:rPr>
                <w:rFonts w:hint="eastAsia" w:ascii="宋体" w:hAnsi="宋体" w:eastAsia="宋体" w:cs="宋体"/>
                <w:sz w:val="18"/>
                <w:szCs w:val="18"/>
                <w:lang w:val="en-US" w:eastAsia="zh-CN"/>
              </w:rPr>
              <w:t>. 响应供应商应具备项目承接能力、合同履约能力、售后服务能力及良好的商业信誉。</w:t>
            </w:r>
          </w:p>
          <w:p w14:paraId="1F078032">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4. 响应供应商须具有良好的商业信誉和健全的财务会计制度，并具有依法缴纳税收和社会保障资金的良好记录。</w:t>
            </w:r>
          </w:p>
          <w:p w14:paraId="4D78AD7E">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 xml:space="preserve">5. </w:t>
            </w:r>
            <w:r>
              <w:rPr>
                <w:rFonts w:hint="eastAsia" w:ascii="宋体" w:hAnsi="宋体" w:eastAsia="宋体" w:cs="宋体"/>
                <w:sz w:val="18"/>
                <w:szCs w:val="18"/>
                <w:lang w:eastAsia="zh-CN"/>
              </w:rPr>
              <w:t>响应服务商在参与公开招标活动中未有违法违纪行为并受过处罚，响应服务商无围标、串标行为。</w:t>
            </w:r>
          </w:p>
        </w:tc>
        <w:tc>
          <w:tcPr>
            <w:tcW w:w="1316" w:type="dxa"/>
          </w:tcPr>
          <w:p w14:paraId="11B334CA">
            <w:pPr>
              <w:pStyle w:val="12"/>
              <w:rPr>
                <w:rFonts w:ascii="宋体" w:hAnsi="宋体" w:eastAsia="宋体" w:cs="宋体"/>
                <w:sz w:val="18"/>
                <w:szCs w:val="18"/>
                <w:lang w:eastAsia="zh-CN"/>
              </w:rPr>
            </w:pPr>
          </w:p>
        </w:tc>
        <w:tc>
          <w:tcPr>
            <w:tcW w:w="1065" w:type="dxa"/>
          </w:tcPr>
          <w:p w14:paraId="0566467E">
            <w:pPr>
              <w:pStyle w:val="12"/>
              <w:rPr>
                <w:rFonts w:ascii="宋体" w:hAnsi="宋体" w:eastAsia="宋体" w:cs="宋体"/>
                <w:sz w:val="18"/>
                <w:szCs w:val="18"/>
                <w:lang w:eastAsia="zh-CN"/>
              </w:rPr>
            </w:pPr>
          </w:p>
        </w:tc>
        <w:tc>
          <w:tcPr>
            <w:tcW w:w="1155" w:type="dxa"/>
          </w:tcPr>
          <w:p w14:paraId="111B94A1">
            <w:pPr>
              <w:pStyle w:val="12"/>
              <w:rPr>
                <w:rFonts w:ascii="宋体" w:hAnsi="宋体" w:eastAsia="宋体" w:cs="宋体"/>
                <w:sz w:val="18"/>
                <w:szCs w:val="18"/>
                <w:lang w:eastAsia="zh-CN"/>
              </w:rPr>
            </w:pPr>
          </w:p>
        </w:tc>
      </w:tr>
      <w:tr w14:paraId="76A12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20" w:type="dxa"/>
            <w:vAlign w:val="center"/>
          </w:tcPr>
          <w:p w14:paraId="7A7E1C2D">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3</w:t>
            </w:r>
          </w:p>
        </w:tc>
        <w:tc>
          <w:tcPr>
            <w:tcW w:w="5250" w:type="dxa"/>
          </w:tcPr>
          <w:p w14:paraId="1D5935BF">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eastAsia="zh-CN"/>
              </w:rPr>
              <w:t>三、</w:t>
            </w:r>
            <w:r>
              <w:rPr>
                <w:rFonts w:hint="eastAsia" w:ascii="宋体" w:hAnsi="宋体" w:eastAsia="宋体" w:cs="宋体"/>
                <w:sz w:val="18"/>
                <w:szCs w:val="18"/>
                <w:lang w:val="en-US" w:eastAsia="zh-CN"/>
              </w:rPr>
              <w:t>场地经营范围及资质要求</w:t>
            </w:r>
          </w:p>
          <w:p w14:paraId="343A4D68">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经营范围：</w:t>
            </w:r>
            <w:r>
              <w:rPr>
                <w:rFonts w:hint="eastAsia" w:ascii="宋体" w:hAnsi="宋体" w:eastAsia="宋体" w:cs="宋体"/>
                <w:sz w:val="18"/>
                <w:szCs w:val="18"/>
                <w:lang w:eastAsia="zh-CN"/>
              </w:rPr>
              <w:t>只能销售眼科相关产品，必须销售框架眼镜、框架眼镜镜片及相关配套产品、角膜塑形镜（ok镜）及配套产品、RGP及配套产品、治疗用角膜绷带镜，如需销售其他眼科相关产品需经过医院批准，未经批准销售其他产品，出租方可以单方面终止合同。销售产品</w:t>
            </w:r>
            <w:r>
              <w:rPr>
                <w:rFonts w:hint="eastAsia" w:ascii="宋体" w:hAnsi="宋体" w:eastAsia="宋体" w:cs="宋体"/>
                <w:sz w:val="18"/>
                <w:szCs w:val="18"/>
                <w:lang w:val="en-US" w:eastAsia="zh-CN"/>
              </w:rPr>
              <w:t>要求如下：</w:t>
            </w:r>
          </w:p>
          <w:p w14:paraId="66A56FD3">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1</w:t>
            </w:r>
            <w:r>
              <w:rPr>
                <w:rFonts w:hint="eastAsia" w:ascii="宋体" w:hAnsi="宋体" w:eastAsia="宋体" w:cs="宋体"/>
                <w:sz w:val="18"/>
                <w:szCs w:val="18"/>
                <w:lang w:eastAsia="zh-CN"/>
              </w:rPr>
              <w:t>）角膜塑形镜（ok镜）需满足近视范围-0.50D～-6.0D，散光1.50D以内。RGP需满足近视范围-25.00至+25.00D，散光</w:t>
            </w:r>
            <w:r>
              <w:rPr>
                <w:rFonts w:hint="eastAsia" w:ascii="宋体" w:hAnsi="宋体" w:eastAsia="宋体" w:cs="宋体"/>
                <w:sz w:val="18"/>
                <w:szCs w:val="18"/>
                <w:lang w:val="en-US" w:eastAsia="zh-CN"/>
              </w:rPr>
              <w:t>6</w:t>
            </w:r>
            <w:r>
              <w:rPr>
                <w:rFonts w:hint="eastAsia" w:ascii="宋体" w:hAnsi="宋体" w:eastAsia="宋体" w:cs="宋体"/>
                <w:sz w:val="18"/>
                <w:szCs w:val="18"/>
                <w:lang w:eastAsia="zh-CN"/>
              </w:rPr>
              <w:t>D以内。</w:t>
            </w:r>
          </w:p>
          <w:p w14:paraId="0971D6EC">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2</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供货时间：</w:t>
            </w:r>
            <w:r>
              <w:rPr>
                <w:rFonts w:hint="eastAsia" w:ascii="宋体" w:hAnsi="宋体" w:eastAsia="宋体" w:cs="宋体"/>
                <w:sz w:val="18"/>
                <w:szCs w:val="18"/>
                <w:lang w:eastAsia="zh-CN"/>
              </w:rPr>
              <w:t>普通框架镜1周内发货，定制片2周内，特殊片可适当延长；RGP、角膜塑形镜（ok镜）2周内供货。</w:t>
            </w:r>
          </w:p>
          <w:p w14:paraId="472108B2">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3）质保及退换：镜架售后7天之内可退货，售后一年内维修；</w:t>
            </w:r>
            <w:r>
              <w:rPr>
                <w:rFonts w:hint="eastAsia" w:ascii="宋体" w:hAnsi="宋体" w:eastAsia="宋体" w:cs="宋体"/>
                <w:sz w:val="18"/>
                <w:szCs w:val="18"/>
                <w:lang w:eastAsia="zh-CN"/>
              </w:rPr>
              <w:t>RGP、角膜塑形镜（ok镜）验配之后30天内可退片，90天内可换片。</w:t>
            </w:r>
          </w:p>
          <w:p w14:paraId="683A332F">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（4）售后服务：不得低于同一产品在公司体系内的售后服务，不得低于产家要求的售后服务，需做好三包服务和承诺。</w:t>
            </w:r>
          </w:p>
          <w:p w14:paraId="2CC50AA0">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资质要求：具备销售二类医疗器械资质，</w:t>
            </w:r>
            <w:r>
              <w:rPr>
                <w:rFonts w:hint="eastAsia" w:ascii="宋体" w:hAnsi="宋体" w:eastAsia="宋体" w:cs="宋体"/>
                <w:sz w:val="18"/>
                <w:szCs w:val="18"/>
                <w:lang w:eastAsia="zh-CN"/>
              </w:rPr>
              <w:t>具有有效的的营业执照，</w:t>
            </w:r>
            <w:r>
              <w:rPr>
                <w:rFonts w:hint="eastAsia" w:ascii="宋体" w:hAnsi="宋体" w:eastAsia="宋体" w:cs="宋体"/>
                <w:sz w:val="18"/>
                <w:szCs w:val="18"/>
                <w:lang w:val="en-US" w:eastAsia="zh-CN"/>
              </w:rPr>
              <w:t>经营范围需包括软性、硬性角膜接触镜、框架镜的零售。</w:t>
            </w:r>
          </w:p>
          <w:p w14:paraId="543FC86D">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配置人员及资质要求：公司需配置中级或以上验光师2名或以上，并具备5年或5年以上相关验配经营经验。RGP、角膜塑形镜（ok镜）验配人员需持眼视光技术专业卫生专业技术资格证书，或该角膜塑形镜验配上岗证。</w:t>
            </w:r>
          </w:p>
          <w:p w14:paraId="61486592">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4. 承租方近3年内有从事相关经营经验，并有较好的社会评价及品牌形象，以往经营过程中无医疗及消防等安全事故发生。</w:t>
            </w:r>
          </w:p>
        </w:tc>
        <w:tc>
          <w:tcPr>
            <w:tcW w:w="1316" w:type="dxa"/>
          </w:tcPr>
          <w:p w14:paraId="6483D143">
            <w:pPr>
              <w:pStyle w:val="12"/>
              <w:rPr>
                <w:rFonts w:ascii="宋体" w:hAnsi="宋体" w:eastAsia="宋体" w:cs="宋体"/>
                <w:sz w:val="18"/>
                <w:szCs w:val="18"/>
                <w:lang w:eastAsia="zh-CN"/>
              </w:rPr>
            </w:pPr>
          </w:p>
        </w:tc>
        <w:tc>
          <w:tcPr>
            <w:tcW w:w="1065" w:type="dxa"/>
          </w:tcPr>
          <w:p w14:paraId="774B4E9C">
            <w:pPr>
              <w:pStyle w:val="12"/>
              <w:rPr>
                <w:rFonts w:ascii="宋体" w:hAnsi="宋体" w:eastAsia="宋体" w:cs="宋体"/>
                <w:sz w:val="18"/>
                <w:szCs w:val="18"/>
                <w:lang w:eastAsia="zh-CN"/>
              </w:rPr>
            </w:pPr>
          </w:p>
        </w:tc>
        <w:tc>
          <w:tcPr>
            <w:tcW w:w="1155" w:type="dxa"/>
          </w:tcPr>
          <w:p w14:paraId="45C1A062">
            <w:pPr>
              <w:pStyle w:val="12"/>
              <w:rPr>
                <w:rFonts w:ascii="宋体" w:hAnsi="宋体" w:eastAsia="宋体" w:cs="宋体"/>
                <w:sz w:val="18"/>
                <w:szCs w:val="18"/>
                <w:lang w:eastAsia="zh-CN"/>
              </w:rPr>
            </w:pPr>
          </w:p>
        </w:tc>
      </w:tr>
      <w:tr w14:paraId="51E35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720" w:type="dxa"/>
            <w:vAlign w:val="center"/>
          </w:tcPr>
          <w:p w14:paraId="66BBC161">
            <w:pPr>
              <w:spacing w:before="65"/>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4</w:t>
            </w:r>
          </w:p>
        </w:tc>
        <w:tc>
          <w:tcPr>
            <w:tcW w:w="5250" w:type="dxa"/>
          </w:tcPr>
          <w:p w14:paraId="3638680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四、经营管理要求</w:t>
            </w:r>
          </w:p>
          <w:p w14:paraId="4759512B">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 承租方须持有营业执照、二类医疗器械经营资质及全部法定必要资质证件方可开展经营，相关证件的办理由承租方自行负责。</w:t>
            </w:r>
          </w:p>
          <w:p w14:paraId="2030AD39">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 出租方提供经营场地，承租方自主经营、自负盈亏，经营期间发生的全部责任、债务和纠纷均由承租方自行承担。出租方仅对接单一承租方，承租方承租后不得转租或自行分租。</w:t>
            </w:r>
          </w:p>
          <w:p w14:paraId="720FCD6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3. 承租方须全额派驻全职持证人员在岗，人员薪酬、社保、培训费用均由承租方承担：</w:t>
            </w:r>
          </w:p>
          <w:p w14:paraId="713F278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（1）持证视光师/高级验光师：负责医学验光、视功能评估、OK镜验配；</w:t>
            </w:r>
          </w:p>
          <w:p w14:paraId="6AE843E0">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（2）专业视训师：负责斜弱视、视功能康复训练；</w:t>
            </w:r>
          </w:p>
          <w:p w14:paraId="1AF6885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（3）持证眼镜加工师：负责镜片加工、质检、售后调整；</w:t>
            </w:r>
          </w:p>
          <w:p w14:paraId="6743456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（4）专职客服管理人员：负责患者接待、档案管理、收费、科普宣传。</w:t>
            </w:r>
          </w:p>
          <w:p w14:paraId="74D537F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4. 经营时间：医院眼科门诊开诊时承租方必须营业，可以适当延长营业时间至晚上7时。</w:t>
            </w:r>
          </w:p>
          <w:p w14:paraId="0D24107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5. 承租方必须遵守国家相关法律法规，遵守医院的规章制度，合法经营，按章纳税，对经营过程的一切活动及其造成的后果负责。经营活动不能对正常医疗活动造成干扰，在经营服务期间应自觉维护出租方的权益和声誉，并为客户提供优质的服务。工作人员必须统一服装，衣帽整洁、佩戴工牌。</w:t>
            </w:r>
          </w:p>
          <w:p w14:paraId="745B8E5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6. 承租方必须在指定场地范围内经营，商品的摆放不能超出指定区域经营，所有的商品必须明码标价进行销售。</w:t>
            </w:r>
          </w:p>
          <w:p w14:paraId="3F2E3817">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7. 承租方所从事的任何业务不能以中山市东升医院名义对外发布，不得利用商铺进行非法活动。禁止张贴与法律规定在医疗单位不得出现的标志、标识等（如香烟、奶粉广告）。</w:t>
            </w:r>
          </w:p>
          <w:p w14:paraId="30738990">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8. 承租方必须文明守法，按章纳税，随时接受和服从出租方及政府有关行政管理部门及治安、消防管理部门的监督和管理，做好安全、防火、防盗工作，不得在该铺位内储存任何易燃易爆、含腐蚀性物品及危险品，承租方的法定代表人或主要负责人是承租使用场地的消防安全责任人，消防安全第一责任人由承租方的法定代表人或者主要负责人担任，因承租方责任发生的火灾、失窃等事故而造成出租方及第三方损失的，由承租方负责赔偿。</w:t>
            </w:r>
          </w:p>
          <w:p w14:paraId="0F7D0DA9">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9. 承租方需保证所有经营产品符合国家相关生产、销售标准，具备国家认可的相应资质许可证明，并符合国家质量标准。严禁销售伪劣产品及药品等超出经营范围的商品。发现违反经营的，一次进行500元处罚，如2次发现仍未改进的，出租方有权单方无条件终止合同。因产品或服务等原因与患者发生纠纷或医疗事故或行政处罚的责任和费用均由承租方自行承担。</w:t>
            </w:r>
          </w:p>
          <w:p w14:paraId="2FF2049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10. 承租方对铺位进行装修的费用由承租方负责，承租方如需要对商铺进行装修，必须提交书面申请由出租方审批同意后方可进行。装修不得对原建筑构成损害，合同期满后承租方可以拆除商标标牌及其他属于承租方的可移动的设备、设施，出租方不承担任何折旧。房屋内的固定装修设施（如隔墙、门窗、天花、地板等）归出租方所有，承租方不得拆除、破坏，否则出租方有权进一步进行索赔。</w:t>
            </w:r>
          </w:p>
          <w:p w14:paraId="591F9E6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11. 出租方交付使用的设备、设施由承租方负责维护和保养，租赁期内如有损坏，由承租方负责维修，合同期结束后完好移交。</w:t>
            </w:r>
          </w:p>
          <w:p w14:paraId="58F15E9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12. 承租方应按要求配置相关消防设施，消火栓标识清晰，配置齐全有效；灭火器等消防设施在有效期内，做好日常消防巡查工作，禁止私拉电线或使用不合格的电器产品。</w:t>
            </w:r>
          </w:p>
          <w:p w14:paraId="2DCA46C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 xml:space="preserve">13. 承租方雇佣的人员必须符合国家规定的用工条件，并加强对于雇用员工的教育和管理，严禁在商铺内从事违法活动，承租方人员所发生的一切纠纷和意外事故由承租方负责。 </w:t>
            </w:r>
          </w:p>
          <w:p w14:paraId="35A1237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14. 承租方所从事的任何业务不能以出租方名义对外发布，不得利用商铺进行非法活动。如有发现，出租方有权单方无条件终止合同。</w:t>
            </w:r>
          </w:p>
          <w:p w14:paraId="46C0539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15. 租赁期间承租方应尽到安全保障义务，在租赁场所内造成的任何第三人损害，相应责任由实际经营者承租方承担。</w:t>
            </w:r>
          </w:p>
          <w:p w14:paraId="316C073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16. 承租方在租赁期内无理由提前中止合同，必须提前一个月向出租方提出书面申请，经出租方同意后，承租方须缴清一切费用，办理交接手续，承租方履约保证金不再退还，归出租方所有。</w:t>
            </w:r>
          </w:p>
          <w:p w14:paraId="130AFD6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17. 如因不可抗力、政府有关部门征用或出租方业务调整等原因需收回商铺时，出租方须提前一个月通知承租方。承租方应无条件按出租方要求交还商铺或按照出租方业务调整方案进行经营场地的调整，且承租方对此不享有任何赔偿或补偿的请求权。缴纳的履约保证金在扣清承租方应缴的费用后，将余额退回承租方（不计息），如保证金不足抵缴承租方所应交的费用，则承租方应补足差额。</w:t>
            </w:r>
          </w:p>
          <w:p w14:paraId="0C04F66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18. 因提前解除合同或合同期满不再续签时，承租方应按出租方要求退还商铺，并将存放在商铺内的一切物资搬走，如三天内不搬走，视为承租方放弃该物资的所有权，出租方有权处理，而不作任何补偿给承租方。如出租方因处理承租方物资产生其他额外费用的，由承租方承担。</w:t>
            </w:r>
          </w:p>
          <w:p w14:paraId="6EDB4D6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19. 承租方必须加强对雇用员工的教育与管理，严禁在医院进行非法活动，承租方员工所发生的一切纠纷由承租方负责。在服务期内员工发生滋事、酗酒、聚众斗殴或赌博、盗窃、侵占或故意毁坏医院财物、刁难群众、敲诈勒索等违法犯罪行为的，承租方不得再雇佣该员工在出租方范围内服务。</w:t>
            </w:r>
          </w:p>
          <w:p w14:paraId="0F89BC27">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20. 产品销售价格不高于公司体系内其它网点的价格，不得高于产家的市场指导价。</w:t>
            </w:r>
          </w:p>
          <w:p w14:paraId="2DF7353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21. 承租方需保护好顾客个人信息资料及隐私，如需使用医院检查设备需缴纳相应检查费用。</w:t>
            </w:r>
          </w:p>
          <w:p w14:paraId="5326865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22. 承租方必须文明守法，按章纳税，随时接受出租方及政府行政管理部门、治安、消防管理部门的监督和检查。</w:t>
            </w:r>
          </w:p>
          <w:p w14:paraId="5059DBD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sz w:val="18"/>
                <w:szCs w:val="18"/>
                <w:lang w:val="en-US" w:eastAsia="zh-CN"/>
              </w:rPr>
            </w:pPr>
            <w:r>
              <w:rPr>
                <w:rFonts w:hint="default"/>
                <w:sz w:val="18"/>
                <w:szCs w:val="18"/>
                <w:lang w:val="en-US" w:eastAsia="zh-CN"/>
              </w:rPr>
              <w:t>23. 承租方需积极配合出租方的工作安排与监督，做好临时性或大型迎检配合工作。</w:t>
            </w:r>
          </w:p>
        </w:tc>
        <w:tc>
          <w:tcPr>
            <w:tcW w:w="1316" w:type="dxa"/>
          </w:tcPr>
          <w:p w14:paraId="193D8761">
            <w:pPr>
              <w:pStyle w:val="12"/>
              <w:rPr>
                <w:rFonts w:ascii="宋体" w:hAnsi="宋体" w:eastAsia="宋体" w:cs="宋体"/>
                <w:sz w:val="18"/>
                <w:szCs w:val="18"/>
                <w:lang w:eastAsia="zh-CN"/>
              </w:rPr>
            </w:pPr>
          </w:p>
        </w:tc>
        <w:tc>
          <w:tcPr>
            <w:tcW w:w="1065" w:type="dxa"/>
          </w:tcPr>
          <w:p w14:paraId="091A4CD4">
            <w:pPr>
              <w:pStyle w:val="12"/>
              <w:rPr>
                <w:rFonts w:ascii="宋体" w:hAnsi="宋体" w:eastAsia="宋体" w:cs="宋体"/>
                <w:sz w:val="18"/>
                <w:szCs w:val="18"/>
                <w:lang w:eastAsia="zh-CN"/>
              </w:rPr>
            </w:pPr>
          </w:p>
        </w:tc>
        <w:tc>
          <w:tcPr>
            <w:tcW w:w="1155" w:type="dxa"/>
          </w:tcPr>
          <w:p w14:paraId="2A665D27">
            <w:pPr>
              <w:pStyle w:val="12"/>
              <w:rPr>
                <w:rFonts w:ascii="宋体" w:hAnsi="宋体" w:eastAsia="宋体" w:cs="宋体"/>
                <w:sz w:val="18"/>
                <w:szCs w:val="18"/>
                <w:lang w:eastAsia="zh-CN"/>
              </w:rPr>
            </w:pPr>
          </w:p>
        </w:tc>
      </w:tr>
      <w:tr w14:paraId="2B532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720" w:type="dxa"/>
            <w:vAlign w:val="center"/>
          </w:tcPr>
          <w:p w14:paraId="7F4016B6">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5</w:t>
            </w:r>
          </w:p>
        </w:tc>
        <w:tc>
          <w:tcPr>
            <w:tcW w:w="5250" w:type="dxa"/>
          </w:tcPr>
          <w:p w14:paraId="3A3E2340">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五、</w:t>
            </w:r>
            <w:r>
              <w:rPr>
                <w:rFonts w:hint="eastAsia" w:ascii="宋体" w:hAnsi="宋体" w:eastAsia="宋体" w:cs="宋体"/>
                <w:sz w:val="18"/>
                <w:szCs w:val="18"/>
                <w:lang w:eastAsia="zh-CN"/>
              </w:rPr>
              <w:t>履约保证金、租金等费用</w:t>
            </w:r>
          </w:p>
          <w:p w14:paraId="47458991">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 </w:t>
            </w:r>
            <w:r>
              <w:rPr>
                <w:rFonts w:hint="eastAsia" w:ascii="宋体" w:hAnsi="宋体" w:eastAsia="宋体" w:cs="宋体"/>
                <w:sz w:val="18"/>
                <w:szCs w:val="18"/>
                <w:lang w:eastAsia="zh-CN"/>
              </w:rPr>
              <w:t>合同签订后，承租方必须在5个工作日内向</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缴交一个月的租金作为履约保证金，如有违反经营要求</w:t>
            </w:r>
            <w:r>
              <w:rPr>
                <w:rFonts w:hint="eastAsia" w:ascii="宋体" w:hAnsi="宋体" w:eastAsia="宋体" w:cs="宋体"/>
                <w:sz w:val="18"/>
                <w:szCs w:val="18"/>
                <w:lang w:val="en-US" w:eastAsia="zh-CN"/>
              </w:rPr>
              <w:t>或未按时缴交租金的</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有权从履约保证金中予以</w:t>
            </w:r>
            <w:r>
              <w:rPr>
                <w:rFonts w:hint="eastAsia" w:ascii="宋体" w:hAnsi="宋体" w:eastAsia="宋体" w:cs="宋体"/>
                <w:sz w:val="18"/>
                <w:szCs w:val="18"/>
                <w:lang w:val="en-US" w:eastAsia="zh-CN"/>
              </w:rPr>
              <w:t>扣除</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扣除后承租方应在5个工作日内补足履约保证金原金额。</w:t>
            </w:r>
            <w:r>
              <w:rPr>
                <w:rFonts w:hint="eastAsia" w:ascii="宋体" w:hAnsi="宋体" w:eastAsia="宋体" w:cs="宋体"/>
                <w:sz w:val="18"/>
                <w:szCs w:val="18"/>
                <w:lang w:eastAsia="zh-CN"/>
              </w:rPr>
              <w:t>如扣完履约保证金，</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有权单方终止合同。租赁期满后，结清相关费用及办妥交接手续后剩余履约保证金一次性无息退还。如因承租方原因或责任导致双方的合同提前终止的，履约保证金不予退还。</w:t>
            </w:r>
          </w:p>
          <w:p w14:paraId="14268FBB">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2. </w:t>
            </w:r>
            <w:r>
              <w:rPr>
                <w:rFonts w:hint="eastAsia" w:ascii="宋体" w:hAnsi="宋体" w:eastAsia="宋体" w:cs="宋体"/>
                <w:sz w:val="18"/>
                <w:szCs w:val="18"/>
                <w:lang w:eastAsia="zh-CN"/>
              </w:rPr>
              <w:t>首月租金，承租方于</w:t>
            </w:r>
            <w:r>
              <w:rPr>
                <w:rFonts w:hint="eastAsia" w:ascii="宋体" w:hAnsi="宋体" w:eastAsia="宋体" w:cs="宋体"/>
                <w:sz w:val="18"/>
                <w:szCs w:val="18"/>
                <w:lang w:val="en-US" w:eastAsia="zh-CN"/>
              </w:rPr>
              <w:t>租赁期限开始</w:t>
            </w:r>
            <w:r>
              <w:rPr>
                <w:rFonts w:hint="eastAsia" w:ascii="宋体" w:hAnsi="宋体" w:eastAsia="宋体" w:cs="宋体"/>
                <w:sz w:val="18"/>
                <w:szCs w:val="18"/>
                <w:lang w:eastAsia="zh-CN"/>
              </w:rPr>
              <w:t>之日起5个工作日内向</w:t>
            </w:r>
            <w:r>
              <w:rPr>
                <w:rFonts w:hint="eastAsia" w:ascii="宋体" w:hAnsi="宋体" w:eastAsia="宋体" w:cs="宋体"/>
                <w:sz w:val="18"/>
                <w:szCs w:val="18"/>
                <w:lang w:val="en-US" w:eastAsia="zh-CN"/>
              </w:rPr>
              <w:t>出租方</w:t>
            </w:r>
            <w:r>
              <w:rPr>
                <w:rFonts w:hint="eastAsia" w:ascii="宋体" w:hAnsi="宋体" w:eastAsia="宋体" w:cs="宋体"/>
                <w:sz w:val="18"/>
                <w:szCs w:val="18"/>
                <w:lang w:eastAsia="zh-CN"/>
              </w:rPr>
              <w:t>一次性足额支付。</w:t>
            </w:r>
          </w:p>
          <w:p w14:paraId="3E84BF25">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 xml:space="preserve">3. </w:t>
            </w:r>
            <w:r>
              <w:rPr>
                <w:rFonts w:hint="eastAsia" w:ascii="宋体" w:hAnsi="宋体" w:eastAsia="宋体" w:cs="宋体"/>
                <w:sz w:val="18"/>
                <w:szCs w:val="18"/>
                <w:lang w:eastAsia="zh-CN"/>
              </w:rPr>
              <w:t>承租方必须在每月5号前缴交本月的租金</w:t>
            </w:r>
            <w:r>
              <w:rPr>
                <w:rFonts w:hint="eastAsia" w:ascii="宋体" w:hAnsi="宋体" w:eastAsia="宋体" w:cs="宋体"/>
                <w:sz w:val="18"/>
                <w:szCs w:val="18"/>
                <w:lang w:val="en-US" w:eastAsia="zh-CN"/>
              </w:rPr>
              <w:t>及缴交上一个月的</w:t>
            </w:r>
            <w:r>
              <w:rPr>
                <w:rFonts w:hint="eastAsia" w:ascii="宋体" w:hAnsi="宋体" w:eastAsia="宋体" w:cs="宋体"/>
                <w:sz w:val="18"/>
                <w:szCs w:val="18"/>
                <w:lang w:eastAsia="zh-CN"/>
              </w:rPr>
              <w:t>水电费、</w:t>
            </w:r>
            <w:r>
              <w:rPr>
                <w:rFonts w:hint="eastAsia" w:ascii="宋体" w:hAnsi="宋体" w:eastAsia="宋体" w:cs="宋体"/>
                <w:sz w:val="18"/>
                <w:szCs w:val="18"/>
                <w:lang w:val="en-US" w:eastAsia="zh-CN"/>
              </w:rPr>
              <w:t>垃圾处理费</w:t>
            </w:r>
            <w:r>
              <w:rPr>
                <w:rFonts w:hint="eastAsia" w:ascii="宋体" w:hAnsi="宋体" w:eastAsia="宋体" w:cs="宋体"/>
                <w:sz w:val="18"/>
                <w:szCs w:val="18"/>
                <w:lang w:eastAsia="zh-CN"/>
              </w:rPr>
              <w:t>等，如果不按时交纳相关费用，</w:t>
            </w:r>
            <w:r>
              <w:rPr>
                <w:rFonts w:hint="eastAsia" w:ascii="宋体" w:hAnsi="宋体" w:eastAsia="宋体" w:cs="宋体"/>
                <w:sz w:val="18"/>
                <w:szCs w:val="18"/>
                <w:lang w:val="en-US" w:eastAsia="zh-CN"/>
              </w:rPr>
              <w:t>所产生的相关滞纳金及责任由承租方自行负责。</w:t>
            </w:r>
          </w:p>
        </w:tc>
        <w:tc>
          <w:tcPr>
            <w:tcW w:w="1316" w:type="dxa"/>
          </w:tcPr>
          <w:p w14:paraId="400EB205">
            <w:pPr>
              <w:pStyle w:val="12"/>
              <w:rPr>
                <w:rFonts w:ascii="宋体" w:hAnsi="宋体" w:eastAsia="宋体" w:cs="宋体"/>
                <w:sz w:val="18"/>
                <w:szCs w:val="18"/>
                <w:lang w:eastAsia="zh-CN"/>
              </w:rPr>
            </w:pPr>
          </w:p>
        </w:tc>
        <w:tc>
          <w:tcPr>
            <w:tcW w:w="1065" w:type="dxa"/>
          </w:tcPr>
          <w:p w14:paraId="4379F7B4">
            <w:pPr>
              <w:pStyle w:val="12"/>
              <w:rPr>
                <w:rFonts w:ascii="宋体" w:hAnsi="宋体" w:eastAsia="宋体" w:cs="宋体"/>
                <w:sz w:val="18"/>
                <w:szCs w:val="18"/>
                <w:lang w:eastAsia="zh-CN"/>
              </w:rPr>
            </w:pPr>
          </w:p>
        </w:tc>
        <w:tc>
          <w:tcPr>
            <w:tcW w:w="1155" w:type="dxa"/>
          </w:tcPr>
          <w:p w14:paraId="02F9AFE5">
            <w:pPr>
              <w:pStyle w:val="12"/>
              <w:rPr>
                <w:rFonts w:ascii="宋体" w:hAnsi="宋体" w:eastAsia="宋体" w:cs="宋体"/>
                <w:sz w:val="18"/>
                <w:szCs w:val="18"/>
                <w:lang w:eastAsia="zh-CN"/>
              </w:rPr>
            </w:pPr>
          </w:p>
        </w:tc>
      </w:tr>
      <w:tr w14:paraId="6ABC8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57" w:hRule="atLeast"/>
        </w:trPr>
        <w:tc>
          <w:tcPr>
            <w:tcW w:w="720" w:type="dxa"/>
            <w:vAlign w:val="center"/>
          </w:tcPr>
          <w:p w14:paraId="5E6150C9">
            <w:pPr>
              <w:spacing w:before="65" w:line="270" w:lineRule="exact"/>
              <w:jc w:val="center"/>
              <w:rPr>
                <w:rFonts w:ascii="宋体" w:hAnsi="宋体" w:eastAsia="宋体" w:cs="宋体"/>
                <w:position w:val="1"/>
                <w:sz w:val="18"/>
                <w:szCs w:val="18"/>
                <w:lang w:eastAsia="zh-CN"/>
              </w:rPr>
            </w:pPr>
            <w:r>
              <w:rPr>
                <w:rFonts w:hint="eastAsia" w:ascii="宋体" w:hAnsi="宋体" w:eastAsia="宋体" w:cs="宋体"/>
                <w:position w:val="1"/>
                <w:sz w:val="18"/>
                <w:szCs w:val="18"/>
                <w:lang w:eastAsia="zh-CN"/>
              </w:rPr>
              <w:t>6</w:t>
            </w:r>
          </w:p>
        </w:tc>
        <w:tc>
          <w:tcPr>
            <w:tcW w:w="5250" w:type="dxa"/>
          </w:tcPr>
          <w:p w14:paraId="6708FE6E">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eastAsia="zh-CN" w:bidi="ar"/>
              </w:rPr>
              <w:t>六、监督管理要求</w:t>
            </w:r>
          </w:p>
          <w:p w14:paraId="5604B609">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承租方及其员工必须配合出租方主管部门的监督与考核，不得以任何理由拒绝或阻挠，并应根据考核提出的合理建议和要求进行改进，如果有异议的可以在两天内向出租方书面提出。</w:t>
            </w:r>
          </w:p>
          <w:p w14:paraId="0D3F33B4">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承租方应制定内部应对投诉、商品质量等负性事件的处理流程，员工应掌握负性事件上报流程及处理方法，一旦出现严重的服务缺陷投诉、产品、安全质量事故，承租方除须承担相应的赔偿及责任外，出租方有权根据事件严重程度扣除500-1000元/次。</w:t>
            </w:r>
          </w:p>
          <w:p w14:paraId="714B7389">
            <w:pPr>
              <w:widowControl w:val="0"/>
              <w:spacing w:line="240" w:lineRule="exact"/>
              <w:rPr>
                <w:rFonts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3. 综合考评结果的扣除：出租方相关部门根据附件《中山市东升医院配镜中心服务质量监督考核表》，每月对服务商的产品质量、价格、服务质量等内容进行检查，考核总分为100分，当月考评总分在90分（含90分）以上为合格，考核分在85-89分，不予扣除，但承租方必须对存在问题应予以立即改进，如因承租方责任所致的同一问题第二次出现的，扣除300元/次；考核分在80-84分之间，每少一分扣200元/分，考核分在75-79分之间的，每少一分扣300元/分；考核分低于75分以下的，每少一分，扣500元/分，连续两个月考核结果低于75分的，出租方有权单方终止合同。</w:t>
            </w:r>
          </w:p>
        </w:tc>
        <w:tc>
          <w:tcPr>
            <w:tcW w:w="1316" w:type="dxa"/>
          </w:tcPr>
          <w:p w14:paraId="0ECC2677">
            <w:pPr>
              <w:pStyle w:val="12"/>
              <w:rPr>
                <w:rFonts w:ascii="宋体" w:hAnsi="宋体" w:eastAsia="宋体" w:cs="宋体"/>
                <w:sz w:val="18"/>
                <w:szCs w:val="18"/>
                <w:lang w:eastAsia="zh-CN"/>
              </w:rPr>
            </w:pPr>
          </w:p>
        </w:tc>
        <w:tc>
          <w:tcPr>
            <w:tcW w:w="1065" w:type="dxa"/>
          </w:tcPr>
          <w:p w14:paraId="79CBAC54">
            <w:pPr>
              <w:pStyle w:val="12"/>
              <w:rPr>
                <w:rFonts w:ascii="宋体" w:hAnsi="宋体" w:eastAsia="宋体" w:cs="宋体"/>
                <w:sz w:val="18"/>
                <w:szCs w:val="18"/>
                <w:lang w:eastAsia="zh-CN"/>
              </w:rPr>
            </w:pPr>
          </w:p>
        </w:tc>
        <w:tc>
          <w:tcPr>
            <w:tcW w:w="1155" w:type="dxa"/>
          </w:tcPr>
          <w:p w14:paraId="06BC8F41">
            <w:pPr>
              <w:pStyle w:val="12"/>
              <w:rPr>
                <w:rFonts w:ascii="宋体" w:hAnsi="宋体" w:eastAsia="宋体" w:cs="宋体"/>
                <w:sz w:val="18"/>
                <w:szCs w:val="18"/>
                <w:lang w:eastAsia="zh-CN"/>
              </w:rPr>
            </w:pPr>
          </w:p>
        </w:tc>
      </w:tr>
      <w:tr w14:paraId="4634F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496" w:hRule="atLeast"/>
        </w:trPr>
        <w:tc>
          <w:tcPr>
            <w:tcW w:w="720" w:type="dxa"/>
            <w:vAlign w:val="center"/>
          </w:tcPr>
          <w:p w14:paraId="2A8B819C">
            <w:pPr>
              <w:spacing w:before="65" w:line="270" w:lineRule="exact"/>
              <w:jc w:val="center"/>
              <w:rPr>
                <w:rFonts w:hint="default" w:ascii="宋体" w:hAnsi="宋体" w:eastAsia="宋体" w:cs="宋体"/>
                <w:position w:val="1"/>
                <w:sz w:val="18"/>
                <w:szCs w:val="18"/>
                <w:lang w:val="en-US" w:eastAsia="zh-CN"/>
              </w:rPr>
            </w:pPr>
            <w:r>
              <w:rPr>
                <w:rFonts w:hint="eastAsia" w:ascii="宋体" w:hAnsi="宋体" w:eastAsia="宋体" w:cs="宋体"/>
                <w:position w:val="1"/>
                <w:sz w:val="18"/>
                <w:szCs w:val="18"/>
                <w:lang w:val="en-US" w:eastAsia="zh-CN"/>
              </w:rPr>
              <w:t>7</w:t>
            </w:r>
          </w:p>
        </w:tc>
        <w:tc>
          <w:tcPr>
            <w:tcW w:w="5250" w:type="dxa"/>
          </w:tcPr>
          <w:p w14:paraId="2D5C35F2">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七、报价及评审方式</w:t>
            </w:r>
          </w:p>
          <w:p w14:paraId="5976290E">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本项目采用院内公开招租、线上竞价方式开展，响应服务商无需现场参与，全程在线完成报价。报价为在项目底价基础上报出响应上浮率，项目底价为8000元/月。低于项目底价的报价视为无效报价。</w:t>
            </w:r>
          </w:p>
          <w:p w14:paraId="02C63595">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计算公式：合同成交单价=（1+中标上浮率）* 底价（计算结果可保留小数点后两位），报价上浮率必须大于0%（不含本数），否则视为无效报价。</w:t>
            </w:r>
          </w:p>
          <w:p w14:paraId="0C109F69">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3. 最终有效报价次数：1次。响应服务商可在报价截止时间前多轮实时更新报价信息，以截止时间的报价为最终报价。报价截止时间：2026年8月21日17:00分。</w:t>
            </w:r>
          </w:p>
          <w:p w14:paraId="6EB5384D">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4. 本项目评审工作依次开展资格性审查与符合性审查，未通过任意一项审查的供应商不得进入后续竞价环节。通过资格性审查与符合性审查的供应商，遵循价格优先原则，按报价由高至低排序（若两家及以上服务商报价相同，则以在平台完成响应报名时间更早者排序优先），报价最高者确定为第一中标候选人，次高者确定为第二中标候选人，其余以此类推。若第一中标候选人放弃中标资格，则按照上述排序依次递补，将第二中标候选人确定为中标人，其余情况以此类推。</w:t>
            </w:r>
          </w:p>
        </w:tc>
        <w:tc>
          <w:tcPr>
            <w:tcW w:w="1316" w:type="dxa"/>
          </w:tcPr>
          <w:p w14:paraId="3CC5F3B6">
            <w:pPr>
              <w:pStyle w:val="12"/>
              <w:rPr>
                <w:rFonts w:ascii="宋体" w:hAnsi="宋体" w:eastAsia="宋体" w:cs="宋体"/>
                <w:sz w:val="18"/>
                <w:szCs w:val="18"/>
                <w:lang w:eastAsia="zh-CN"/>
              </w:rPr>
            </w:pPr>
          </w:p>
        </w:tc>
        <w:tc>
          <w:tcPr>
            <w:tcW w:w="1065" w:type="dxa"/>
          </w:tcPr>
          <w:p w14:paraId="3ECDB715">
            <w:pPr>
              <w:pStyle w:val="12"/>
              <w:rPr>
                <w:rFonts w:ascii="宋体" w:hAnsi="宋体" w:eastAsia="宋体" w:cs="宋体"/>
                <w:sz w:val="18"/>
                <w:szCs w:val="18"/>
                <w:lang w:eastAsia="zh-CN"/>
              </w:rPr>
            </w:pPr>
          </w:p>
        </w:tc>
        <w:tc>
          <w:tcPr>
            <w:tcW w:w="1155" w:type="dxa"/>
          </w:tcPr>
          <w:p w14:paraId="7F9DCC05">
            <w:pPr>
              <w:pStyle w:val="12"/>
              <w:rPr>
                <w:rFonts w:ascii="宋体" w:hAnsi="宋体" w:eastAsia="宋体" w:cs="宋体"/>
                <w:sz w:val="18"/>
                <w:szCs w:val="18"/>
                <w:lang w:eastAsia="zh-CN"/>
              </w:rPr>
            </w:pPr>
          </w:p>
        </w:tc>
      </w:tr>
    </w:tbl>
    <w:p w14:paraId="4C88AA66">
      <w:pPr>
        <w:rPr>
          <w:sz w:val="18"/>
          <w:szCs w:val="18"/>
          <w:lang w:eastAsia="zh-CN"/>
        </w:rPr>
      </w:pPr>
    </w:p>
    <w:p w14:paraId="3447D6D1">
      <w:pPr>
        <w:rPr>
          <w:lang w:eastAsia="zh-CN"/>
        </w:rPr>
      </w:pPr>
      <w:r>
        <w:rPr>
          <w:lang w:eastAsia="zh-CN"/>
        </w:rPr>
        <w:br w:type="page"/>
      </w:r>
    </w:p>
    <w:p w14:paraId="0B84180D">
      <w:pPr>
        <w:spacing w:before="260" w:line="228" w:lineRule="auto"/>
        <w:ind w:left="58"/>
        <w:rPr>
          <w:rFonts w:hint="eastAsia"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拟投入人员配置清单（加盖公章）：</w:t>
      </w:r>
    </w:p>
    <w:p w14:paraId="329ACE7F">
      <w:pPr>
        <w:keepNext w:val="0"/>
        <w:keepLines w:val="0"/>
        <w:pageBreakBefore w:val="0"/>
        <w:widowControl/>
        <w:kinsoku w:val="0"/>
        <w:wordWrap/>
        <w:overflowPunct/>
        <w:topLinePunct w:val="0"/>
        <w:autoSpaceDE w:val="0"/>
        <w:autoSpaceDN w:val="0"/>
        <w:bidi w:val="0"/>
        <w:adjustRightInd w:val="0"/>
        <w:snapToGrid w:val="0"/>
        <w:spacing w:before="0" w:beforeLines="20" w:line="228" w:lineRule="auto"/>
        <w:ind w:left="57" w:firstLine="422" w:firstLineChars="200"/>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公司需配置中级或以上验光师2名或以上，并具备5年或5年以上相关验配经营经验。RGP、角膜塑形镜（ok镜）验配人员需持眼视光技术专业卫生专业技术资格证书，或该角膜塑形镜验配上岗证。</w:t>
      </w:r>
    </w:p>
    <w:p w14:paraId="348DF894">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持证视光师/高级验光师：负责医学验光、视功能评估、OK镜验配；</w:t>
      </w:r>
    </w:p>
    <w:p w14:paraId="68CADD2A">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专业视训师：负责斜弱视、视功能康复训练；</w:t>
      </w:r>
    </w:p>
    <w:p w14:paraId="2AF6FB0D">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 持证眼镜加工师：负责镜片加工、质检、售后调整；</w:t>
      </w:r>
    </w:p>
    <w:p w14:paraId="70EE75E8">
      <w:pPr>
        <w:spacing w:before="260" w:line="228" w:lineRule="auto"/>
        <w:ind w:left="58"/>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 专职客服管理人员：负责患者接待、档案管理、收费、科普宣传。</w:t>
      </w:r>
    </w:p>
    <w:p w14:paraId="7D41CDD9">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260" w:line="228" w:lineRule="auto"/>
        <w:ind w:left="58"/>
        <w:rPr>
          <w:rFonts w:hint="eastAsia" w:ascii="宋体" w:hAnsi="宋体" w:eastAsia="宋体" w:cs="宋体"/>
          <w:b/>
          <w:bCs/>
          <w:spacing w:val="5"/>
          <w:sz w:val="20"/>
          <w:szCs w:val="20"/>
          <w:lang w:val="en-US" w:eastAsia="zh-CN"/>
        </w:rPr>
      </w:pPr>
    </w:p>
    <w:tbl>
      <w:tblPr>
        <w:tblStyle w:val="11"/>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keepNext w:val="0"/>
              <w:keepLines w:val="0"/>
              <w:pageBreakBefore w:val="0"/>
              <w:widowControl/>
              <w:kinsoku w:val="0"/>
              <w:wordWrap/>
              <w:overflowPunct/>
              <w:topLinePunct w:val="0"/>
              <w:autoSpaceDE w:val="0"/>
              <w:autoSpaceDN w:val="0"/>
              <w:bidi w:val="0"/>
              <w:adjustRightInd w:val="0"/>
              <w:snapToGrid w:val="0"/>
              <w:spacing w:line="240" w:lineRule="auto"/>
              <w:ind w:left="57"/>
              <w:jc w:val="center"/>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260" w:line="228" w:lineRule="auto"/>
              <w:ind w:left="58"/>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260" w:line="228" w:lineRule="auto"/>
              <w:ind w:left="58"/>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260" w:line="228" w:lineRule="auto"/>
              <w:ind w:left="58"/>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260" w:line="228" w:lineRule="auto"/>
              <w:ind w:left="58"/>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260" w:line="228" w:lineRule="auto"/>
              <w:ind w:left="58"/>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260" w:line="228" w:lineRule="auto"/>
              <w:ind w:left="58"/>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260" w:line="228" w:lineRule="auto"/>
              <w:ind w:left="58"/>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260" w:line="228" w:lineRule="auto"/>
        <w:ind w:left="58"/>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897D908">
      <w:pPr>
        <w:spacing w:before="260" w:line="228" w:lineRule="auto"/>
        <w:ind w:left="58"/>
        <w:rPr>
          <w:rFonts w:hint="eastAsia" w:ascii="宋体" w:hAnsi="宋体" w:eastAsia="宋体" w:cs="宋体"/>
          <w:sz w:val="20"/>
          <w:szCs w:val="20"/>
          <w:lang w:val="en-US" w:eastAsia="zh-CN"/>
        </w:rPr>
      </w:pPr>
    </w:p>
    <w:p w14:paraId="4DFE7A5D">
      <w:pPr>
        <w:spacing w:before="260" w:line="228" w:lineRule="auto"/>
        <w:ind w:left="58"/>
        <w:rPr>
          <w:rFonts w:hint="eastAsia" w:ascii="宋体" w:hAnsi="宋体" w:eastAsia="宋体" w:cs="宋体"/>
          <w:sz w:val="20"/>
          <w:szCs w:val="20"/>
          <w:lang w:val="en-US" w:eastAsia="zh-CN"/>
        </w:rPr>
      </w:pPr>
    </w:p>
    <w:p w14:paraId="004CEE44">
      <w:pPr>
        <w:spacing w:before="260" w:line="228" w:lineRule="auto"/>
        <w:ind w:left="58"/>
        <w:rPr>
          <w:rFonts w:hint="eastAsia" w:ascii="宋体" w:hAnsi="宋体" w:eastAsia="宋体" w:cs="宋体"/>
          <w:sz w:val="20"/>
          <w:szCs w:val="20"/>
          <w:lang w:val="en-US" w:eastAsia="zh-CN"/>
        </w:rPr>
      </w:pPr>
    </w:p>
    <w:p w14:paraId="0DB872D5">
      <w:pPr>
        <w:spacing w:before="260" w:line="228" w:lineRule="auto"/>
        <w:ind w:left="58"/>
        <w:rPr>
          <w:rFonts w:hint="eastAsia" w:ascii="宋体" w:hAnsi="宋体" w:eastAsia="宋体" w:cs="宋体"/>
          <w:sz w:val="20"/>
          <w:szCs w:val="20"/>
          <w:lang w:val="en-US" w:eastAsia="zh-CN"/>
        </w:rPr>
      </w:pPr>
    </w:p>
    <w:p w14:paraId="0BC46996">
      <w:pPr>
        <w:spacing w:before="260" w:line="228" w:lineRule="auto"/>
        <w:ind w:left="58"/>
        <w:rPr>
          <w:rFonts w:hint="eastAsia" w:ascii="宋体" w:hAnsi="宋体" w:eastAsia="宋体" w:cs="宋体"/>
          <w:sz w:val="20"/>
          <w:szCs w:val="20"/>
          <w:lang w:val="en-US" w:eastAsia="zh-CN"/>
        </w:rPr>
      </w:pPr>
    </w:p>
    <w:p w14:paraId="5E63637B">
      <w:pPr>
        <w:spacing w:before="260" w:line="228" w:lineRule="auto"/>
        <w:ind w:left="58"/>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供应商名称（盖章）：                          </w:t>
      </w:r>
    </w:p>
    <w:p w14:paraId="5760E94D">
      <w:pPr>
        <w:spacing w:before="260" w:line="228" w:lineRule="auto"/>
        <w:ind w:left="58"/>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供应商法定代表人（或法定代表人授权代表）签字：                    </w:t>
      </w:r>
    </w:p>
    <w:p w14:paraId="6BC05A86">
      <w:pPr>
        <w:spacing w:before="260" w:line="228" w:lineRule="auto"/>
        <w:ind w:left="58"/>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日期：   年   月   日</w:t>
      </w:r>
    </w:p>
    <w:p w14:paraId="0CCE0A5E">
      <w:pPr>
        <w:spacing w:before="260" w:line="228" w:lineRule="auto"/>
        <w:ind w:left="58"/>
        <w:rPr>
          <w:rFonts w:ascii="宋体" w:hAnsi="宋体" w:eastAsia="宋体" w:cs="宋体"/>
          <w:b/>
          <w:bCs/>
          <w:sz w:val="24"/>
          <w:szCs w:val="24"/>
          <w:lang w:eastAsia="zh-CN"/>
        </w:rPr>
      </w:pPr>
    </w:p>
    <w:p w14:paraId="7B370B04">
      <w:pPr>
        <w:spacing w:line="378" w:lineRule="auto"/>
        <w:rPr>
          <w:rFonts w:ascii="宋体" w:hAnsi="宋体" w:eastAsia="宋体" w:cs="宋体"/>
          <w:b/>
          <w:bCs/>
          <w:sz w:val="24"/>
          <w:szCs w:val="24"/>
          <w:lang w:eastAsia="zh-CN"/>
        </w:rPr>
        <w:sectPr>
          <w:pgSz w:w="11900" w:h="16840"/>
          <w:pgMar w:top="907" w:right="1701" w:bottom="907" w:left="1701" w:header="0" w:footer="0" w:gutter="0"/>
          <w:cols w:space="720" w:num="1"/>
        </w:sectPr>
      </w:pPr>
    </w:p>
    <w:p w14:paraId="5A8D9D9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十四、近三年同类业绩相关证明文件，须提供合同关键页复印件（加盖公章）。</w:t>
      </w:r>
    </w:p>
    <w:p w14:paraId="543DCFAC">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7BA0C734">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82B7506">
      <w:pPr>
        <w:keepNext w:val="0"/>
        <w:keepLines w:val="0"/>
        <w:pageBreakBefore w:val="0"/>
        <w:widowControl/>
        <w:kinsoku w:val="0"/>
        <w:wordWrap/>
        <w:overflowPunct/>
        <w:topLinePunct w:val="0"/>
        <w:autoSpaceDE w:val="0"/>
        <w:autoSpaceDN w:val="0"/>
        <w:bidi w:val="0"/>
        <w:adjustRightInd w:val="0"/>
        <w:snapToGrid w:val="0"/>
        <w:spacing w:before="41" w:after="0" w:afterLines="50"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B783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1A6A3857">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序号</w:t>
            </w:r>
          </w:p>
        </w:tc>
        <w:tc>
          <w:tcPr>
            <w:tcW w:w="1854" w:type="dxa"/>
            <w:tcBorders>
              <w:top w:val="single" w:color="000000" w:sz="2" w:space="0"/>
            </w:tcBorders>
            <w:shd w:val="clear" w:color="auto" w:fill="E0E0E0"/>
          </w:tcPr>
          <w:p w14:paraId="06ACADD3">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项目名称</w:t>
            </w:r>
          </w:p>
        </w:tc>
        <w:tc>
          <w:tcPr>
            <w:tcW w:w="1986" w:type="dxa"/>
            <w:tcBorders>
              <w:top w:val="single" w:color="000000" w:sz="2" w:space="0"/>
            </w:tcBorders>
            <w:shd w:val="clear" w:color="auto" w:fill="E0E0E0"/>
          </w:tcPr>
          <w:p w14:paraId="6983CBC5">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项目地址</w:t>
            </w:r>
          </w:p>
        </w:tc>
        <w:tc>
          <w:tcPr>
            <w:tcW w:w="1722" w:type="dxa"/>
            <w:tcBorders>
              <w:top w:val="single" w:color="000000" w:sz="2" w:space="0"/>
            </w:tcBorders>
            <w:shd w:val="clear" w:color="auto" w:fill="E0E0E0"/>
          </w:tcPr>
          <w:p w14:paraId="6D5E81D4">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合同内容</w:t>
            </w:r>
          </w:p>
        </w:tc>
        <w:tc>
          <w:tcPr>
            <w:tcW w:w="1191" w:type="dxa"/>
            <w:tcBorders>
              <w:top w:val="single" w:color="000000" w:sz="2" w:space="0"/>
            </w:tcBorders>
            <w:shd w:val="clear" w:color="auto" w:fill="E0E0E0"/>
          </w:tcPr>
          <w:p w14:paraId="4D4A4478">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合同总价</w:t>
            </w:r>
          </w:p>
        </w:tc>
        <w:tc>
          <w:tcPr>
            <w:tcW w:w="1471" w:type="dxa"/>
            <w:tcBorders>
              <w:top w:val="single" w:color="000000" w:sz="2" w:space="0"/>
              <w:right w:val="single" w:color="000000" w:sz="2" w:space="0"/>
            </w:tcBorders>
            <w:shd w:val="clear" w:color="auto" w:fill="E0E0E0"/>
          </w:tcPr>
          <w:p w14:paraId="7EC6EFDA">
            <w:pPr>
              <w:keepNext w:val="0"/>
              <w:keepLines w:val="0"/>
              <w:pageBreakBefore w:val="0"/>
              <w:widowControl/>
              <w:kinsoku w:val="0"/>
              <w:wordWrap/>
              <w:overflowPunct/>
              <w:topLinePunct w:val="0"/>
              <w:autoSpaceDE w:val="0"/>
              <w:autoSpaceDN w:val="0"/>
              <w:bidi w:val="0"/>
              <w:adjustRightInd w:val="0"/>
              <w:snapToGrid w:val="0"/>
              <w:spacing w:before="41" w:line="276" w:lineRule="auto"/>
              <w:jc w:val="center"/>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签约日期</w:t>
            </w:r>
          </w:p>
        </w:tc>
      </w:tr>
      <w:tr w14:paraId="3ABA6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A5241EC">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854" w:type="dxa"/>
          </w:tcPr>
          <w:p w14:paraId="6CBBDEB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986" w:type="dxa"/>
          </w:tcPr>
          <w:p w14:paraId="06A513E7">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722" w:type="dxa"/>
          </w:tcPr>
          <w:p w14:paraId="3C36960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191" w:type="dxa"/>
          </w:tcPr>
          <w:p w14:paraId="7AD93D33">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471" w:type="dxa"/>
            <w:tcBorders>
              <w:right w:val="single" w:color="000000" w:sz="2" w:space="0"/>
            </w:tcBorders>
          </w:tcPr>
          <w:p w14:paraId="447A945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r>
      <w:tr w14:paraId="36963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74C79C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854" w:type="dxa"/>
          </w:tcPr>
          <w:p w14:paraId="7143ED53">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986" w:type="dxa"/>
          </w:tcPr>
          <w:p w14:paraId="03D9F8F7">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722" w:type="dxa"/>
          </w:tcPr>
          <w:p w14:paraId="332A1048">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191" w:type="dxa"/>
          </w:tcPr>
          <w:p w14:paraId="07930C01">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471" w:type="dxa"/>
            <w:tcBorders>
              <w:right w:val="single" w:color="000000" w:sz="2" w:space="0"/>
            </w:tcBorders>
          </w:tcPr>
          <w:p w14:paraId="17FFAEC2">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r>
      <w:tr w14:paraId="22CEE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34CBE9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854" w:type="dxa"/>
            <w:tcBorders>
              <w:bottom w:val="single" w:color="000000" w:sz="2" w:space="0"/>
            </w:tcBorders>
          </w:tcPr>
          <w:p w14:paraId="2FF1E34B">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986" w:type="dxa"/>
            <w:tcBorders>
              <w:bottom w:val="single" w:color="000000" w:sz="2" w:space="0"/>
            </w:tcBorders>
          </w:tcPr>
          <w:p w14:paraId="22DE7152">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722" w:type="dxa"/>
            <w:tcBorders>
              <w:bottom w:val="single" w:color="000000" w:sz="2" w:space="0"/>
            </w:tcBorders>
          </w:tcPr>
          <w:p w14:paraId="76B321B7">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191" w:type="dxa"/>
            <w:tcBorders>
              <w:bottom w:val="single" w:color="000000" w:sz="2" w:space="0"/>
            </w:tcBorders>
          </w:tcPr>
          <w:p w14:paraId="04EEA5C6">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c>
          <w:tcPr>
            <w:tcW w:w="1471" w:type="dxa"/>
            <w:tcBorders>
              <w:bottom w:val="single" w:color="000000" w:sz="2" w:space="0"/>
              <w:right w:val="single" w:color="000000" w:sz="2" w:space="0"/>
            </w:tcBorders>
          </w:tcPr>
          <w:p w14:paraId="6FBDCD2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tc>
      </w:tr>
    </w:tbl>
    <w:p w14:paraId="362C67B9">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注：供应商必须如实填写此表格。（此表可延长）</w:t>
      </w:r>
    </w:p>
    <w:p w14:paraId="08DA591D">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EAC463E">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707CDF58">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62512B9F">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47BFF08">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44AA976">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AA4D189">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13590A0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611C54B">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76A590C0">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eastAsia" w:ascii="宋体" w:hAnsi="宋体" w:eastAsia="宋体" w:cs="宋体"/>
          <w:b/>
          <w:bCs/>
          <w:spacing w:val="7"/>
          <w:sz w:val="20"/>
          <w:szCs w:val="20"/>
          <w:lang w:val="en-US" w:eastAsia="zh-CN"/>
        </w:rPr>
      </w:pPr>
    </w:p>
    <w:p w14:paraId="03C84F45">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 xml:space="preserve">供应商名称（盖章）：                          </w:t>
      </w:r>
    </w:p>
    <w:p w14:paraId="7CEB0773">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 xml:space="preserve">供应商法定代表人（或法定代表人授权代表）签字：                    </w:t>
      </w:r>
    </w:p>
    <w:p w14:paraId="7269BE6F">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日期：   年   月   日</w:t>
      </w:r>
    </w:p>
    <w:p w14:paraId="1E7003DF">
      <w:pPr>
        <w:keepNext w:val="0"/>
        <w:keepLines w:val="0"/>
        <w:pageBreakBefore w:val="0"/>
        <w:widowControl/>
        <w:kinsoku w:val="0"/>
        <w:wordWrap/>
        <w:overflowPunct/>
        <w:topLinePunct w:val="0"/>
        <w:autoSpaceDE w:val="0"/>
        <w:autoSpaceDN w:val="0"/>
        <w:bidi w:val="0"/>
        <w:adjustRightInd w:val="0"/>
        <w:snapToGrid w:val="0"/>
        <w:spacing w:before="0" w:beforeLines="100" w:line="276" w:lineRule="auto"/>
        <w:textAlignment w:val="baseline"/>
        <w:rPr>
          <w:rFonts w:hint="eastAsia" w:ascii="宋体" w:hAnsi="宋体" w:eastAsia="宋体" w:cs="宋体"/>
          <w:b/>
          <w:bCs/>
          <w:spacing w:val="7"/>
          <w:sz w:val="24"/>
          <w:szCs w:val="24"/>
          <w:lang w:val="en-US" w:eastAsia="zh-CN"/>
        </w:rPr>
        <w:sectPr>
          <w:pgSz w:w="11900" w:h="16840"/>
          <w:pgMar w:top="907" w:right="1701" w:bottom="907" w:left="1701" w:header="0" w:footer="0" w:gutter="0"/>
          <w:cols w:space="720" w:num="1"/>
        </w:sectPr>
      </w:pPr>
    </w:p>
    <w:p w14:paraId="37C984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10E1D423">
      <w:pPr>
        <w:rPr>
          <w:rFonts w:ascii="宋体" w:hAnsi="宋体" w:eastAsia="宋体" w:cs="宋体"/>
          <w:sz w:val="20"/>
          <w:szCs w:val="20"/>
          <w:lang w:eastAsia="zh-CN"/>
        </w:rPr>
      </w:pPr>
    </w:p>
    <w:p w14:paraId="6D0D903D">
      <w:pPr>
        <w:rPr>
          <w:lang w:eastAsia="zh-CN"/>
        </w:rPr>
      </w:pPr>
    </w:p>
    <w:sectPr>
      <w:pgSz w:w="11900" w:h="16840"/>
      <w:pgMar w:top="907" w:right="1361" w:bottom="907" w:left="136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693203"/>
    <w:rsid w:val="00B1270F"/>
    <w:rsid w:val="00DF1B45"/>
    <w:rsid w:val="01177A27"/>
    <w:rsid w:val="01E26336"/>
    <w:rsid w:val="034D11F6"/>
    <w:rsid w:val="041B280B"/>
    <w:rsid w:val="04FB1077"/>
    <w:rsid w:val="05D250F6"/>
    <w:rsid w:val="06984FFC"/>
    <w:rsid w:val="07B9192E"/>
    <w:rsid w:val="07D772C8"/>
    <w:rsid w:val="07DE22A7"/>
    <w:rsid w:val="09537203"/>
    <w:rsid w:val="0A1B60BD"/>
    <w:rsid w:val="0A382368"/>
    <w:rsid w:val="0E881903"/>
    <w:rsid w:val="0E9C78E3"/>
    <w:rsid w:val="0F145F4C"/>
    <w:rsid w:val="10F8620F"/>
    <w:rsid w:val="126C008B"/>
    <w:rsid w:val="13666B31"/>
    <w:rsid w:val="137410C4"/>
    <w:rsid w:val="16C70A63"/>
    <w:rsid w:val="16DD5993"/>
    <w:rsid w:val="18C80C4B"/>
    <w:rsid w:val="1E9D0594"/>
    <w:rsid w:val="1EA21FDF"/>
    <w:rsid w:val="1EDF5020"/>
    <w:rsid w:val="1FB73B6E"/>
    <w:rsid w:val="20607AD1"/>
    <w:rsid w:val="20BE2A44"/>
    <w:rsid w:val="220611C3"/>
    <w:rsid w:val="22732647"/>
    <w:rsid w:val="231E7145"/>
    <w:rsid w:val="23487B36"/>
    <w:rsid w:val="243E45C7"/>
    <w:rsid w:val="2695736E"/>
    <w:rsid w:val="26B446CD"/>
    <w:rsid w:val="281105FD"/>
    <w:rsid w:val="28580DF7"/>
    <w:rsid w:val="2EB9081B"/>
    <w:rsid w:val="36073C0B"/>
    <w:rsid w:val="37620175"/>
    <w:rsid w:val="3AC4344A"/>
    <w:rsid w:val="3B082DE1"/>
    <w:rsid w:val="3BF85816"/>
    <w:rsid w:val="3EB26D88"/>
    <w:rsid w:val="40671DCB"/>
    <w:rsid w:val="40C03509"/>
    <w:rsid w:val="41312C41"/>
    <w:rsid w:val="433379C8"/>
    <w:rsid w:val="43B35DD1"/>
    <w:rsid w:val="44FC588B"/>
    <w:rsid w:val="45D45685"/>
    <w:rsid w:val="45F428E0"/>
    <w:rsid w:val="471D3B49"/>
    <w:rsid w:val="48993DFC"/>
    <w:rsid w:val="48A54FAE"/>
    <w:rsid w:val="4A4831FA"/>
    <w:rsid w:val="4C030C69"/>
    <w:rsid w:val="4F1864C8"/>
    <w:rsid w:val="50573AD2"/>
    <w:rsid w:val="5178029F"/>
    <w:rsid w:val="526E6BA4"/>
    <w:rsid w:val="526F5AAA"/>
    <w:rsid w:val="535864C5"/>
    <w:rsid w:val="549B7BCF"/>
    <w:rsid w:val="54B97F1A"/>
    <w:rsid w:val="556A1102"/>
    <w:rsid w:val="5774562F"/>
    <w:rsid w:val="58514D81"/>
    <w:rsid w:val="58C84041"/>
    <w:rsid w:val="597F545A"/>
    <w:rsid w:val="5AC43250"/>
    <w:rsid w:val="5D006D8C"/>
    <w:rsid w:val="5E5E5F4E"/>
    <w:rsid w:val="609028F6"/>
    <w:rsid w:val="60B64237"/>
    <w:rsid w:val="682329EA"/>
    <w:rsid w:val="68391C49"/>
    <w:rsid w:val="688E0426"/>
    <w:rsid w:val="69CE3A78"/>
    <w:rsid w:val="6A043A8B"/>
    <w:rsid w:val="6AD722E3"/>
    <w:rsid w:val="6DC8099B"/>
    <w:rsid w:val="6E300441"/>
    <w:rsid w:val="72507210"/>
    <w:rsid w:val="726C3C18"/>
    <w:rsid w:val="72996FB6"/>
    <w:rsid w:val="72EC5D52"/>
    <w:rsid w:val="73052C46"/>
    <w:rsid w:val="73252077"/>
    <w:rsid w:val="7372318C"/>
    <w:rsid w:val="74273CFD"/>
    <w:rsid w:val="748924FF"/>
    <w:rsid w:val="74C07CAE"/>
    <w:rsid w:val="75E87F4B"/>
    <w:rsid w:val="77731B22"/>
    <w:rsid w:val="790F76AC"/>
    <w:rsid w:val="798C24C3"/>
    <w:rsid w:val="7A904F05"/>
    <w:rsid w:val="7EA0305E"/>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styleId="4">
    <w:name w:val="toc 5"/>
    <w:basedOn w:val="1"/>
    <w:next w:val="1"/>
    <w:qFormat/>
    <w:uiPriority w:val="0"/>
    <w:pPr>
      <w:widowControl/>
      <w:ind w:left="1680" w:leftChars="800"/>
    </w:pPr>
    <w:rPr>
      <w:rFonts w:ascii="Times New Roman"/>
      <w:szCs w:val="20"/>
    </w:rPr>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paragraph" w:customStyle="1" w:styleId="1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8"/>
    <w:autoRedefine/>
    <w:qFormat/>
    <w:uiPriority w:val="0"/>
    <w:rPr>
      <w:rFonts w:hint="eastAsia" w:ascii="宋体" w:hAnsi="宋体" w:eastAsia="宋体" w:cs="宋体"/>
      <w:color w:val="000000"/>
      <w:sz w:val="22"/>
      <w:szCs w:val="22"/>
      <w:u w:val="single"/>
    </w:rPr>
  </w:style>
  <w:style w:type="character" w:customStyle="1" w:styleId="15">
    <w:name w:val="font31"/>
    <w:basedOn w:val="8"/>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6502</Words>
  <Characters>6747</Characters>
  <Lines>55</Lines>
  <Paragraphs>15</Paragraphs>
  <TotalTime>3</TotalTime>
  <ScaleCrop>false</ScaleCrop>
  <LinksUpToDate>false</LinksUpToDate>
  <CharactersWithSpaces>7125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2026-08-14T03:05:31Z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