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38CC0">
      <w:pPr>
        <w:jc w:val="center"/>
        <w:rPr>
          <w:rFonts w:ascii="宋体" w:hAnsi="宋体" w:cs="宋体"/>
          <w:b/>
          <w:bCs/>
          <w:sz w:val="36"/>
          <w:szCs w:val="36"/>
        </w:rPr>
      </w:pPr>
      <w:r>
        <w:rPr>
          <w:rFonts w:hint="eastAsia" w:ascii="宋体" w:hAnsi="宋体" w:cs="宋体"/>
          <w:b/>
          <w:bCs/>
          <w:sz w:val="36"/>
          <w:szCs w:val="36"/>
        </w:rPr>
        <w:t>中山市东升医院能源托管技术咨询服务项目</w:t>
      </w:r>
    </w:p>
    <w:p w14:paraId="02020CFA">
      <w:pPr>
        <w:jc w:val="center"/>
        <w:rPr>
          <w:sz w:val="28"/>
          <w:szCs w:val="28"/>
        </w:rPr>
      </w:pPr>
      <w:bookmarkStart w:id="0" w:name="_GoBack"/>
      <w:r>
        <w:rPr>
          <w:rFonts w:hint="eastAsia" w:ascii="宋体" w:hAnsi="宋体" w:cs="宋体"/>
          <w:b/>
          <w:bCs/>
          <w:sz w:val="36"/>
          <w:szCs w:val="36"/>
        </w:rPr>
        <w:t>调研公告</w:t>
      </w:r>
    </w:p>
    <w:bookmarkEnd w:id="0"/>
    <w:p w14:paraId="202E0273">
      <w:pPr>
        <w:pStyle w:val="3"/>
        <w:widowControl/>
        <w:shd w:val="clear" w:color="auto" w:fill="FFFFFF"/>
        <w:spacing w:beforeAutospacing="0" w:afterAutospacing="0" w:line="480" w:lineRule="exact"/>
        <w:ind w:firstLine="555"/>
        <w:jc w:val="both"/>
        <w:rPr>
          <w:rFonts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为更好地开展项目，了解当前市场状况，我院拟对中山市东升医院能源托管技术咨询服务项目进行前期市场调研，现诚邀有意向的供应商报名参与并提出宝贵意见。本调研公告将作为后续该项目参数设置及预算确定的重要依据，请各位供应商积极参与。具体情况如下：</w:t>
      </w:r>
    </w:p>
    <w:p w14:paraId="0B9DAC6F">
      <w:pPr>
        <w:spacing w:line="480" w:lineRule="exact"/>
        <w:ind w:firstLine="420"/>
        <w:jc w:val="left"/>
        <w:outlineLvl w:val="0"/>
        <w:rPr>
          <w:rFonts w:ascii="宋体" w:hAnsi="宋体" w:cs="宋体"/>
          <w:sz w:val="28"/>
          <w:szCs w:val="28"/>
        </w:rPr>
      </w:pPr>
      <w:r>
        <w:rPr>
          <w:rFonts w:hint="eastAsia" w:ascii="宋体" w:hAnsi="宋体" w:cs="宋体"/>
          <w:b/>
          <w:bCs/>
          <w:sz w:val="28"/>
          <w:szCs w:val="28"/>
        </w:rPr>
        <w:t>采购项目内容：</w:t>
      </w:r>
      <w:r>
        <w:rPr>
          <w:rFonts w:hint="eastAsia" w:ascii="宋体" w:hAnsi="宋体" w:cs="宋体"/>
          <w:sz w:val="28"/>
          <w:szCs w:val="28"/>
        </w:rPr>
        <w:t xml:space="preserve"> </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3399"/>
        <w:gridCol w:w="2219"/>
        <w:gridCol w:w="2241"/>
      </w:tblGrid>
      <w:tr w14:paraId="0CBA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387" w:type="pct"/>
            <w:vAlign w:val="center"/>
          </w:tcPr>
          <w:p w14:paraId="3CE677AE">
            <w:pPr>
              <w:spacing w:line="480" w:lineRule="exact"/>
              <w:jc w:val="center"/>
              <w:rPr>
                <w:rFonts w:ascii="宋体" w:hAnsi="宋体" w:cs="宋体"/>
                <w:bCs/>
                <w:szCs w:val="21"/>
              </w:rPr>
            </w:pPr>
            <w:r>
              <w:rPr>
                <w:rFonts w:hint="eastAsia" w:ascii="宋体" w:hAnsi="宋体" w:cs="宋体"/>
                <w:bCs/>
                <w:szCs w:val="21"/>
              </w:rPr>
              <w:t>包号</w:t>
            </w:r>
          </w:p>
        </w:tc>
        <w:tc>
          <w:tcPr>
            <w:tcW w:w="1994" w:type="pct"/>
            <w:vAlign w:val="center"/>
          </w:tcPr>
          <w:p w14:paraId="685E467B">
            <w:pPr>
              <w:spacing w:line="480" w:lineRule="exact"/>
              <w:jc w:val="center"/>
              <w:rPr>
                <w:rFonts w:ascii="宋体" w:hAnsi="宋体" w:cs="宋体"/>
                <w:bCs/>
                <w:szCs w:val="21"/>
              </w:rPr>
            </w:pPr>
            <w:r>
              <w:rPr>
                <w:rFonts w:hint="eastAsia" w:ascii="宋体" w:hAnsi="宋体" w:cs="宋体"/>
                <w:bCs/>
                <w:szCs w:val="21"/>
              </w:rPr>
              <w:t>招标采购内容</w:t>
            </w:r>
          </w:p>
        </w:tc>
        <w:tc>
          <w:tcPr>
            <w:tcW w:w="1302" w:type="pct"/>
            <w:vAlign w:val="center"/>
          </w:tcPr>
          <w:p w14:paraId="73CBAC3C">
            <w:pPr>
              <w:spacing w:line="480" w:lineRule="exact"/>
              <w:jc w:val="center"/>
              <w:rPr>
                <w:rFonts w:ascii="宋体" w:hAnsi="宋体" w:cs="宋体"/>
                <w:bCs/>
                <w:szCs w:val="21"/>
              </w:rPr>
            </w:pPr>
            <w:r>
              <w:rPr>
                <w:rFonts w:hint="eastAsia" w:ascii="宋体" w:hAnsi="宋体" w:cs="宋体"/>
                <w:bCs/>
                <w:szCs w:val="21"/>
              </w:rPr>
              <w:t>服务期</w:t>
            </w:r>
          </w:p>
        </w:tc>
        <w:tc>
          <w:tcPr>
            <w:tcW w:w="1315" w:type="pct"/>
            <w:vAlign w:val="center"/>
          </w:tcPr>
          <w:p w14:paraId="502901A1">
            <w:pPr>
              <w:spacing w:line="480" w:lineRule="exact"/>
              <w:jc w:val="center"/>
              <w:rPr>
                <w:rFonts w:ascii="宋体" w:hAnsi="宋体" w:cs="宋体"/>
                <w:b/>
                <w:szCs w:val="21"/>
              </w:rPr>
            </w:pPr>
            <w:r>
              <w:rPr>
                <w:rFonts w:hint="eastAsia" w:ascii="宋体" w:hAnsi="宋体" w:cs="宋体"/>
                <w:kern w:val="0"/>
                <w:szCs w:val="21"/>
                <w:lang w:eastAsia="zh-CN"/>
              </w:rPr>
              <w:t>拟</w:t>
            </w:r>
            <w:r>
              <w:rPr>
                <w:rFonts w:hint="eastAsia" w:ascii="宋体" w:hAnsi="宋体" w:cs="宋体"/>
                <w:kern w:val="0"/>
                <w:szCs w:val="21"/>
              </w:rPr>
              <w:t>投标限价</w:t>
            </w:r>
          </w:p>
        </w:tc>
      </w:tr>
      <w:tr w14:paraId="5F44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87" w:type="pct"/>
            <w:vAlign w:val="center"/>
          </w:tcPr>
          <w:p w14:paraId="6D79EA91">
            <w:pPr>
              <w:spacing w:line="480" w:lineRule="exact"/>
              <w:jc w:val="center"/>
              <w:rPr>
                <w:rFonts w:ascii="宋体" w:hAnsi="宋体" w:cs="宋体"/>
                <w:bCs/>
                <w:szCs w:val="21"/>
              </w:rPr>
            </w:pPr>
            <w:r>
              <w:rPr>
                <w:rFonts w:hint="eastAsia" w:ascii="宋体" w:hAnsi="宋体" w:cs="宋体"/>
                <w:bCs/>
                <w:szCs w:val="21"/>
              </w:rPr>
              <w:t>01</w:t>
            </w:r>
          </w:p>
        </w:tc>
        <w:tc>
          <w:tcPr>
            <w:tcW w:w="1994" w:type="pct"/>
            <w:vAlign w:val="center"/>
          </w:tcPr>
          <w:p w14:paraId="00B4E6DC">
            <w:pPr>
              <w:spacing w:line="480" w:lineRule="exact"/>
              <w:jc w:val="center"/>
              <w:rPr>
                <w:rFonts w:ascii="宋体" w:hAnsi="宋体" w:eastAsia="宋体" w:cs="宋体"/>
                <w:bCs/>
                <w:szCs w:val="21"/>
              </w:rPr>
            </w:pPr>
            <w:r>
              <w:rPr>
                <w:rFonts w:hint="eastAsia" w:ascii="宋体" w:hAnsi="宋体" w:cs="宋体"/>
                <w:color w:val="auto"/>
                <w:szCs w:val="21"/>
              </w:rPr>
              <w:t>能源托管技术咨询服务项目</w:t>
            </w:r>
          </w:p>
        </w:tc>
        <w:tc>
          <w:tcPr>
            <w:tcW w:w="1302" w:type="pct"/>
            <w:vAlign w:val="center"/>
          </w:tcPr>
          <w:p w14:paraId="49A5FBA3">
            <w:pPr>
              <w:widowControl/>
              <w:spacing w:before="100" w:beforeAutospacing="1" w:after="100" w:afterAutospacing="1" w:line="480" w:lineRule="exact"/>
              <w:jc w:val="left"/>
              <w:rPr>
                <w:rFonts w:ascii="宋体" w:hAnsi="宋体" w:cs="宋体"/>
                <w:bCs/>
                <w:szCs w:val="21"/>
              </w:rPr>
            </w:pPr>
            <w:r>
              <w:rPr>
                <w:rFonts w:hint="eastAsia" w:ascii="宋体" w:hAnsi="宋体" w:eastAsia="宋体" w:cs="宋体"/>
                <w:kern w:val="0"/>
                <w:szCs w:val="21"/>
                <w:lang w:bidi="ar"/>
              </w:rPr>
              <w:t>合同服务期：</w:t>
            </w:r>
            <w:r>
              <w:rPr>
                <w:rFonts w:hint="eastAsia" w:ascii="宋体" w:hAnsi="宋体" w:cs="宋体"/>
                <w:bCs/>
                <w:szCs w:val="21"/>
              </w:rPr>
              <w:t>自合同签订生效日起1年</w:t>
            </w:r>
          </w:p>
        </w:tc>
        <w:tc>
          <w:tcPr>
            <w:tcW w:w="1315" w:type="pct"/>
            <w:vAlign w:val="center"/>
          </w:tcPr>
          <w:p w14:paraId="7D609CBE">
            <w:pPr>
              <w:spacing w:line="480" w:lineRule="exact"/>
              <w:jc w:val="center"/>
              <w:rPr>
                <w:rFonts w:ascii="宋体" w:hAnsi="宋体" w:eastAsia="宋体" w:cs="宋体"/>
                <w:bCs/>
                <w:szCs w:val="21"/>
              </w:rPr>
            </w:pPr>
          </w:p>
        </w:tc>
      </w:tr>
    </w:tbl>
    <w:p w14:paraId="2090146E">
      <w:pPr>
        <w:pStyle w:val="4"/>
        <w:spacing w:line="480" w:lineRule="exact"/>
        <w:ind w:left="0" w:leftChars="0" w:firstLine="0" w:firstLineChars="0"/>
        <w:rPr>
          <w:rFonts w:ascii="宋体" w:hAnsi="宋体" w:eastAsia="宋体" w:cs="宋体"/>
          <w:sz w:val="28"/>
          <w:szCs w:val="28"/>
        </w:rPr>
      </w:pPr>
      <w:r>
        <w:rPr>
          <w:rFonts w:hint="eastAsia" w:ascii="宋体" w:hAnsi="宋体" w:eastAsia="宋体" w:cs="宋体"/>
          <w:b/>
          <w:bCs/>
          <w:sz w:val="28"/>
          <w:szCs w:val="28"/>
        </w:rPr>
        <w:t>一、项目概况</w:t>
      </w:r>
    </w:p>
    <w:p w14:paraId="6C490EE3">
      <w:pPr>
        <w:pStyle w:val="4"/>
        <w:spacing w:line="480" w:lineRule="exact"/>
        <w:ind w:left="0" w:leftChars="0" w:firstLine="560"/>
        <w:rPr>
          <w:rFonts w:hint="eastAsia" w:ascii="宋体" w:hAnsi="宋体" w:eastAsia="宋体" w:cs="宋体"/>
          <w:sz w:val="28"/>
          <w:szCs w:val="28"/>
        </w:rPr>
      </w:pPr>
      <w:r>
        <w:rPr>
          <w:rFonts w:hint="eastAsia" w:ascii="宋体" w:hAnsi="宋体" w:eastAsia="宋体" w:cs="宋体"/>
          <w:sz w:val="28"/>
          <w:szCs w:val="28"/>
        </w:rPr>
        <w:t>现拟聘请专业技术服务单位对医院能源托管项目（空调冷水机组、热水、照明、中央空调末端、电梯、光伏发电、充电桩、管理系统</w:t>
      </w:r>
      <w:r>
        <w:rPr>
          <w:rFonts w:hint="eastAsia" w:ascii="宋体" w:hAnsi="宋体" w:eastAsia="宋体" w:cs="宋体"/>
          <w:sz w:val="28"/>
          <w:szCs w:val="28"/>
          <w:lang w:val="en-US" w:eastAsia="zh-CN"/>
        </w:rPr>
        <w:t>等</w:t>
      </w:r>
      <w:r>
        <w:rPr>
          <w:rFonts w:hint="eastAsia" w:ascii="宋体" w:hAnsi="宋体" w:eastAsia="宋体" w:cs="宋体"/>
          <w:sz w:val="28"/>
          <w:szCs w:val="28"/>
        </w:rPr>
        <w:t>的技术改造）提供第三方全流程技术咨询服务，协助审查项目技术改造方案、招标需求、招标文件、改造后产生的节能效果，核定项目改造完成后的实际节能量等，为医院实施的能源托管</w:t>
      </w:r>
      <w:r>
        <w:rPr>
          <w:rFonts w:hint="eastAsia" w:ascii="宋体" w:hAnsi="宋体" w:eastAsia="宋体" w:cs="宋体"/>
          <w:sz w:val="28"/>
          <w:szCs w:val="28"/>
          <w:lang w:val="en-US" w:eastAsia="zh-CN"/>
        </w:rPr>
        <w:t>项目</w:t>
      </w:r>
      <w:r>
        <w:rPr>
          <w:rFonts w:hint="eastAsia" w:ascii="宋体" w:hAnsi="宋体" w:eastAsia="宋体" w:cs="宋体"/>
          <w:sz w:val="28"/>
          <w:szCs w:val="28"/>
        </w:rPr>
        <w:t>提供事前、事中、事后全方位服务。</w:t>
      </w:r>
    </w:p>
    <w:p w14:paraId="04AEEA36">
      <w:pPr>
        <w:pStyle w:val="4"/>
        <w:spacing w:line="480" w:lineRule="exact"/>
        <w:ind w:left="0" w:leftChars="0" w:firstLine="0" w:firstLineChars="0"/>
        <w:rPr>
          <w:rFonts w:ascii="宋体" w:hAnsi="宋体" w:eastAsia="宋体" w:cs="宋体"/>
          <w:sz w:val="28"/>
          <w:szCs w:val="28"/>
        </w:rPr>
      </w:pPr>
      <w:r>
        <w:rPr>
          <w:rFonts w:hint="eastAsia" w:ascii="宋体" w:hAnsi="宋体" w:eastAsia="宋体" w:cs="宋体"/>
          <w:b/>
          <w:bCs/>
          <w:sz w:val="28"/>
          <w:szCs w:val="28"/>
        </w:rPr>
        <w:t>二、服务内容</w:t>
      </w:r>
    </w:p>
    <w:p w14:paraId="5D5E0649">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1. 与医院进行交流咨询，了解目前医院中央空调冷水机组、分体空调、热水、电梯、照明系统等用能情况；</w:t>
      </w:r>
    </w:p>
    <w:p w14:paraId="585F7A91">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2. 分析中央空调冷水机组、中央空调末端、分体空调、照明系统、热水、电梯、光伏发电、充电桩、管理系统等提供第三方全流程设计方案和途径，组织专家（需持有建筑工程暖通专业或机电专业中级及以上资质证书）论证方案的可行性、产生的节能效果并出具论证报告，预计项目实施对医院正常运营产生的影响，拟定项目节能量核算方案，估算项目节能量，核实投资概算；根据医院需求，按照《公共机构能源费用托管实施规程》（JST 301-2024）要求，协助确定项目采购需求，并协助医院设立招投标条件和招标文件审核等事宜。</w:t>
      </w:r>
    </w:p>
    <w:p w14:paraId="3A4DE9D2">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3. 项目实施前，作为公共机构能源费用托管前期评估工作第三方机构，完成前期评估相关工作，包括：确定空调冷水机组、分体空调、热水、照明系统、电梯等用能边界，并进行测试，核定改造前用能情况，并出具具有法律效力的项目改造前用能测试报告等。</w:t>
      </w:r>
    </w:p>
    <w:p w14:paraId="38840B7D">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4. 节能改造过程中，全程跟踪项目改造情况，落实改造方案的设计要点执行情况，监督项目施工质量以及文明、安全施工。</w:t>
      </w:r>
    </w:p>
    <w:p w14:paraId="700F5CED">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5. 节能技术改造实施完成后，组织项目的评估、验收工作，对项目改造后节能效果和用能情况进行测试，出具具有法律效力的项目节能量审核报告。</w:t>
      </w:r>
    </w:p>
    <w:p w14:paraId="55B972BA">
      <w:pPr>
        <w:pStyle w:val="4"/>
        <w:spacing w:line="480" w:lineRule="exact"/>
        <w:ind w:left="0" w:leftChars="0" w:firstLine="560"/>
        <w:rPr>
          <w:rFonts w:ascii="宋体" w:hAnsi="宋体" w:eastAsia="宋体" w:cs="宋体"/>
          <w:color w:val="auto"/>
          <w:sz w:val="28"/>
          <w:szCs w:val="28"/>
        </w:rPr>
      </w:pPr>
      <w:r>
        <w:rPr>
          <w:rFonts w:hint="eastAsia" w:ascii="宋体" w:hAnsi="宋体" w:eastAsia="宋体" w:cs="宋体"/>
          <w:color w:val="auto"/>
          <w:sz w:val="28"/>
          <w:szCs w:val="28"/>
        </w:rPr>
        <w:t>6. 据项目投资建设方式的需求，拟定项目运行期的节能效果定期评价方案。本次技术改造项目采用合同能源管理模式（托管期10年），需提供四次核定项目实际节能效果，拟在项目投运后的第一年、第四年、第七年、第十年，按节能效果定期评价方案核算项目节能量，出具节能效</w:t>
      </w:r>
      <w:r>
        <w:rPr>
          <w:rFonts w:hint="eastAsia" w:ascii="宋体" w:hAnsi="宋体" w:eastAsia="宋体" w:cs="宋体"/>
          <w:color w:val="auto"/>
          <w:sz w:val="28"/>
          <w:szCs w:val="28"/>
          <w:lang w:val="en-US" w:eastAsia="zh-CN"/>
        </w:rPr>
        <w:t>果</w:t>
      </w:r>
      <w:r>
        <w:rPr>
          <w:rFonts w:hint="eastAsia" w:ascii="宋体" w:hAnsi="宋体" w:eastAsia="宋体" w:cs="宋体"/>
          <w:color w:val="auto"/>
          <w:sz w:val="28"/>
          <w:szCs w:val="28"/>
        </w:rPr>
        <w:t>评估报告（共4份），可作为项目经济效益或托管费用财务费用结算依据。</w:t>
      </w:r>
    </w:p>
    <w:p w14:paraId="408D1744">
      <w:pPr>
        <w:pStyle w:val="4"/>
        <w:spacing w:line="480" w:lineRule="exact"/>
        <w:ind w:left="0" w:leftChars="0" w:firstLine="560"/>
        <w:rPr>
          <w:rFonts w:ascii="宋体" w:hAnsi="宋体" w:eastAsia="宋体" w:cs="宋体"/>
          <w:sz w:val="28"/>
          <w:szCs w:val="28"/>
        </w:rPr>
      </w:pPr>
      <w:r>
        <w:rPr>
          <w:rFonts w:hint="eastAsia" w:ascii="宋体" w:hAnsi="宋体" w:eastAsia="宋体" w:cs="宋体"/>
          <w:sz w:val="28"/>
          <w:szCs w:val="28"/>
        </w:rPr>
        <w:t>7. 为本项目提供后续增值服务的技术咨询服务方，根据相关扶持政策情况，负责医院的项目申请节能专项资金奖补等，或申报节约型机关等咨询服务。具体服务方式、方案另议。</w:t>
      </w:r>
    </w:p>
    <w:p w14:paraId="6FB958DE">
      <w:pPr>
        <w:spacing w:line="480" w:lineRule="exact"/>
        <w:rPr>
          <w:rFonts w:ascii="宋体" w:hAnsi="宋体" w:eastAsia="宋体" w:cs="宋体"/>
          <w:b/>
          <w:sz w:val="28"/>
          <w:szCs w:val="28"/>
        </w:rPr>
      </w:pPr>
      <w:r>
        <w:rPr>
          <w:rFonts w:hint="eastAsia" w:ascii="宋体" w:hAnsi="宋体" w:eastAsia="宋体" w:cs="宋体"/>
          <w:b/>
          <w:sz w:val="28"/>
          <w:szCs w:val="28"/>
        </w:rPr>
        <w:t>三、供应商及委派人员的要求</w:t>
      </w:r>
    </w:p>
    <w:p w14:paraId="68AE44B2">
      <w:pPr>
        <w:spacing w:line="480" w:lineRule="exact"/>
        <w:ind w:firstLine="560" w:firstLineChars="200"/>
        <w:jc w:val="left"/>
        <w:rPr>
          <w:rFonts w:ascii="宋体" w:hAnsi="宋体" w:eastAsia="宋体" w:cs="宋体"/>
          <w:sz w:val="28"/>
          <w:szCs w:val="28"/>
          <w:lang w:bidi="ar"/>
        </w:rPr>
      </w:pPr>
      <w:r>
        <w:rPr>
          <w:rFonts w:hint="eastAsia" w:ascii="宋体" w:hAnsi="宋体" w:eastAsia="宋体" w:cs="宋体"/>
          <w:sz w:val="28"/>
          <w:szCs w:val="28"/>
          <w:lang w:bidi="ar"/>
        </w:rPr>
        <w:t>1.供应商业务范围须包含能源审计、节能评估及能耗检测等方面。</w:t>
      </w:r>
    </w:p>
    <w:p w14:paraId="76B31143">
      <w:pPr>
        <w:spacing w:line="480" w:lineRule="exact"/>
        <w:ind w:firstLine="560" w:firstLineChars="200"/>
        <w:jc w:val="left"/>
        <w:rPr>
          <w:rFonts w:ascii="宋体" w:hAnsi="宋体" w:eastAsia="宋体" w:cs="宋体"/>
          <w:sz w:val="28"/>
          <w:szCs w:val="28"/>
        </w:rPr>
      </w:pPr>
      <w:r>
        <w:rPr>
          <w:rFonts w:hint="eastAsia" w:ascii="宋体" w:hAnsi="宋体" w:eastAsia="宋体" w:cs="宋体"/>
          <w:sz w:val="28"/>
          <w:szCs w:val="28"/>
          <w:lang w:bidi="ar"/>
        </w:rPr>
        <w:t xml:space="preserve">2.成交供应商须按其签订合同中承诺提供的项目组主要负责人员必须按要求投入到本项目中，在合同期内不得擅自更换。成交供应商如因工作安排或其他原因，需要更换项目组主要负责人员时，应事前向采购人书面提出书面申请，未经采购人同意，不得更换人员 。  </w:t>
      </w:r>
    </w:p>
    <w:p w14:paraId="56741C42">
      <w:pPr>
        <w:spacing w:line="480" w:lineRule="exact"/>
        <w:ind w:firstLine="560" w:firstLineChars="200"/>
        <w:jc w:val="left"/>
        <w:rPr>
          <w:rFonts w:ascii="宋体" w:hAnsi="宋体" w:eastAsia="宋体" w:cs="宋体"/>
          <w:sz w:val="28"/>
          <w:szCs w:val="28"/>
        </w:rPr>
      </w:pPr>
      <w:r>
        <w:rPr>
          <w:rFonts w:hint="eastAsia" w:ascii="宋体" w:hAnsi="宋体" w:eastAsia="宋体" w:cs="宋体"/>
          <w:sz w:val="28"/>
          <w:szCs w:val="28"/>
          <w:lang w:bidi="ar"/>
        </w:rPr>
        <w:t xml:space="preserve">2.如成交供应商未经采购人书面同意擅自更换项目组主要负责人员，采购人有权终止合同，由此引致的经济损失，成交供应商须全额赔偿，采购人保留追究成交供应商相关责任的权利。 </w:t>
      </w:r>
    </w:p>
    <w:p w14:paraId="1929082F">
      <w:pPr>
        <w:spacing w:line="480" w:lineRule="exact"/>
        <w:ind w:firstLine="560" w:firstLineChars="200"/>
        <w:jc w:val="left"/>
        <w:rPr>
          <w:rFonts w:ascii="宋体" w:hAnsi="宋体" w:eastAsia="宋体" w:cs="宋体"/>
          <w:sz w:val="28"/>
          <w:szCs w:val="28"/>
        </w:rPr>
      </w:pPr>
      <w:r>
        <w:rPr>
          <w:rFonts w:hint="eastAsia" w:ascii="宋体" w:hAnsi="宋体" w:eastAsia="宋体" w:cs="宋体"/>
          <w:sz w:val="28"/>
          <w:szCs w:val="28"/>
          <w:lang w:bidi="ar"/>
        </w:rPr>
        <w:t xml:space="preserve">3.即使是采购人要求或同意更换的人员，其代替人员的资质仍应得到采购人的认可，且其资历和经验均不低于被更换人员。由此而产生的费用由成交供应商承担。  </w:t>
      </w:r>
    </w:p>
    <w:p w14:paraId="1C1C4E1E">
      <w:pPr>
        <w:spacing w:line="480" w:lineRule="exact"/>
        <w:ind w:firstLine="560" w:firstLineChars="200"/>
        <w:rPr>
          <w:rFonts w:ascii="宋体" w:hAnsi="宋体" w:eastAsia="宋体" w:cs="宋体"/>
          <w:sz w:val="28"/>
          <w:szCs w:val="28"/>
        </w:rPr>
      </w:pPr>
      <w:r>
        <w:rPr>
          <w:rFonts w:hint="eastAsia" w:ascii="宋体" w:hAnsi="宋体" w:eastAsia="宋体" w:cs="宋体"/>
          <w:sz w:val="28"/>
          <w:szCs w:val="28"/>
          <w:lang w:bidi="ar"/>
        </w:rPr>
        <w:t>4.成交</w:t>
      </w:r>
      <w:r>
        <w:rPr>
          <w:rFonts w:hint="eastAsia" w:ascii="宋体" w:hAnsi="宋体" w:eastAsia="宋体" w:cs="宋体"/>
          <w:sz w:val="28"/>
          <w:szCs w:val="28"/>
        </w:rPr>
        <w:t>供应商拟委派的人员必须按国家规定签订了劳动合同，该员工的劳动报酬、社会保险、劳动保护、劳动条件和职业危害防护等方面均在劳动合同条款中按国家、省及市的有关规定得到保障；</w:t>
      </w:r>
    </w:p>
    <w:p w14:paraId="61284D43">
      <w:pPr>
        <w:spacing w:line="480" w:lineRule="exact"/>
        <w:ind w:firstLine="560" w:firstLineChars="200"/>
        <w:rPr>
          <w:rFonts w:ascii="宋体" w:hAnsi="宋体" w:eastAsia="宋体" w:cs="宋体"/>
          <w:sz w:val="28"/>
          <w:szCs w:val="28"/>
        </w:rPr>
      </w:pPr>
      <w:r>
        <w:rPr>
          <w:rFonts w:hint="eastAsia" w:ascii="宋体" w:hAnsi="宋体" w:eastAsia="宋体" w:cs="宋体"/>
          <w:sz w:val="28"/>
          <w:szCs w:val="28"/>
        </w:rPr>
        <w:t>5.成交供应商及其委派人员对其为采购人提供服务期间所知晓或掌控的涉及采购人业务、项目、管理、人员、物资等各方非公开或公示信息负有保密义务。</w:t>
      </w:r>
    </w:p>
    <w:p w14:paraId="4E5976E5">
      <w:pPr>
        <w:spacing w:line="480" w:lineRule="exact"/>
        <w:jc w:val="center"/>
        <w:rPr>
          <w:rFonts w:ascii="宋体" w:hAnsi="宋体" w:eastAsia="宋体" w:cs="宋体"/>
          <w:sz w:val="28"/>
          <w:szCs w:val="28"/>
        </w:rPr>
      </w:pPr>
      <w:r>
        <w:rPr>
          <w:rFonts w:hint="eastAsia" w:ascii="宋体" w:hAnsi="宋体" w:eastAsia="宋体" w:cs="宋体"/>
          <w:sz w:val="28"/>
          <w:szCs w:val="28"/>
        </w:rPr>
        <w:t>咨询服务费用明细表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5957"/>
      </w:tblGrid>
      <w:tr w14:paraId="58DC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49DC1773">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序号</w:t>
            </w:r>
          </w:p>
        </w:tc>
        <w:tc>
          <w:tcPr>
            <w:tcW w:w="5957" w:type="dxa"/>
            <w:vAlign w:val="center"/>
          </w:tcPr>
          <w:p w14:paraId="6EED06D8">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服务内容</w:t>
            </w:r>
          </w:p>
        </w:tc>
      </w:tr>
      <w:tr w14:paraId="4838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4349C05C">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1</w:t>
            </w:r>
          </w:p>
        </w:tc>
        <w:tc>
          <w:tcPr>
            <w:tcW w:w="5957" w:type="dxa"/>
            <w:vAlign w:val="center"/>
          </w:tcPr>
          <w:p w14:paraId="1A794D2E">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方案论证费用</w:t>
            </w:r>
          </w:p>
        </w:tc>
      </w:tr>
      <w:tr w14:paraId="4A323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7CCACB44">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2</w:t>
            </w:r>
          </w:p>
        </w:tc>
        <w:tc>
          <w:tcPr>
            <w:tcW w:w="5957" w:type="dxa"/>
            <w:vAlign w:val="center"/>
          </w:tcPr>
          <w:p w14:paraId="2E64204E">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改造前用能测试报告</w:t>
            </w:r>
          </w:p>
        </w:tc>
      </w:tr>
      <w:tr w14:paraId="1ED6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6C0D0E91">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3</w:t>
            </w:r>
          </w:p>
        </w:tc>
        <w:tc>
          <w:tcPr>
            <w:tcW w:w="5957" w:type="dxa"/>
            <w:vAlign w:val="center"/>
          </w:tcPr>
          <w:p w14:paraId="32CC5824">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改造后第三方节能量审核报告</w:t>
            </w:r>
          </w:p>
        </w:tc>
      </w:tr>
      <w:tr w14:paraId="265D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64FC68E1">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4</w:t>
            </w:r>
          </w:p>
        </w:tc>
        <w:tc>
          <w:tcPr>
            <w:tcW w:w="5957" w:type="dxa"/>
            <w:vAlign w:val="center"/>
          </w:tcPr>
          <w:p w14:paraId="69C6A9B9">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资料打印费、交通费</w:t>
            </w:r>
          </w:p>
        </w:tc>
      </w:tr>
      <w:tr w14:paraId="3F86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66A5B087">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5</w:t>
            </w:r>
          </w:p>
        </w:tc>
        <w:tc>
          <w:tcPr>
            <w:tcW w:w="5957" w:type="dxa"/>
            <w:vAlign w:val="center"/>
          </w:tcPr>
          <w:p w14:paraId="40E2EB80">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技术咨询及监理费用（人工费）</w:t>
            </w:r>
          </w:p>
        </w:tc>
      </w:tr>
      <w:tr w14:paraId="4F83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 w:type="dxa"/>
            <w:vAlign w:val="center"/>
          </w:tcPr>
          <w:p w14:paraId="2B46E0A7">
            <w:pPr>
              <w:adjustRightInd w:val="0"/>
              <w:snapToGrid w:val="0"/>
              <w:spacing w:line="480" w:lineRule="exact"/>
              <w:jc w:val="center"/>
              <w:rPr>
                <w:rFonts w:ascii="宋体" w:hAnsi="宋体" w:eastAsia="宋体" w:cs="宋体"/>
                <w:sz w:val="28"/>
                <w:szCs w:val="28"/>
              </w:rPr>
            </w:pPr>
            <w:r>
              <w:rPr>
                <w:rFonts w:hint="eastAsia" w:ascii="宋体" w:hAnsi="宋体" w:eastAsia="宋体" w:cs="宋体"/>
                <w:sz w:val="28"/>
                <w:szCs w:val="28"/>
              </w:rPr>
              <w:t>6</w:t>
            </w:r>
          </w:p>
        </w:tc>
        <w:tc>
          <w:tcPr>
            <w:tcW w:w="5957" w:type="dxa"/>
            <w:vAlign w:val="center"/>
          </w:tcPr>
          <w:p w14:paraId="04C18277">
            <w:pPr>
              <w:adjustRightInd w:val="0"/>
              <w:snapToGrid w:val="0"/>
              <w:spacing w:line="480" w:lineRule="exact"/>
              <w:jc w:val="center"/>
              <w:rPr>
                <w:rFonts w:ascii="宋体" w:hAnsi="宋体" w:eastAsia="宋体" w:cs="宋体"/>
                <w:sz w:val="28"/>
                <w:szCs w:val="28"/>
              </w:rPr>
            </w:pPr>
            <w:r>
              <w:rPr>
                <w:rFonts w:hint="eastAsia" w:ascii="宋体" w:hAnsi="宋体" w:eastAsia="宋体" w:cs="宋体"/>
                <w:color w:val="auto"/>
                <w:sz w:val="28"/>
                <w:szCs w:val="28"/>
              </w:rPr>
              <w:t>出具托管期</w:t>
            </w:r>
            <w:r>
              <w:rPr>
                <w:rFonts w:hint="eastAsia" w:ascii="宋体" w:hAnsi="宋体" w:eastAsia="宋体" w:cs="宋体"/>
                <w:color w:val="auto"/>
                <w:sz w:val="28"/>
                <w:szCs w:val="28"/>
                <w:lang w:val="en-US" w:eastAsia="zh-CN"/>
              </w:rPr>
              <w:t>前后</w:t>
            </w:r>
            <w:r>
              <w:rPr>
                <w:rFonts w:hint="eastAsia" w:ascii="宋体" w:hAnsi="宋体" w:eastAsia="宋体" w:cs="宋体"/>
                <w:color w:val="auto"/>
                <w:sz w:val="28"/>
                <w:szCs w:val="28"/>
              </w:rPr>
              <w:t>四次能源改造效果评估报告</w:t>
            </w:r>
          </w:p>
        </w:tc>
      </w:tr>
    </w:tbl>
    <w:p w14:paraId="7055846F">
      <w:pPr>
        <w:pStyle w:val="3"/>
        <w:widowControl/>
        <w:shd w:val="clear" w:color="auto" w:fill="FFFFFF"/>
        <w:spacing w:beforeAutospacing="0" w:afterAutospacing="0" w:line="480" w:lineRule="exact"/>
        <w:ind w:firstLine="560" w:firstLineChars="200"/>
        <w:jc w:val="both"/>
        <w:rPr>
          <w:rFonts w:ascii="宋体" w:hAnsi="宋体" w:eastAsia="宋体" w:cs="宋体"/>
          <w:color w:val="000000"/>
          <w:sz w:val="28"/>
          <w:szCs w:val="28"/>
          <w:shd w:val="clear" w:color="auto" w:fill="FFFFFF"/>
        </w:rPr>
      </w:pPr>
    </w:p>
    <w:p w14:paraId="1222B343">
      <w:pPr>
        <w:pStyle w:val="3"/>
        <w:widowControl/>
        <w:shd w:val="clear" w:color="auto" w:fill="FFFFFF"/>
        <w:spacing w:beforeAutospacing="0" w:afterAutospacing="0" w:line="480" w:lineRule="exact"/>
        <w:ind w:firstLine="560" w:firstLineChars="200"/>
        <w:jc w:val="both"/>
        <w:rPr>
          <w:rFonts w:ascii="宋体" w:hAnsi="宋体" w:eastAsia="宋体" w:cs="宋体"/>
          <w:color w:val="000000"/>
          <w:sz w:val="28"/>
          <w:szCs w:val="28"/>
        </w:rPr>
      </w:pPr>
      <w:r>
        <w:rPr>
          <w:rFonts w:hint="eastAsia" w:ascii="宋体" w:hAnsi="宋体" w:eastAsia="宋体" w:cs="宋体"/>
          <w:color w:val="000000"/>
          <w:sz w:val="28"/>
          <w:szCs w:val="28"/>
          <w:shd w:val="clear" w:color="auto" w:fill="FFFFFF"/>
        </w:rPr>
        <w:t>请有意向的供应商请于2026年</w:t>
      </w:r>
      <w:r>
        <w:rPr>
          <w:rFonts w:hint="eastAsia" w:ascii="宋体" w:hAnsi="宋体" w:eastAsia="宋体" w:cs="宋体"/>
          <w:color w:val="000000"/>
          <w:sz w:val="28"/>
          <w:szCs w:val="28"/>
          <w:shd w:val="clear" w:color="auto" w:fill="FFFFFF"/>
          <w:lang w:val="en-US" w:eastAsia="zh-CN"/>
        </w:rPr>
        <w:t>8</w:t>
      </w:r>
      <w:r>
        <w:rPr>
          <w:rFonts w:hint="eastAsia" w:ascii="宋体" w:hAnsi="宋体" w:eastAsia="宋体" w:cs="宋体"/>
          <w:color w:val="000000"/>
          <w:sz w:val="28"/>
          <w:szCs w:val="28"/>
          <w:shd w:val="clear" w:color="auto" w:fill="FFFFFF"/>
        </w:rPr>
        <w:t>月</w:t>
      </w:r>
      <w:r>
        <w:rPr>
          <w:rFonts w:hint="eastAsia" w:ascii="宋体" w:hAnsi="宋体" w:eastAsia="宋体" w:cs="宋体"/>
          <w:color w:val="000000"/>
          <w:sz w:val="28"/>
          <w:szCs w:val="28"/>
          <w:shd w:val="clear" w:color="auto" w:fill="FFFFFF"/>
          <w:lang w:val="en-US" w:eastAsia="zh-CN"/>
        </w:rPr>
        <w:t>7</w:t>
      </w:r>
      <w:r>
        <w:rPr>
          <w:rFonts w:hint="eastAsia" w:ascii="宋体" w:hAnsi="宋体" w:eastAsia="宋体" w:cs="宋体"/>
          <w:color w:val="000000"/>
          <w:sz w:val="28"/>
          <w:szCs w:val="28"/>
          <w:shd w:val="clear" w:color="auto" w:fill="FFFFFF"/>
        </w:rPr>
        <w:t>日16时前把附件调研报价响应文件的盖章版和电子版（Work文档）发到邮箱：zssdsyyzwk@126.com（邮件标题请以公司名字+调研项目名称）参与报名。</w:t>
      </w:r>
    </w:p>
    <w:p w14:paraId="235C75FD">
      <w:pPr>
        <w:pStyle w:val="3"/>
        <w:widowControl/>
        <w:shd w:val="clear" w:color="auto" w:fill="FFFFFF"/>
        <w:spacing w:beforeAutospacing="0" w:afterAutospacing="0" w:line="480" w:lineRule="exact"/>
        <w:ind w:firstLine="555"/>
        <w:jc w:val="both"/>
        <w:rPr>
          <w:rFonts w:ascii="宋体" w:hAnsi="宋体" w:eastAsia="宋体" w:cs="宋体"/>
          <w:color w:val="000000"/>
          <w:sz w:val="28"/>
          <w:szCs w:val="28"/>
        </w:rPr>
      </w:pPr>
      <w:r>
        <w:rPr>
          <w:rFonts w:hint="eastAsia" w:ascii="宋体" w:hAnsi="宋体" w:eastAsia="宋体" w:cs="宋体"/>
          <w:color w:val="000000"/>
          <w:sz w:val="28"/>
          <w:szCs w:val="28"/>
          <w:shd w:val="clear" w:color="auto" w:fill="FFFFFF"/>
        </w:rPr>
        <w:t>联系人：梁小姐/梁工</w:t>
      </w:r>
    </w:p>
    <w:p w14:paraId="7214E519">
      <w:pPr>
        <w:pStyle w:val="3"/>
        <w:widowControl/>
        <w:shd w:val="clear" w:color="auto" w:fill="FFFFFF"/>
        <w:spacing w:beforeAutospacing="0" w:afterAutospacing="0" w:line="480" w:lineRule="exact"/>
        <w:ind w:firstLine="555"/>
        <w:jc w:val="both"/>
        <w:rPr>
          <w:rFonts w:ascii="宋体" w:hAnsi="宋体" w:eastAsia="宋体" w:cs="宋体"/>
          <w:color w:val="000000"/>
          <w:sz w:val="28"/>
          <w:szCs w:val="28"/>
        </w:rPr>
      </w:pPr>
      <w:r>
        <w:rPr>
          <w:rFonts w:hint="eastAsia" w:ascii="宋体" w:hAnsi="宋体" w:eastAsia="宋体" w:cs="宋体"/>
          <w:color w:val="000000"/>
          <w:sz w:val="28"/>
          <w:szCs w:val="28"/>
          <w:shd w:val="clear" w:color="auto" w:fill="FFFFFF"/>
        </w:rPr>
        <w:t>联系电话：0760-22820575/0760-88889925</w:t>
      </w:r>
    </w:p>
    <w:p w14:paraId="4F7D49D4">
      <w:pPr>
        <w:rPr>
          <w:rFonts w:hint="eastAsia" w:eastAsiaTheme="minorEastAsia"/>
          <w:color w:val="FF0000"/>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D87231"/>
    <w:rsid w:val="7ED87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adjustRightInd w:val="0"/>
      <w:snapToGrid w:val="0"/>
      <w:spacing w:line="360" w:lineRule="auto"/>
      <w:ind w:firstLine="170"/>
      <w:jc w:val="center"/>
    </w:pPr>
    <w:rPr>
      <w:rFonts w:ascii="宋体" w:hAnsi="宋体"/>
      <w:b/>
      <w:color w:val="000000"/>
      <w:sz w:val="44"/>
    </w:rPr>
  </w:style>
  <w:style w:type="paragraph" w:styleId="3">
    <w:name w:val="Normal (Web)"/>
    <w:basedOn w:val="1"/>
    <w:qFormat/>
    <w:uiPriority w:val="0"/>
    <w:pPr>
      <w:spacing w:beforeAutospacing="1" w:afterAutospacing="1"/>
      <w:jc w:val="left"/>
    </w:pPr>
    <w:rPr>
      <w:rFonts w:cs="Times New Roman"/>
      <w:kern w:val="0"/>
      <w:sz w:val="24"/>
    </w:rPr>
  </w:style>
  <w:style w:type="paragraph" w:styleId="4">
    <w:name w:val="Body Text First Indent 2"/>
    <w:basedOn w:val="2"/>
    <w:qFormat/>
    <w:uiPriority w:val="0"/>
    <w:pPr>
      <w:adjustRightInd/>
      <w:snapToGrid/>
      <w:spacing w:after="120" w:line="240" w:lineRule="auto"/>
      <w:ind w:left="420" w:leftChars="200" w:firstLine="420" w:firstLineChars="200"/>
      <w:jc w:val="both"/>
    </w:pPr>
    <w:rPr>
      <w:rFonts w:ascii="Times New Roman" w:hAnsi="Times New Roman"/>
      <w:b w:val="0"/>
      <w:color w:val="auto"/>
      <w:kern w:val="0"/>
      <w:sz w:val="21"/>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2026-07-30T00:47:00Z</dcterms:created>
  <dc:creator>18924981193</dc:creator>
  <cp:lastModifiedBy>18924981193</cp:lastModifiedBy>
  <dcterms:modified xsi:type="dcterms:W3CDTF">2026-07-30T06:58:43Z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A66DF247B1A3447FBE01643C62619A0F_11</vt:lpwstr>
  </property>
  <property fmtid="{D5CDD505-2E9C-101B-9397-08002B2CF9AE}" pid="4" name="KSOTemplateDocerSaveRecord">
    <vt:lpwstr>eyJoZGlkIjoiMDI1YTQ0MGQ2NDc4NmQ3MjU4NTFkMzZmNDA5NDM5ODgiLCJ1c2VySWQiOiI3MDcxOTEyNjEifQ==</vt:lpwstr>
  </property>
</Properties>
</file>